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05DCF8" w14:textId="77777777" w:rsidR="007D0CE1" w:rsidRDefault="00000000">
      <w:pPr>
        <w:spacing w:before="200" w:after="60"/>
      </w:pPr>
      <w:r>
        <w:rPr>
          <w:b/>
          <w:bCs/>
          <w:color w:val="E4572E"/>
          <w:spacing w:val="40"/>
          <w:sz w:val="20"/>
          <w:szCs w:val="20"/>
        </w:rPr>
        <w:t xml:space="preserve">ML </w:t>
      </w:r>
      <w:proofErr w:type="gramStart"/>
      <w:r>
        <w:rPr>
          <w:b/>
          <w:bCs/>
          <w:color w:val="E4572E"/>
          <w:spacing w:val="40"/>
          <w:sz w:val="20"/>
          <w:szCs w:val="20"/>
        </w:rPr>
        <w:t>ARTEKA  |</w:t>
      </w:r>
      <w:proofErr w:type="gramEnd"/>
      <w:r>
        <w:rPr>
          <w:b/>
          <w:bCs/>
          <w:color w:val="E4572E"/>
          <w:spacing w:val="40"/>
          <w:sz w:val="20"/>
          <w:szCs w:val="20"/>
        </w:rPr>
        <w:t xml:space="preserve">  INTERNAL TECHNICAL BRIEF</w:t>
      </w:r>
    </w:p>
    <w:p w14:paraId="74FAE7B0" w14:textId="77777777" w:rsidR="007D0CE1" w:rsidRDefault="00000000">
      <w:pPr>
        <w:spacing w:after="100"/>
      </w:pPr>
      <w:r>
        <w:rPr>
          <w:b/>
          <w:bCs/>
          <w:color w:val="1F2A37"/>
          <w:sz w:val="44"/>
          <w:szCs w:val="44"/>
        </w:rPr>
        <w:t>Data and ETL Modernization: Tool Landscape and the Case for a Proprietary Accelerator</w:t>
      </w:r>
    </w:p>
    <w:p w14:paraId="589743B9" w14:textId="77777777" w:rsidR="007D0CE1" w:rsidRDefault="00000000">
      <w:pPr>
        <w:pBdr>
          <w:bottom w:val="single" w:sz="12" w:space="8" w:color="E4572E"/>
        </w:pBdr>
        <w:spacing w:after="160"/>
      </w:pPr>
      <w:r>
        <w:rPr>
          <w:color w:val="5B6573"/>
          <w:sz w:val="26"/>
          <w:szCs w:val="26"/>
        </w:rPr>
        <w:t>What existing tools do well, where they stop, and what one accelerator would need to do better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880"/>
      </w:tblGrid>
      <w:tr w:rsidR="007D0CE1" w14:paraId="1BFECF3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D5D0CA"/>
              <w:left w:val="single" w:sz="4" w:space="0" w:color="D5D0CA"/>
              <w:bottom w:val="single" w:sz="4" w:space="0" w:color="D5D0CA"/>
              <w:right w:val="single" w:sz="4" w:space="0" w:color="D5D0CA"/>
            </w:tcBorders>
            <w:shd w:val="clear" w:color="auto" w:fill="1F2A3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E0DE28E" w14:textId="77777777" w:rsidR="007D0CE1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Document control</w:t>
            </w:r>
          </w:p>
        </w:tc>
        <w:tc>
          <w:tcPr>
            <w:tcW w:w="7880" w:type="dxa"/>
            <w:tcBorders>
              <w:top w:val="single" w:sz="4" w:space="0" w:color="D5D0CA"/>
              <w:left w:val="single" w:sz="4" w:space="0" w:color="D5D0CA"/>
              <w:bottom w:val="single" w:sz="4" w:space="0" w:color="D5D0CA"/>
              <w:right w:val="single" w:sz="4" w:space="0" w:color="D5D0CA"/>
            </w:tcBorders>
            <w:shd w:val="clear" w:color="auto" w:fill="1F2A3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5B92CF7" w14:textId="77777777" w:rsidR="007D0CE1" w:rsidRDefault="007D0CE1">
            <w:pPr>
              <w:spacing w:line="250" w:lineRule="auto"/>
            </w:pPr>
          </w:p>
        </w:tc>
      </w:tr>
      <w:tr w:rsidR="007D0CE1" w14:paraId="60544F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D5D0CA"/>
              <w:left w:val="single" w:sz="4" w:space="0" w:color="D5D0CA"/>
              <w:bottom w:val="single" w:sz="4" w:space="0" w:color="D5D0CA"/>
              <w:right w:val="single" w:sz="4" w:space="0" w:color="D5D0CA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960D990" w14:textId="77777777" w:rsidR="007D0CE1" w:rsidRDefault="00000000">
            <w:pPr>
              <w:spacing w:line="250" w:lineRule="auto"/>
            </w:pPr>
            <w:r>
              <w:rPr>
                <w:b/>
                <w:bCs/>
                <w:sz w:val="18"/>
                <w:szCs w:val="18"/>
              </w:rPr>
              <w:t>Status</w:t>
            </w:r>
          </w:p>
        </w:tc>
        <w:tc>
          <w:tcPr>
            <w:tcW w:w="7880" w:type="dxa"/>
            <w:tcBorders>
              <w:top w:val="single" w:sz="4" w:space="0" w:color="D5D0CA"/>
              <w:left w:val="single" w:sz="4" w:space="0" w:color="D5D0CA"/>
              <w:bottom w:val="single" w:sz="4" w:space="0" w:color="D5D0CA"/>
              <w:right w:val="single" w:sz="4" w:space="0" w:color="D5D0CA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3871599" w14:textId="7C8A13D1" w:rsidR="007D0CE1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Draft v</w:t>
            </w:r>
            <w:r w:rsidR="00B077AF">
              <w:rPr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 xml:space="preserve"> for internal review. Not for client distribution.</w:t>
            </w:r>
          </w:p>
        </w:tc>
      </w:tr>
      <w:tr w:rsidR="007D0CE1" w14:paraId="002752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D5D0CA"/>
              <w:left w:val="single" w:sz="4" w:space="0" w:color="D5D0CA"/>
              <w:bottom w:val="single" w:sz="4" w:space="0" w:color="D5D0CA"/>
              <w:right w:val="single" w:sz="4" w:space="0" w:color="D5D0CA"/>
            </w:tcBorders>
            <w:shd w:val="clear" w:color="auto" w:fill="F4F1EE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D7993F9" w14:textId="77777777" w:rsidR="007D0CE1" w:rsidRDefault="00000000">
            <w:pPr>
              <w:spacing w:line="250" w:lineRule="auto"/>
            </w:pPr>
            <w:r>
              <w:rPr>
                <w:b/>
                <w:bCs/>
                <w:sz w:val="18"/>
                <w:szCs w:val="18"/>
              </w:rPr>
              <w:t>Audience</w:t>
            </w:r>
          </w:p>
        </w:tc>
        <w:tc>
          <w:tcPr>
            <w:tcW w:w="7880" w:type="dxa"/>
            <w:tcBorders>
              <w:top w:val="single" w:sz="4" w:space="0" w:color="D5D0CA"/>
              <w:left w:val="single" w:sz="4" w:space="0" w:color="D5D0CA"/>
              <w:bottom w:val="single" w:sz="4" w:space="0" w:color="D5D0CA"/>
              <w:right w:val="single" w:sz="4" w:space="0" w:color="D5D0CA"/>
            </w:tcBorders>
            <w:shd w:val="clear" w:color="auto" w:fill="F4F1EE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C2E8814" w14:textId="77777777" w:rsidR="007D0CE1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Executive team, product and engineering leads, data practice, partnerships, legal and risk, go-to-market.</w:t>
            </w:r>
          </w:p>
        </w:tc>
      </w:tr>
      <w:tr w:rsidR="007D0CE1" w14:paraId="5F0715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D5D0CA"/>
              <w:left w:val="single" w:sz="4" w:space="0" w:color="D5D0CA"/>
              <w:bottom w:val="single" w:sz="4" w:space="0" w:color="D5D0CA"/>
              <w:right w:val="single" w:sz="4" w:space="0" w:color="D5D0CA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F88DCFE" w14:textId="77777777" w:rsidR="007D0CE1" w:rsidRDefault="00000000">
            <w:pPr>
              <w:spacing w:line="250" w:lineRule="auto"/>
            </w:pPr>
            <w:r>
              <w:rPr>
                <w:b/>
                <w:bCs/>
                <w:sz w:val="18"/>
                <w:szCs w:val="18"/>
              </w:rPr>
              <w:t>Scope</w:t>
            </w:r>
          </w:p>
        </w:tc>
        <w:tc>
          <w:tcPr>
            <w:tcW w:w="7880" w:type="dxa"/>
            <w:tcBorders>
              <w:top w:val="single" w:sz="4" w:space="0" w:color="D5D0CA"/>
              <w:left w:val="single" w:sz="4" w:space="0" w:color="D5D0CA"/>
              <w:bottom w:val="single" w:sz="4" w:space="0" w:color="D5D0CA"/>
              <w:right w:val="single" w:sz="4" w:space="0" w:color="D5D0CA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092E925" w14:textId="77777777" w:rsidR="007D0CE1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Modernizing legacy data and ETL estates in financial services (Informatica PowerCenter, DataStage, SSIS, Talend, Ab Initio, stored procedures and SQL) into modern Spark-based jobs such as AWS Glue and Databricks, with lineage, governance and traceability. Mainframe application modernization is treated as adjacent.</w:t>
            </w:r>
          </w:p>
        </w:tc>
      </w:tr>
      <w:tr w:rsidR="007D0CE1" w14:paraId="6DC121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D5D0CA"/>
              <w:left w:val="single" w:sz="4" w:space="0" w:color="D5D0CA"/>
              <w:bottom w:val="single" w:sz="4" w:space="0" w:color="D5D0CA"/>
              <w:right w:val="single" w:sz="4" w:space="0" w:color="D5D0CA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3F83A4E" w14:textId="77777777" w:rsidR="007D0CE1" w:rsidRDefault="00000000">
            <w:pPr>
              <w:spacing w:line="250" w:lineRule="auto"/>
            </w:pPr>
            <w:r>
              <w:rPr>
                <w:b/>
                <w:bCs/>
                <w:sz w:val="18"/>
                <w:szCs w:val="18"/>
              </w:rPr>
              <w:t>Evidence standard</w:t>
            </w:r>
          </w:p>
        </w:tc>
        <w:tc>
          <w:tcPr>
            <w:tcW w:w="7880" w:type="dxa"/>
            <w:tcBorders>
              <w:top w:val="single" w:sz="4" w:space="0" w:color="D5D0CA"/>
              <w:left w:val="single" w:sz="4" w:space="0" w:color="D5D0CA"/>
              <w:bottom w:val="single" w:sz="4" w:space="0" w:color="D5D0CA"/>
              <w:right w:val="single" w:sz="4" w:space="0" w:color="D5D0CA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4E19940" w14:textId="77777777" w:rsidR="007D0CE1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Each external claim is labelled by source type (section 2.1). Capability ratings are our reading of public material, not hands-on testing.</w:t>
            </w:r>
          </w:p>
        </w:tc>
      </w:tr>
      <w:tr w:rsidR="007D0CE1" w14:paraId="03FFDA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D5D0CA"/>
              <w:left w:val="single" w:sz="4" w:space="0" w:color="D5D0CA"/>
              <w:bottom w:val="single" w:sz="4" w:space="0" w:color="D5D0CA"/>
              <w:right w:val="single" w:sz="4" w:space="0" w:color="D5D0CA"/>
            </w:tcBorders>
            <w:shd w:val="clear" w:color="auto" w:fill="F4F1EE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51E4379" w14:textId="77777777" w:rsidR="007D0CE1" w:rsidRDefault="00000000">
            <w:pPr>
              <w:spacing w:line="250" w:lineRule="auto"/>
            </w:pPr>
            <w:r>
              <w:rPr>
                <w:b/>
                <w:bCs/>
                <w:sz w:val="18"/>
                <w:szCs w:val="18"/>
              </w:rPr>
              <w:t>Timing</w:t>
            </w:r>
          </w:p>
        </w:tc>
        <w:tc>
          <w:tcPr>
            <w:tcW w:w="7880" w:type="dxa"/>
            <w:tcBorders>
              <w:top w:val="single" w:sz="4" w:space="0" w:color="D5D0CA"/>
              <w:left w:val="single" w:sz="4" w:space="0" w:color="D5D0CA"/>
              <w:bottom w:val="single" w:sz="4" w:space="0" w:color="D5D0CA"/>
              <w:right w:val="single" w:sz="4" w:space="0" w:color="D5D0CA"/>
            </w:tcBorders>
            <w:shd w:val="clear" w:color="auto" w:fill="F4F1EE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50F38B9" w14:textId="77777777" w:rsidR="007D0CE1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This brief proposes sequence and decision gates, not dates.</w:t>
            </w:r>
          </w:p>
        </w:tc>
      </w:tr>
    </w:tbl>
    <w:p w14:paraId="09793919" w14:textId="77777777" w:rsidR="007D0CE1" w:rsidRDefault="007D0CE1">
      <w:pPr>
        <w:spacing w:after="100"/>
      </w:pPr>
    </w:p>
    <w:p w14:paraId="0A903306" w14:textId="77777777" w:rsidR="007D0CE1" w:rsidRDefault="00000000">
      <w:pPr>
        <w:pStyle w:val="Heading1"/>
        <w:spacing w:before="320" w:after="140"/>
      </w:pPr>
      <w:r>
        <w:t>1. Summary for decision-makers</w:t>
      </w:r>
    </w:p>
    <w:p w14:paraId="590236D5" w14:textId="77777777" w:rsidR="007D0CE1" w:rsidRDefault="00000000">
      <w:pPr>
        <w:spacing w:after="120" w:line="276" w:lineRule="auto"/>
      </w:pPr>
      <w:r>
        <w:t>Moving legacy ETL to Spark-based jobs is a crowded but fragmented market. Converters, validators, lineage tools and catalogs each do a slice well. No single product carries a job from a legacy artifact to a proven, governed, lineage-complete modern equivalent.</w:t>
      </w:r>
    </w:p>
    <w:p w14:paraId="44FE786C" w14:textId="77777777" w:rsidR="007D0CE1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rPr>
          <w:b/>
          <w:bCs/>
        </w:rPr>
        <w:t>Demand is real and dated.</w:t>
      </w:r>
      <w:r>
        <w:t xml:space="preserve"> Informatica PowerCenter 10.5 standard support ended on March 31, 2026, with paid extended support through March 31, </w:t>
      </w:r>
      <w:proofErr w:type="gramStart"/>
      <w:r>
        <w:t>2027</w:t>
      </w:r>
      <w:proofErr w:type="gramEnd"/>
      <w:r>
        <w:t xml:space="preserve"> and sustaining support after that [7]. In banking, BCBS 239 expects risk data lineage that answers "show me how this number came to be" [13].</w:t>
      </w:r>
    </w:p>
    <w:p w14:paraId="715EA86A" w14:textId="77777777" w:rsidR="007D0CE1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rPr>
          <w:b/>
          <w:bCs/>
        </w:rPr>
        <w:t>Conversion is commoditizing.</w:t>
      </w:r>
      <w:r>
        <w:t xml:space="preserve"> Databricks offers </w:t>
      </w:r>
      <w:proofErr w:type="spellStart"/>
      <w:r>
        <w:t>Lakebridge</w:t>
      </w:r>
      <w:proofErr w:type="spellEnd"/>
      <w:r>
        <w:t xml:space="preserve"> free, built on its acquired </w:t>
      </w:r>
      <w:proofErr w:type="spellStart"/>
      <w:r>
        <w:t>BladeBridge</w:t>
      </w:r>
      <w:proofErr w:type="spellEnd"/>
      <w:r>
        <w:t xml:space="preserve"> engine [1][2]. </w:t>
      </w:r>
      <w:proofErr w:type="spellStart"/>
      <w:r>
        <w:t>Datafold</w:t>
      </w:r>
      <w:proofErr w:type="spellEnd"/>
      <w:r>
        <w:t xml:space="preserve"> offers an AI migration agent with value-level validation [3]. Services firms claim accelerators for Informatica to Glue, one reporting about 50% automation [5][6].</w:t>
      </w:r>
    </w:p>
    <w:p w14:paraId="576FDAE6" w14:textId="77777777" w:rsidR="007D0CE1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rPr>
          <w:b/>
          <w:bCs/>
        </w:rPr>
        <w:t>Lineage is split into two worlds.</w:t>
      </w:r>
      <w:r>
        <w:t xml:space="preserve"> On the target side, AWS and Databricks now capture Spark lineage automatically through </w:t>
      </w:r>
      <w:proofErr w:type="spellStart"/>
      <w:r>
        <w:t>OpenLineage</w:t>
      </w:r>
      <w:proofErr w:type="spellEnd"/>
      <w:r>
        <w:t xml:space="preserve"> or Unity Catalog [8][12]. On the legacy side, parsing is a specialist product (Manta, now IBM) [11], and catalogs have documented gaps such as stored procedures [10].</w:t>
      </w:r>
    </w:p>
    <w:p w14:paraId="792D9513" w14:textId="77777777" w:rsidR="007D0CE1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rPr>
          <w:b/>
          <w:bCs/>
        </w:rPr>
        <w:t>Nobody evidences lineage continuity.</w:t>
      </w:r>
      <w:r>
        <w:t xml:space="preserve"> We found no product that proves the new pipeline's column-level lineage matches the legacy </w:t>
      </w:r>
      <w:proofErr w:type="gramStart"/>
      <w:r>
        <w:t>pipeline's</w:t>
      </w:r>
      <w:proofErr w:type="gramEnd"/>
      <w:r>
        <w:t>, or that records who approved each difference and why.</w:t>
      </w:r>
    </w:p>
    <w:p w14:paraId="64BCECD7" w14:textId="77777777" w:rsidR="007D0CE1" w:rsidRDefault="007D0CE1">
      <w:pPr>
        <w:spacing w:after="10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7D0CE1" w14:paraId="6E4D9604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single" w:sz="24" w:space="0" w:color="E4572E"/>
              <w:bottom w:val="none" w:sz="0" w:space="0" w:color="FFFFFF"/>
              <w:right w:val="none" w:sz="0" w:space="0" w:color="FFFFFF"/>
            </w:tcBorders>
            <w:shd w:val="clear" w:color="auto" w:fill="F4F1E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ED6E685" w14:textId="77777777" w:rsidR="007D0CE1" w:rsidRDefault="00000000">
            <w:pPr>
              <w:spacing w:after="60"/>
            </w:pPr>
            <w:r>
              <w:rPr>
                <w:b/>
                <w:bCs/>
                <w:color w:val="E4572E"/>
                <w:sz w:val="20"/>
                <w:szCs w:val="20"/>
              </w:rPr>
              <w:t>Recommendation</w:t>
            </w:r>
          </w:p>
          <w:p w14:paraId="5556642B" w14:textId="77777777" w:rsidR="007D0CE1" w:rsidRDefault="00000000">
            <w:pPr>
              <w:spacing w:line="270" w:lineRule="auto"/>
            </w:pPr>
            <w:r>
              <w:lastRenderedPageBreak/>
              <w:t xml:space="preserve">Build the accelerator around a </w:t>
            </w:r>
            <w:r>
              <w:rPr>
                <w:b/>
                <w:bCs/>
              </w:rPr>
              <w:t>migration knowledge graph and evidence ledger</w:t>
            </w:r>
            <w:r>
              <w:t xml:space="preserve"> as the system of record, with pluggable conversion engines on top. Do not try to out-cover </w:t>
            </w:r>
            <w:proofErr w:type="spellStart"/>
            <w:r>
              <w:t>Lakebridge</w:t>
            </w:r>
            <w:proofErr w:type="spellEnd"/>
            <w:r>
              <w:t xml:space="preserve"> on dialects. Differentiate on four things: </w:t>
            </w:r>
            <w:r>
              <w:rPr>
                <w:b/>
                <w:bCs/>
              </w:rPr>
              <w:t>Glue and Spark-first conversion gated by data parity, lineage continuity, audit-grade traceability for regulated institutions, and neutrality across converters and targets.</w:t>
            </w:r>
            <w:r>
              <w:t xml:space="preserve"> Hold the first release to a narrow wedge and widen by dependency.</w:t>
            </w:r>
          </w:p>
        </w:tc>
      </w:tr>
    </w:tbl>
    <w:p w14:paraId="318113D6" w14:textId="77777777" w:rsidR="007D0CE1" w:rsidRDefault="007D0CE1">
      <w:pPr>
        <w:spacing w:after="100"/>
      </w:pPr>
    </w:p>
    <w:p w14:paraId="7812F9A9" w14:textId="77777777" w:rsidR="007D0CE1" w:rsidRDefault="00000000">
      <w:pPr>
        <w:pStyle w:val="Heading1"/>
        <w:spacing w:before="320" w:after="140"/>
      </w:pPr>
      <w:r>
        <w:t>2. The existing tool landscape: strengths, weaknesses, and gaps</w:t>
      </w:r>
    </w:p>
    <w:p w14:paraId="0B00D351" w14:textId="77777777" w:rsidR="007D0CE1" w:rsidRDefault="00000000">
      <w:pPr>
        <w:pStyle w:val="Heading2"/>
        <w:spacing w:before="200" w:after="80"/>
      </w:pPr>
      <w:r>
        <w:t>2.1 Evidence labels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7780"/>
      </w:tblGrid>
      <w:tr w:rsidR="007D0CE1" w14:paraId="60314F5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4" w:space="0" w:color="D5D0CA"/>
              <w:left w:val="single" w:sz="4" w:space="0" w:color="D5D0CA"/>
              <w:bottom w:val="single" w:sz="4" w:space="0" w:color="D5D0CA"/>
              <w:right w:val="single" w:sz="4" w:space="0" w:color="D5D0CA"/>
            </w:tcBorders>
            <w:shd w:val="clear" w:color="auto" w:fill="1F2A3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9B774E9" w14:textId="77777777" w:rsidR="007D0CE1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Label</w:t>
            </w:r>
          </w:p>
        </w:tc>
        <w:tc>
          <w:tcPr>
            <w:tcW w:w="7780" w:type="dxa"/>
            <w:tcBorders>
              <w:top w:val="single" w:sz="4" w:space="0" w:color="D5D0CA"/>
              <w:left w:val="single" w:sz="4" w:space="0" w:color="D5D0CA"/>
              <w:bottom w:val="single" w:sz="4" w:space="0" w:color="D5D0CA"/>
              <w:right w:val="single" w:sz="4" w:space="0" w:color="D5D0CA"/>
            </w:tcBorders>
            <w:shd w:val="clear" w:color="auto" w:fill="1F2A3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E0CE81C" w14:textId="77777777" w:rsidR="007D0CE1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Meaning</w:t>
            </w:r>
          </w:p>
        </w:tc>
      </w:tr>
      <w:tr w:rsidR="007D0CE1" w14:paraId="56C3CB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D5D0CA"/>
              <w:left w:val="single" w:sz="4" w:space="0" w:color="D5D0CA"/>
              <w:bottom w:val="single" w:sz="4" w:space="0" w:color="D5D0CA"/>
              <w:right w:val="single" w:sz="4" w:space="0" w:color="D5D0CA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EBE90C7" w14:textId="77777777" w:rsidR="007D0CE1" w:rsidRDefault="00000000">
            <w:pPr>
              <w:spacing w:line="250" w:lineRule="auto"/>
            </w:pPr>
            <w:r>
              <w:rPr>
                <w:b/>
                <w:bCs/>
                <w:sz w:val="18"/>
                <w:szCs w:val="18"/>
              </w:rPr>
              <w:t>Vendor claim</w:t>
            </w:r>
          </w:p>
        </w:tc>
        <w:tc>
          <w:tcPr>
            <w:tcW w:w="7780" w:type="dxa"/>
            <w:tcBorders>
              <w:top w:val="single" w:sz="4" w:space="0" w:color="D5D0CA"/>
              <w:left w:val="single" w:sz="4" w:space="0" w:color="D5D0CA"/>
              <w:bottom w:val="single" w:sz="4" w:space="0" w:color="D5D0CA"/>
              <w:right w:val="single" w:sz="4" w:space="0" w:color="D5D0CA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FC51502" w14:textId="77777777" w:rsidR="007D0CE1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Stated by the vendor in its own material. Treat as marketing until corroborated.</w:t>
            </w:r>
          </w:p>
        </w:tc>
      </w:tr>
      <w:tr w:rsidR="007D0CE1" w14:paraId="5F6F22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D5D0CA"/>
              <w:left w:val="single" w:sz="4" w:space="0" w:color="D5D0CA"/>
              <w:bottom w:val="single" w:sz="4" w:space="0" w:color="D5D0CA"/>
              <w:right w:val="single" w:sz="4" w:space="0" w:color="D5D0CA"/>
            </w:tcBorders>
            <w:shd w:val="clear" w:color="auto" w:fill="F4F1EE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052F145" w14:textId="77777777" w:rsidR="007D0CE1" w:rsidRDefault="00000000">
            <w:pPr>
              <w:spacing w:line="250" w:lineRule="auto"/>
            </w:pPr>
            <w:r>
              <w:rPr>
                <w:b/>
                <w:bCs/>
                <w:sz w:val="18"/>
                <w:szCs w:val="18"/>
              </w:rPr>
              <w:t>Competitor claim</w:t>
            </w:r>
          </w:p>
        </w:tc>
        <w:tc>
          <w:tcPr>
            <w:tcW w:w="7780" w:type="dxa"/>
            <w:tcBorders>
              <w:top w:val="single" w:sz="4" w:space="0" w:color="D5D0CA"/>
              <w:left w:val="single" w:sz="4" w:space="0" w:color="D5D0CA"/>
              <w:bottom w:val="single" w:sz="4" w:space="0" w:color="D5D0CA"/>
              <w:right w:val="single" w:sz="4" w:space="0" w:color="D5D0CA"/>
            </w:tcBorders>
            <w:shd w:val="clear" w:color="auto" w:fill="F4F1EE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8FEBB94" w14:textId="77777777" w:rsidR="007D0CE1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Stated by a rival. Useful for locating weaknesses, but biased and possibly out of date.</w:t>
            </w:r>
          </w:p>
        </w:tc>
      </w:tr>
      <w:tr w:rsidR="007D0CE1" w14:paraId="788206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D5D0CA"/>
              <w:left w:val="single" w:sz="4" w:space="0" w:color="D5D0CA"/>
              <w:bottom w:val="single" w:sz="4" w:space="0" w:color="D5D0CA"/>
              <w:right w:val="single" w:sz="4" w:space="0" w:color="D5D0CA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59D1D7F" w14:textId="77777777" w:rsidR="007D0CE1" w:rsidRDefault="00000000">
            <w:pPr>
              <w:spacing w:line="250" w:lineRule="auto"/>
            </w:pPr>
            <w:r>
              <w:rPr>
                <w:b/>
                <w:bCs/>
                <w:sz w:val="18"/>
                <w:szCs w:val="18"/>
              </w:rPr>
              <w:t>Analyst or regulator</w:t>
            </w:r>
          </w:p>
        </w:tc>
        <w:tc>
          <w:tcPr>
            <w:tcW w:w="7780" w:type="dxa"/>
            <w:tcBorders>
              <w:top w:val="single" w:sz="4" w:space="0" w:color="D5D0CA"/>
              <w:left w:val="single" w:sz="4" w:space="0" w:color="D5D0CA"/>
              <w:bottom w:val="single" w:sz="4" w:space="0" w:color="D5D0CA"/>
              <w:right w:val="single" w:sz="4" w:space="0" w:color="D5D0CA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7815AB8" w14:textId="77777777" w:rsidR="007D0CE1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Published research, forecast or supervisory text.</w:t>
            </w:r>
          </w:p>
        </w:tc>
      </w:tr>
      <w:tr w:rsidR="007D0CE1" w14:paraId="30F0AB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D5D0CA"/>
              <w:left w:val="single" w:sz="4" w:space="0" w:color="D5D0CA"/>
              <w:bottom w:val="single" w:sz="4" w:space="0" w:color="D5D0CA"/>
              <w:right w:val="single" w:sz="4" w:space="0" w:color="D5D0CA"/>
            </w:tcBorders>
            <w:shd w:val="clear" w:color="auto" w:fill="F4F1EE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F425AE4" w14:textId="77777777" w:rsidR="007D0CE1" w:rsidRDefault="00000000">
            <w:pPr>
              <w:spacing w:line="250" w:lineRule="auto"/>
            </w:pPr>
            <w:r>
              <w:rPr>
                <w:b/>
                <w:bCs/>
                <w:sz w:val="18"/>
                <w:szCs w:val="18"/>
              </w:rPr>
              <w:t xml:space="preserve">ML </w:t>
            </w:r>
            <w:proofErr w:type="spellStart"/>
            <w:r>
              <w:rPr>
                <w:b/>
                <w:bCs/>
                <w:sz w:val="18"/>
                <w:szCs w:val="18"/>
              </w:rPr>
              <w:t>arteka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inference</w:t>
            </w:r>
          </w:p>
        </w:tc>
        <w:tc>
          <w:tcPr>
            <w:tcW w:w="7780" w:type="dxa"/>
            <w:tcBorders>
              <w:top w:val="single" w:sz="4" w:space="0" w:color="D5D0CA"/>
              <w:left w:val="single" w:sz="4" w:space="0" w:color="D5D0CA"/>
              <w:bottom w:val="single" w:sz="4" w:space="0" w:color="D5D0CA"/>
              <w:right w:val="single" w:sz="4" w:space="0" w:color="D5D0CA"/>
            </w:tcBorders>
            <w:shd w:val="clear" w:color="auto" w:fill="F4F1EE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FA5A67C" w14:textId="77777777" w:rsidR="007D0CE1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Our reasoning from the sources. Needs validation in hands-on testing.</w:t>
            </w:r>
          </w:p>
        </w:tc>
      </w:tr>
    </w:tbl>
    <w:p w14:paraId="1BF8DFC1" w14:textId="77777777" w:rsidR="007D0CE1" w:rsidRDefault="007D0CE1">
      <w:pPr>
        <w:spacing w:after="100"/>
      </w:pPr>
    </w:p>
    <w:p w14:paraId="35ACB925" w14:textId="77777777" w:rsidR="007D0CE1" w:rsidRDefault="00000000">
      <w:pPr>
        <w:pStyle w:val="Heading2"/>
        <w:spacing w:before="200" w:after="80"/>
      </w:pPr>
      <w:r>
        <w:t>2.2 Tool-by-tool assessment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50"/>
        <w:gridCol w:w="3000"/>
        <w:gridCol w:w="3330"/>
        <w:gridCol w:w="2000"/>
      </w:tblGrid>
      <w:tr w:rsidR="007D0CE1" w14:paraId="4F7409A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50" w:type="dxa"/>
            <w:tcBorders>
              <w:top w:val="single" w:sz="4" w:space="0" w:color="D5D0CA"/>
              <w:left w:val="single" w:sz="4" w:space="0" w:color="D5D0CA"/>
              <w:bottom w:val="single" w:sz="4" w:space="0" w:color="D5D0CA"/>
              <w:right w:val="single" w:sz="4" w:space="0" w:color="D5D0CA"/>
            </w:tcBorders>
            <w:shd w:val="clear" w:color="auto" w:fill="1F2A3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E47859A" w14:textId="77777777" w:rsidR="007D0CE1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Tool or class</w:t>
            </w:r>
          </w:p>
        </w:tc>
        <w:tc>
          <w:tcPr>
            <w:tcW w:w="3000" w:type="dxa"/>
            <w:tcBorders>
              <w:top w:val="single" w:sz="4" w:space="0" w:color="D5D0CA"/>
              <w:left w:val="single" w:sz="4" w:space="0" w:color="D5D0CA"/>
              <w:bottom w:val="single" w:sz="4" w:space="0" w:color="D5D0CA"/>
              <w:right w:val="single" w:sz="4" w:space="0" w:color="D5D0CA"/>
            </w:tcBorders>
            <w:shd w:val="clear" w:color="auto" w:fill="1F2A3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8DD3185" w14:textId="77777777" w:rsidR="007D0CE1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Strengths</w:t>
            </w:r>
          </w:p>
        </w:tc>
        <w:tc>
          <w:tcPr>
            <w:tcW w:w="3330" w:type="dxa"/>
            <w:tcBorders>
              <w:top w:val="single" w:sz="4" w:space="0" w:color="D5D0CA"/>
              <w:left w:val="single" w:sz="4" w:space="0" w:color="D5D0CA"/>
              <w:bottom w:val="single" w:sz="4" w:space="0" w:color="D5D0CA"/>
              <w:right w:val="single" w:sz="4" w:space="0" w:color="D5D0CA"/>
            </w:tcBorders>
            <w:shd w:val="clear" w:color="auto" w:fill="1F2A3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8C1AD95" w14:textId="77777777" w:rsidR="007D0CE1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Weaknesses and limits</w:t>
            </w:r>
          </w:p>
        </w:tc>
        <w:tc>
          <w:tcPr>
            <w:tcW w:w="2000" w:type="dxa"/>
            <w:tcBorders>
              <w:top w:val="single" w:sz="4" w:space="0" w:color="D5D0CA"/>
              <w:left w:val="single" w:sz="4" w:space="0" w:color="D5D0CA"/>
              <w:bottom w:val="single" w:sz="4" w:space="0" w:color="D5D0CA"/>
              <w:right w:val="single" w:sz="4" w:space="0" w:color="D5D0CA"/>
            </w:tcBorders>
            <w:shd w:val="clear" w:color="auto" w:fill="1F2A3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92D070A" w14:textId="77777777" w:rsidR="007D0CE1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Evidence</w:t>
            </w:r>
          </w:p>
        </w:tc>
      </w:tr>
      <w:tr w:rsidR="007D0CE1" w14:paraId="28E70C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0" w:type="dxa"/>
            <w:tcBorders>
              <w:top w:val="single" w:sz="4" w:space="0" w:color="D5D0CA"/>
              <w:left w:val="single" w:sz="4" w:space="0" w:color="D5D0CA"/>
              <w:bottom w:val="single" w:sz="4" w:space="0" w:color="D5D0CA"/>
              <w:right w:val="single" w:sz="4" w:space="0" w:color="D5D0CA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1A2878F" w14:textId="77777777" w:rsidR="007D0CE1" w:rsidRDefault="00000000">
            <w:pPr>
              <w:spacing w:after="60" w:line="250" w:lineRule="auto"/>
            </w:pPr>
            <w:r>
              <w:rPr>
                <w:b/>
                <w:bCs/>
                <w:sz w:val="18"/>
                <w:szCs w:val="18"/>
              </w:rPr>
              <w:t xml:space="preserve">Databricks </w:t>
            </w:r>
            <w:proofErr w:type="spellStart"/>
            <w:r>
              <w:rPr>
                <w:b/>
                <w:bCs/>
                <w:sz w:val="18"/>
                <w:szCs w:val="18"/>
              </w:rPr>
              <w:t>Lakebridge</w:t>
            </w:r>
            <w:proofErr w:type="spellEnd"/>
          </w:p>
          <w:p w14:paraId="43374E84" w14:textId="77777777" w:rsidR="007D0CE1" w:rsidRDefault="00000000">
            <w:pPr>
              <w:spacing w:line="250" w:lineRule="auto"/>
            </w:pPr>
            <w:r>
              <w:rPr>
                <w:b/>
                <w:bCs/>
                <w:sz w:val="18"/>
                <w:szCs w:val="18"/>
              </w:rPr>
              <w:t>(rule-based and LLM converters)</w:t>
            </w:r>
          </w:p>
        </w:tc>
        <w:tc>
          <w:tcPr>
            <w:tcW w:w="3000" w:type="dxa"/>
            <w:tcBorders>
              <w:top w:val="single" w:sz="4" w:space="0" w:color="D5D0CA"/>
              <w:left w:val="single" w:sz="4" w:space="0" w:color="D5D0CA"/>
              <w:bottom w:val="single" w:sz="4" w:space="0" w:color="D5D0CA"/>
              <w:right w:val="single" w:sz="4" w:space="0" w:color="D5D0CA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BCC086D" w14:textId="77777777" w:rsidR="007D0CE1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 xml:space="preserve">Free and open source. Covers analysis, conversion and reconciliation. </w:t>
            </w:r>
            <w:proofErr w:type="spellStart"/>
            <w:r>
              <w:rPr>
                <w:sz w:val="18"/>
                <w:szCs w:val="18"/>
              </w:rPr>
              <w:t>BladeBridge</w:t>
            </w:r>
            <w:proofErr w:type="spellEnd"/>
            <w:r>
              <w:rPr>
                <w:sz w:val="18"/>
                <w:szCs w:val="18"/>
              </w:rPr>
              <w:t xml:space="preserve"> handles many dialects and some ETL and orchestration, producing notebooks, </w:t>
            </w:r>
            <w:proofErr w:type="spellStart"/>
            <w:r>
              <w:rPr>
                <w:sz w:val="18"/>
                <w:szCs w:val="18"/>
              </w:rPr>
              <w:t>PySpark</w:t>
            </w:r>
            <w:proofErr w:type="spellEnd"/>
            <w:r>
              <w:rPr>
                <w:sz w:val="18"/>
                <w:szCs w:val="18"/>
              </w:rPr>
              <w:t xml:space="preserve"> and workflows. Morpheus warns when it cannot guarantee equivalence. Switch uses LLMs [1][2].</w:t>
            </w:r>
          </w:p>
        </w:tc>
        <w:tc>
          <w:tcPr>
            <w:tcW w:w="3330" w:type="dxa"/>
            <w:tcBorders>
              <w:top w:val="single" w:sz="4" w:space="0" w:color="D5D0CA"/>
              <w:left w:val="single" w:sz="4" w:space="0" w:color="D5D0CA"/>
              <w:bottom w:val="single" w:sz="4" w:space="0" w:color="D5D0CA"/>
              <w:right w:val="single" w:sz="4" w:space="0" w:color="D5D0CA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D6C1BB6" w14:textId="77777777" w:rsidR="007D0CE1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 xml:space="preserve">Databricks is the target. Designed for partners and needs deep configuration, per a rival [4]. Morpheus covers fewer dialects. Orchestration and ETL conversion </w:t>
            </w:r>
            <w:proofErr w:type="gramStart"/>
            <w:r>
              <w:rPr>
                <w:sz w:val="18"/>
                <w:szCs w:val="18"/>
              </w:rPr>
              <w:t>is</w:t>
            </w:r>
            <w:proofErr w:type="gramEnd"/>
            <w:r>
              <w:rPr>
                <w:sz w:val="18"/>
                <w:szCs w:val="18"/>
              </w:rPr>
              <w:t xml:space="preserve"> partial [1].</w:t>
            </w:r>
          </w:p>
        </w:tc>
        <w:tc>
          <w:tcPr>
            <w:tcW w:w="2000" w:type="dxa"/>
            <w:tcBorders>
              <w:top w:val="single" w:sz="4" w:space="0" w:color="D5D0CA"/>
              <w:left w:val="single" w:sz="4" w:space="0" w:color="D5D0CA"/>
              <w:bottom w:val="single" w:sz="4" w:space="0" w:color="D5D0CA"/>
              <w:right w:val="single" w:sz="4" w:space="0" w:color="D5D0CA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76FCDFD" w14:textId="77777777" w:rsidR="007D0CE1" w:rsidRDefault="00000000">
            <w:pPr>
              <w:spacing w:after="60" w:line="250" w:lineRule="auto"/>
            </w:pPr>
            <w:r>
              <w:rPr>
                <w:sz w:val="18"/>
                <w:szCs w:val="18"/>
              </w:rPr>
              <w:t>Vendor claim [1][2]</w:t>
            </w:r>
          </w:p>
          <w:p w14:paraId="773E3793" w14:textId="77777777" w:rsidR="007D0CE1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Competitor claim [4]</w:t>
            </w:r>
          </w:p>
        </w:tc>
      </w:tr>
      <w:tr w:rsidR="007D0CE1" w14:paraId="3B8824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0" w:type="dxa"/>
            <w:tcBorders>
              <w:top w:val="single" w:sz="4" w:space="0" w:color="D5D0CA"/>
              <w:left w:val="single" w:sz="4" w:space="0" w:color="D5D0CA"/>
              <w:bottom w:val="single" w:sz="4" w:space="0" w:color="D5D0CA"/>
              <w:right w:val="single" w:sz="4" w:space="0" w:color="D5D0CA"/>
            </w:tcBorders>
            <w:shd w:val="clear" w:color="auto" w:fill="F4F1EE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2D1753E" w14:textId="77777777" w:rsidR="007D0CE1" w:rsidRDefault="00000000">
            <w:pPr>
              <w:spacing w:after="60" w:line="250" w:lineRule="auto"/>
            </w:pPr>
            <w:proofErr w:type="spellStart"/>
            <w:r>
              <w:rPr>
                <w:b/>
                <w:bCs/>
                <w:sz w:val="18"/>
                <w:szCs w:val="18"/>
              </w:rPr>
              <w:t>Datafold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Migration Agent</w:t>
            </w:r>
          </w:p>
          <w:p w14:paraId="788BAD3A" w14:textId="77777777" w:rsidR="007D0CE1" w:rsidRDefault="00000000">
            <w:pPr>
              <w:spacing w:line="250" w:lineRule="auto"/>
            </w:pPr>
            <w:r>
              <w:rPr>
                <w:b/>
                <w:bCs/>
                <w:sz w:val="18"/>
                <w:szCs w:val="18"/>
              </w:rPr>
              <w:t>(AI agent with validation)</w:t>
            </w:r>
          </w:p>
        </w:tc>
        <w:tc>
          <w:tcPr>
            <w:tcW w:w="3000" w:type="dxa"/>
            <w:tcBorders>
              <w:top w:val="single" w:sz="4" w:space="0" w:color="D5D0CA"/>
              <w:left w:val="single" w:sz="4" w:space="0" w:color="D5D0CA"/>
              <w:bottom w:val="single" w:sz="4" w:space="0" w:color="D5D0CA"/>
              <w:right w:val="single" w:sz="4" w:space="0" w:color="D5D0CA"/>
            </w:tcBorders>
            <w:shd w:val="clear" w:color="auto" w:fill="F4F1EE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18184E1" w14:textId="77777777" w:rsidR="007D0CE1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LLM translation with a feedback loop that iterates until source and target data match. Value-level diffs at dataset, column and row level. Handles GUI ETL such as Informatica, Talend and DataStage. States guaranteed price, timeline and data parity [3][4].</w:t>
            </w:r>
          </w:p>
        </w:tc>
        <w:tc>
          <w:tcPr>
            <w:tcW w:w="3330" w:type="dxa"/>
            <w:tcBorders>
              <w:top w:val="single" w:sz="4" w:space="0" w:color="D5D0CA"/>
              <w:left w:val="single" w:sz="4" w:space="0" w:color="D5D0CA"/>
              <w:bottom w:val="single" w:sz="4" w:space="0" w:color="D5D0CA"/>
              <w:right w:val="single" w:sz="4" w:space="0" w:color="D5D0CA"/>
            </w:tcBorders>
            <w:shd w:val="clear" w:color="auto" w:fill="F4F1EE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0D37A7E" w14:textId="77777777" w:rsidR="007D0CE1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 xml:space="preserve">Works through SQL connections to source and target data, so logic outside SQL-reachable data is harder to verify (ML </w:t>
            </w:r>
            <w:proofErr w:type="spellStart"/>
            <w:r>
              <w:rPr>
                <w:sz w:val="18"/>
                <w:szCs w:val="18"/>
              </w:rPr>
              <w:t>arteka</w:t>
            </w:r>
            <w:proofErr w:type="spellEnd"/>
            <w:r>
              <w:rPr>
                <w:sz w:val="18"/>
                <w:szCs w:val="18"/>
              </w:rPr>
              <w:t xml:space="preserve"> inference). No evidence of lineage continuity or migration governance records. Most detail comes from </w:t>
            </w:r>
            <w:proofErr w:type="spellStart"/>
            <w:r>
              <w:rPr>
                <w:sz w:val="18"/>
                <w:szCs w:val="18"/>
              </w:rPr>
              <w:t>Datafold</w:t>
            </w:r>
            <w:proofErr w:type="spellEnd"/>
            <w:r>
              <w:rPr>
                <w:sz w:val="18"/>
                <w:szCs w:val="18"/>
              </w:rPr>
              <w:t xml:space="preserve"> itself.</w:t>
            </w:r>
          </w:p>
        </w:tc>
        <w:tc>
          <w:tcPr>
            <w:tcW w:w="2000" w:type="dxa"/>
            <w:tcBorders>
              <w:top w:val="single" w:sz="4" w:space="0" w:color="D5D0CA"/>
              <w:left w:val="single" w:sz="4" w:space="0" w:color="D5D0CA"/>
              <w:bottom w:val="single" w:sz="4" w:space="0" w:color="D5D0CA"/>
              <w:right w:val="single" w:sz="4" w:space="0" w:color="D5D0CA"/>
            </w:tcBorders>
            <w:shd w:val="clear" w:color="auto" w:fill="F4F1EE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C0EE394" w14:textId="77777777" w:rsidR="007D0CE1" w:rsidRDefault="00000000">
            <w:pPr>
              <w:spacing w:after="60" w:line="250" w:lineRule="auto"/>
            </w:pPr>
            <w:r>
              <w:rPr>
                <w:sz w:val="18"/>
                <w:szCs w:val="18"/>
              </w:rPr>
              <w:t>Vendor claim [3]</w:t>
            </w:r>
          </w:p>
          <w:p w14:paraId="723D7A42" w14:textId="77777777" w:rsidR="007D0CE1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Competitor claim of others [4]</w:t>
            </w:r>
          </w:p>
        </w:tc>
      </w:tr>
      <w:tr w:rsidR="007D0CE1" w14:paraId="29CD52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0" w:type="dxa"/>
            <w:tcBorders>
              <w:top w:val="single" w:sz="4" w:space="0" w:color="D5D0CA"/>
              <w:left w:val="single" w:sz="4" w:space="0" w:color="D5D0CA"/>
              <w:bottom w:val="single" w:sz="4" w:space="0" w:color="D5D0CA"/>
              <w:right w:val="single" w:sz="4" w:space="0" w:color="D5D0CA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0FE3233" w14:textId="77777777" w:rsidR="007D0CE1" w:rsidRDefault="00000000">
            <w:pPr>
              <w:spacing w:after="60" w:line="250" w:lineRule="auto"/>
            </w:pPr>
            <w:r>
              <w:rPr>
                <w:b/>
                <w:bCs/>
                <w:sz w:val="18"/>
                <w:szCs w:val="18"/>
              </w:rPr>
              <w:t>Services-firm accelerators</w:t>
            </w:r>
          </w:p>
          <w:p w14:paraId="62D8CA02" w14:textId="77777777" w:rsidR="007D0CE1" w:rsidRDefault="00000000">
            <w:pPr>
              <w:spacing w:line="250" w:lineRule="auto"/>
            </w:pPr>
            <w:r>
              <w:rPr>
                <w:b/>
                <w:bCs/>
                <w:sz w:val="18"/>
                <w:szCs w:val="18"/>
              </w:rPr>
              <w:t xml:space="preserve">(e.g., Bitwise </w:t>
            </w:r>
            <w:proofErr w:type="spellStart"/>
            <w:r>
              <w:rPr>
                <w:b/>
                <w:bCs/>
                <w:sz w:val="18"/>
                <w:szCs w:val="18"/>
              </w:rPr>
              <w:t>FulkrumCloud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, </w:t>
            </w:r>
            <w:proofErr w:type="spellStart"/>
            <w:r>
              <w:rPr>
                <w:b/>
                <w:bCs/>
                <w:sz w:val="18"/>
                <w:szCs w:val="18"/>
              </w:rPr>
              <w:t>LTIMindtree</w:t>
            </w:r>
            <w:proofErr w:type="spellEnd"/>
            <w:r>
              <w:rPr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3000" w:type="dxa"/>
            <w:tcBorders>
              <w:top w:val="single" w:sz="4" w:space="0" w:color="D5D0CA"/>
              <w:left w:val="single" w:sz="4" w:space="0" w:color="D5D0CA"/>
              <w:bottom w:val="single" w:sz="4" w:space="0" w:color="D5D0CA"/>
              <w:right w:val="single" w:sz="4" w:space="0" w:color="D5D0CA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1CA95C1" w14:textId="77777777" w:rsidR="007D0CE1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 xml:space="preserve">Target AWS Glue directly. Bitwise converts Informatica, DataStage, SSIS and Ab Initio to Glue, </w:t>
            </w:r>
            <w:proofErr w:type="spellStart"/>
            <w:r>
              <w:rPr>
                <w:sz w:val="18"/>
                <w:szCs w:val="18"/>
              </w:rPr>
              <w:t>PySpark</w:t>
            </w:r>
            <w:proofErr w:type="spellEnd"/>
            <w:r>
              <w:rPr>
                <w:sz w:val="18"/>
                <w:szCs w:val="18"/>
              </w:rPr>
              <w:t xml:space="preserve">, Databricks and Fabric, with a conversion report flagging manual rework and fixed time and cost [5]. </w:t>
            </w:r>
            <w:proofErr w:type="spellStart"/>
            <w:r>
              <w:rPr>
                <w:sz w:val="18"/>
                <w:szCs w:val="18"/>
              </w:rPr>
              <w:t>LTIMindtree</w:t>
            </w:r>
            <w:proofErr w:type="spellEnd"/>
            <w:r>
              <w:rPr>
                <w:sz w:val="18"/>
                <w:szCs w:val="18"/>
              </w:rPr>
              <w:t xml:space="preserve"> reports about 50% automation for Informatica to Glue at an insurer [6].</w:t>
            </w:r>
          </w:p>
        </w:tc>
        <w:tc>
          <w:tcPr>
            <w:tcW w:w="3330" w:type="dxa"/>
            <w:tcBorders>
              <w:top w:val="single" w:sz="4" w:space="0" w:color="D5D0CA"/>
              <w:left w:val="single" w:sz="4" w:space="0" w:color="D5D0CA"/>
              <w:bottom w:val="single" w:sz="4" w:space="0" w:color="D5D0CA"/>
              <w:right w:val="single" w:sz="4" w:space="0" w:color="D5D0CA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3DFDD96" w14:textId="77777777" w:rsidR="007D0CE1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 xml:space="preserve">Proprietary and sold only with an engagement. A reported ceiling near 50% leaves large manual work (ML </w:t>
            </w:r>
            <w:proofErr w:type="spellStart"/>
            <w:r>
              <w:rPr>
                <w:sz w:val="18"/>
                <w:szCs w:val="18"/>
              </w:rPr>
              <w:t>arteka</w:t>
            </w:r>
            <w:proofErr w:type="spellEnd"/>
            <w:r>
              <w:rPr>
                <w:sz w:val="18"/>
                <w:szCs w:val="18"/>
              </w:rPr>
              <w:t xml:space="preserve"> inference on [6]). These are our most direct competitors for an accelerator, so they are included here although they are services firms.</w:t>
            </w:r>
          </w:p>
        </w:tc>
        <w:tc>
          <w:tcPr>
            <w:tcW w:w="2000" w:type="dxa"/>
            <w:tcBorders>
              <w:top w:val="single" w:sz="4" w:space="0" w:color="D5D0CA"/>
              <w:left w:val="single" w:sz="4" w:space="0" w:color="D5D0CA"/>
              <w:bottom w:val="single" w:sz="4" w:space="0" w:color="D5D0CA"/>
              <w:right w:val="single" w:sz="4" w:space="0" w:color="D5D0CA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E44A07A" w14:textId="77777777" w:rsidR="007D0CE1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Vendor claim [5][6]</w:t>
            </w:r>
          </w:p>
        </w:tc>
      </w:tr>
      <w:tr w:rsidR="007D0CE1" w14:paraId="38BC22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0" w:type="dxa"/>
            <w:tcBorders>
              <w:top w:val="single" w:sz="4" w:space="0" w:color="D5D0CA"/>
              <w:left w:val="single" w:sz="4" w:space="0" w:color="D5D0CA"/>
              <w:bottom w:val="single" w:sz="4" w:space="0" w:color="D5D0CA"/>
              <w:right w:val="single" w:sz="4" w:space="0" w:color="D5D0CA"/>
            </w:tcBorders>
            <w:shd w:val="clear" w:color="auto" w:fill="F4F1EE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4D43505" w14:textId="77777777" w:rsidR="007D0CE1" w:rsidRDefault="00000000">
            <w:pPr>
              <w:spacing w:after="60" w:line="250" w:lineRule="auto"/>
            </w:pPr>
            <w:r>
              <w:rPr>
                <w:b/>
                <w:bCs/>
                <w:sz w:val="18"/>
                <w:szCs w:val="18"/>
              </w:rPr>
              <w:lastRenderedPageBreak/>
              <w:t>Informatica IDMC and CDI-PC</w:t>
            </w:r>
          </w:p>
          <w:p w14:paraId="1C02DEC7" w14:textId="77777777" w:rsidR="007D0CE1" w:rsidRDefault="00000000">
            <w:pPr>
              <w:spacing w:line="250" w:lineRule="auto"/>
            </w:pPr>
            <w:r>
              <w:rPr>
                <w:b/>
                <w:bCs/>
                <w:sz w:val="18"/>
                <w:szCs w:val="18"/>
              </w:rPr>
              <w:t>(vendor-native path)</w:t>
            </w:r>
          </w:p>
        </w:tc>
        <w:tc>
          <w:tcPr>
            <w:tcW w:w="3000" w:type="dxa"/>
            <w:tcBorders>
              <w:top w:val="single" w:sz="4" w:space="0" w:color="D5D0CA"/>
              <w:left w:val="single" w:sz="4" w:space="0" w:color="D5D0CA"/>
              <w:bottom w:val="single" w:sz="4" w:space="0" w:color="D5D0CA"/>
              <w:right w:val="single" w:sz="4" w:space="0" w:color="D5D0CA"/>
            </w:tcBorders>
            <w:shd w:val="clear" w:color="auto" w:fill="F4F1EE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5294997" w14:textId="77777777" w:rsidR="007D0CE1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Keeps existing mappings by moving PowerCenter to Informatica's cloud, with the familiar design experience [7].</w:t>
            </w:r>
          </w:p>
        </w:tc>
        <w:tc>
          <w:tcPr>
            <w:tcW w:w="3330" w:type="dxa"/>
            <w:tcBorders>
              <w:top w:val="single" w:sz="4" w:space="0" w:color="D5D0CA"/>
              <w:left w:val="single" w:sz="4" w:space="0" w:color="D5D0CA"/>
              <w:bottom w:val="single" w:sz="4" w:space="0" w:color="D5D0CA"/>
              <w:right w:val="single" w:sz="4" w:space="0" w:color="D5D0CA"/>
            </w:tcBorders>
            <w:shd w:val="clear" w:color="auto" w:fill="F4F1EE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BF902C5" w14:textId="77777777" w:rsidR="007D0CE1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Keeps the client inside Informatica, now owned by Salesforce, on consumption-based IPU pricing, which commentators describe as unpredictable and lock-in building [7].</w:t>
            </w:r>
          </w:p>
        </w:tc>
        <w:tc>
          <w:tcPr>
            <w:tcW w:w="2000" w:type="dxa"/>
            <w:tcBorders>
              <w:top w:val="single" w:sz="4" w:space="0" w:color="D5D0CA"/>
              <w:left w:val="single" w:sz="4" w:space="0" w:color="D5D0CA"/>
              <w:bottom w:val="single" w:sz="4" w:space="0" w:color="D5D0CA"/>
              <w:right w:val="single" w:sz="4" w:space="0" w:color="D5D0CA"/>
            </w:tcBorders>
            <w:shd w:val="clear" w:color="auto" w:fill="F4F1EE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AEBFC08" w14:textId="77777777" w:rsidR="007D0CE1" w:rsidRDefault="00000000">
            <w:pPr>
              <w:spacing w:after="60" w:line="250" w:lineRule="auto"/>
            </w:pPr>
            <w:r>
              <w:rPr>
                <w:sz w:val="18"/>
                <w:szCs w:val="18"/>
              </w:rPr>
              <w:t>Vendor claim [7]</w:t>
            </w:r>
          </w:p>
          <w:p w14:paraId="7A30AF25" w14:textId="77777777" w:rsidR="007D0CE1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Commentary [7]</w:t>
            </w:r>
          </w:p>
        </w:tc>
      </w:tr>
      <w:tr w:rsidR="007D0CE1" w14:paraId="3F6E6C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0" w:type="dxa"/>
            <w:tcBorders>
              <w:top w:val="single" w:sz="4" w:space="0" w:color="D5D0CA"/>
              <w:left w:val="single" w:sz="4" w:space="0" w:color="D5D0CA"/>
              <w:bottom w:val="single" w:sz="4" w:space="0" w:color="D5D0CA"/>
              <w:right w:val="single" w:sz="4" w:space="0" w:color="D5D0CA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485EAF7" w14:textId="77777777" w:rsidR="007D0CE1" w:rsidRDefault="00000000">
            <w:pPr>
              <w:spacing w:after="60" w:line="250" w:lineRule="auto"/>
            </w:pPr>
            <w:r>
              <w:rPr>
                <w:b/>
                <w:bCs/>
                <w:sz w:val="18"/>
                <w:szCs w:val="18"/>
              </w:rPr>
              <w:t>Target-side lineage</w:t>
            </w:r>
          </w:p>
          <w:p w14:paraId="4093CF9C" w14:textId="77777777" w:rsidR="007D0CE1" w:rsidRDefault="00000000">
            <w:pPr>
              <w:spacing w:line="250" w:lineRule="auto"/>
            </w:pPr>
            <w:r>
              <w:rPr>
                <w:b/>
                <w:bCs/>
                <w:sz w:val="18"/>
                <w:szCs w:val="18"/>
              </w:rPr>
              <w:t xml:space="preserve">(AWS SageMaker and </w:t>
            </w:r>
            <w:proofErr w:type="spellStart"/>
            <w:r>
              <w:rPr>
                <w:b/>
                <w:bCs/>
                <w:sz w:val="18"/>
                <w:szCs w:val="18"/>
              </w:rPr>
              <w:t>DataZone</w:t>
            </w:r>
            <w:proofErr w:type="spellEnd"/>
            <w:r>
              <w:rPr>
                <w:b/>
                <w:bCs/>
                <w:sz w:val="18"/>
                <w:szCs w:val="18"/>
              </w:rPr>
              <w:t>, Databricks Unity Catalog)</w:t>
            </w:r>
          </w:p>
        </w:tc>
        <w:tc>
          <w:tcPr>
            <w:tcW w:w="3000" w:type="dxa"/>
            <w:tcBorders>
              <w:top w:val="single" w:sz="4" w:space="0" w:color="D5D0CA"/>
              <w:left w:val="single" w:sz="4" w:space="0" w:color="D5D0CA"/>
              <w:bottom w:val="single" w:sz="4" w:space="0" w:color="D5D0CA"/>
              <w:right w:val="single" w:sz="4" w:space="0" w:color="D5D0CA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1907143" w14:textId="77777777" w:rsidR="007D0CE1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 xml:space="preserve">Automatic capture from Glue, EMR and Spark through </w:t>
            </w:r>
            <w:proofErr w:type="spellStart"/>
            <w:r>
              <w:rPr>
                <w:sz w:val="18"/>
                <w:szCs w:val="18"/>
              </w:rPr>
              <w:t>OpenLineage</w:t>
            </w:r>
            <w:proofErr w:type="spellEnd"/>
            <w:r>
              <w:rPr>
                <w:sz w:val="18"/>
                <w:szCs w:val="18"/>
              </w:rPr>
              <w:t>, with column-level detail where source-column information exists. July 2026 update extended this to IAM-based SageMaker domains [8]. Unity Catalog captures column-level lineage for Databricks workloads [12].</w:t>
            </w:r>
          </w:p>
        </w:tc>
        <w:tc>
          <w:tcPr>
            <w:tcW w:w="3330" w:type="dxa"/>
            <w:tcBorders>
              <w:top w:val="single" w:sz="4" w:space="0" w:color="D5D0CA"/>
              <w:left w:val="single" w:sz="4" w:space="0" w:color="D5D0CA"/>
              <w:bottom w:val="single" w:sz="4" w:space="0" w:color="D5D0CA"/>
              <w:right w:val="single" w:sz="4" w:space="0" w:color="D5D0CA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D55C5CC" w14:textId="77777777" w:rsidR="007D0CE1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Tracks only what runs on the platform. Unity Catalog lineage is limited to Databricks and does not show the transformation source [10][12]. Neither sees legacy-side lineage, so neither can say the new lineage matches the old.</w:t>
            </w:r>
          </w:p>
        </w:tc>
        <w:tc>
          <w:tcPr>
            <w:tcW w:w="2000" w:type="dxa"/>
            <w:tcBorders>
              <w:top w:val="single" w:sz="4" w:space="0" w:color="D5D0CA"/>
              <w:left w:val="single" w:sz="4" w:space="0" w:color="D5D0CA"/>
              <w:bottom w:val="single" w:sz="4" w:space="0" w:color="D5D0CA"/>
              <w:right w:val="single" w:sz="4" w:space="0" w:color="D5D0CA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E91EE43" w14:textId="77777777" w:rsidR="007D0CE1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Vendor claim [8][12]</w:t>
            </w:r>
          </w:p>
        </w:tc>
      </w:tr>
      <w:tr w:rsidR="007D0CE1" w14:paraId="47A054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0" w:type="dxa"/>
            <w:tcBorders>
              <w:top w:val="single" w:sz="4" w:space="0" w:color="D5D0CA"/>
              <w:left w:val="single" w:sz="4" w:space="0" w:color="D5D0CA"/>
              <w:bottom w:val="single" w:sz="4" w:space="0" w:color="D5D0CA"/>
              <w:right w:val="single" w:sz="4" w:space="0" w:color="D5D0CA"/>
            </w:tcBorders>
            <w:shd w:val="clear" w:color="auto" w:fill="F4F1EE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A50B849" w14:textId="77777777" w:rsidR="007D0CE1" w:rsidRDefault="00000000">
            <w:pPr>
              <w:spacing w:after="60" w:line="250" w:lineRule="auto"/>
            </w:pPr>
            <w:r>
              <w:rPr>
                <w:b/>
                <w:bCs/>
                <w:sz w:val="18"/>
                <w:szCs w:val="18"/>
              </w:rPr>
              <w:t>Legacy lineage specialists</w:t>
            </w:r>
          </w:p>
          <w:p w14:paraId="55BA8AC1" w14:textId="77777777" w:rsidR="007D0CE1" w:rsidRDefault="00000000">
            <w:pPr>
              <w:spacing w:line="250" w:lineRule="auto"/>
            </w:pPr>
            <w:r>
              <w:rPr>
                <w:b/>
                <w:bCs/>
                <w:sz w:val="18"/>
                <w:szCs w:val="18"/>
              </w:rPr>
              <w:t>(Manta/IBM, Collibra, Atlan)</w:t>
            </w:r>
          </w:p>
        </w:tc>
        <w:tc>
          <w:tcPr>
            <w:tcW w:w="3000" w:type="dxa"/>
            <w:tcBorders>
              <w:top w:val="single" w:sz="4" w:space="0" w:color="D5D0CA"/>
              <w:left w:val="single" w:sz="4" w:space="0" w:color="D5D0CA"/>
              <w:bottom w:val="single" w:sz="4" w:space="0" w:color="D5D0CA"/>
              <w:right w:val="single" w:sz="4" w:space="0" w:color="D5D0CA"/>
            </w:tcBorders>
            <w:shd w:val="clear" w:color="auto" w:fill="F4F1EE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069FDD4" w14:textId="77777777" w:rsidR="007D0CE1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 xml:space="preserve">Manta parses legacy ETL, SSIS, DataStage and stored procedures to column level, and counts a Canadian bank among its customers [11][12]. Atlan consumes </w:t>
            </w:r>
            <w:proofErr w:type="spellStart"/>
            <w:r>
              <w:rPr>
                <w:sz w:val="18"/>
                <w:szCs w:val="18"/>
              </w:rPr>
              <w:t>OpenLineage</w:t>
            </w:r>
            <w:proofErr w:type="spellEnd"/>
            <w:r>
              <w:rPr>
                <w:sz w:val="18"/>
                <w:szCs w:val="18"/>
              </w:rPr>
              <w:t xml:space="preserve"> events and parses SQL for column lineage [9]. Collibra separates technical and business lineage [10].</w:t>
            </w:r>
          </w:p>
        </w:tc>
        <w:tc>
          <w:tcPr>
            <w:tcW w:w="3330" w:type="dxa"/>
            <w:tcBorders>
              <w:top w:val="single" w:sz="4" w:space="0" w:color="D5D0CA"/>
              <w:left w:val="single" w:sz="4" w:space="0" w:color="D5D0CA"/>
              <w:bottom w:val="single" w:sz="4" w:space="0" w:color="D5D0CA"/>
              <w:right w:val="single" w:sz="4" w:space="0" w:color="D5D0CA"/>
            </w:tcBorders>
            <w:shd w:val="clear" w:color="auto" w:fill="F4F1EE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D3BA78D" w14:textId="77777777" w:rsidR="007D0CE1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 xml:space="preserve">Collibra collects stored-procedure names but does not support the PowerCenter Stored Procedure </w:t>
            </w:r>
            <w:proofErr w:type="gramStart"/>
            <w:r>
              <w:rPr>
                <w:sz w:val="18"/>
                <w:szCs w:val="18"/>
              </w:rPr>
              <w:t>transformation, and</w:t>
            </w:r>
            <w:proofErr w:type="gramEnd"/>
            <w:r>
              <w:rPr>
                <w:sz w:val="18"/>
                <w:szCs w:val="18"/>
              </w:rPr>
              <w:t xml:space="preserve"> has limits with dynamic columns and some scripts [10]. Atlan column lineage is limited to relational and SQL sources and some transformation types, and object storage is table-level only [9]. These tools describe estates; they do not convert or verify them.</w:t>
            </w:r>
          </w:p>
        </w:tc>
        <w:tc>
          <w:tcPr>
            <w:tcW w:w="2000" w:type="dxa"/>
            <w:tcBorders>
              <w:top w:val="single" w:sz="4" w:space="0" w:color="D5D0CA"/>
              <w:left w:val="single" w:sz="4" w:space="0" w:color="D5D0CA"/>
              <w:bottom w:val="single" w:sz="4" w:space="0" w:color="D5D0CA"/>
              <w:right w:val="single" w:sz="4" w:space="0" w:color="D5D0CA"/>
            </w:tcBorders>
            <w:shd w:val="clear" w:color="auto" w:fill="F4F1EE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49797AC" w14:textId="77777777" w:rsidR="007D0CE1" w:rsidRDefault="00000000">
            <w:pPr>
              <w:spacing w:after="60" w:line="250" w:lineRule="auto"/>
            </w:pPr>
            <w:r>
              <w:rPr>
                <w:sz w:val="18"/>
                <w:szCs w:val="18"/>
              </w:rPr>
              <w:t>Vendor documentation [9][10][11]</w:t>
            </w:r>
          </w:p>
          <w:p w14:paraId="26A29E51" w14:textId="77777777" w:rsidR="007D0CE1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Secondary [12]</w:t>
            </w:r>
          </w:p>
        </w:tc>
      </w:tr>
      <w:tr w:rsidR="007D0CE1" w14:paraId="0EBD6B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0" w:type="dxa"/>
            <w:tcBorders>
              <w:top w:val="single" w:sz="4" w:space="0" w:color="D5D0CA"/>
              <w:left w:val="single" w:sz="4" w:space="0" w:color="D5D0CA"/>
              <w:bottom w:val="single" w:sz="4" w:space="0" w:color="D5D0CA"/>
              <w:right w:val="single" w:sz="4" w:space="0" w:color="D5D0CA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CD3D2FB" w14:textId="77777777" w:rsidR="007D0CE1" w:rsidRDefault="00000000">
            <w:pPr>
              <w:spacing w:after="60" w:line="250" w:lineRule="auto"/>
            </w:pPr>
            <w:r>
              <w:rPr>
                <w:b/>
                <w:bCs/>
                <w:sz w:val="18"/>
                <w:szCs w:val="18"/>
              </w:rPr>
              <w:t>Mainframe tooling</w:t>
            </w:r>
          </w:p>
          <w:p w14:paraId="1551CAEB" w14:textId="77777777" w:rsidR="007D0CE1" w:rsidRDefault="00000000">
            <w:pPr>
              <w:spacing w:line="250" w:lineRule="auto"/>
            </w:pPr>
            <w:r>
              <w:rPr>
                <w:b/>
                <w:bCs/>
                <w:sz w:val="18"/>
                <w:szCs w:val="18"/>
              </w:rPr>
              <w:t xml:space="preserve">(AWS Transform, IBM </w:t>
            </w:r>
            <w:proofErr w:type="spellStart"/>
            <w:r>
              <w:rPr>
                <w:b/>
                <w:bCs/>
                <w:sz w:val="18"/>
                <w:szCs w:val="18"/>
              </w:rPr>
              <w:t>watsonx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Code Assistant for Z, Mechanical Orchard)</w:t>
            </w:r>
          </w:p>
        </w:tc>
        <w:tc>
          <w:tcPr>
            <w:tcW w:w="3000" w:type="dxa"/>
            <w:tcBorders>
              <w:top w:val="single" w:sz="4" w:space="0" w:color="D5D0CA"/>
              <w:left w:val="single" w:sz="4" w:space="0" w:color="D5D0CA"/>
              <w:bottom w:val="single" w:sz="4" w:space="0" w:color="D5D0CA"/>
              <w:right w:val="single" w:sz="4" w:space="0" w:color="D5D0CA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DE243DA" w14:textId="77777777" w:rsidR="007D0CE1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Adjacent. AWS Transform adds business-rule extraction, lineage and data dictionaries, and test generation [14]. Mechanical Orchard proves equivalence from captured data flows [15].</w:t>
            </w:r>
          </w:p>
        </w:tc>
        <w:tc>
          <w:tcPr>
            <w:tcW w:w="3330" w:type="dxa"/>
            <w:tcBorders>
              <w:top w:val="single" w:sz="4" w:space="0" w:color="D5D0CA"/>
              <w:left w:val="single" w:sz="4" w:space="0" w:color="D5D0CA"/>
              <w:bottom w:val="single" w:sz="4" w:space="0" w:color="D5D0CA"/>
              <w:right w:val="single" w:sz="4" w:space="0" w:color="D5D0CA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C520205" w14:textId="77777777" w:rsidR="007D0CE1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Mainframe-first and tied to their own platforms. Not assessed in depth here.</w:t>
            </w:r>
          </w:p>
        </w:tc>
        <w:tc>
          <w:tcPr>
            <w:tcW w:w="2000" w:type="dxa"/>
            <w:tcBorders>
              <w:top w:val="single" w:sz="4" w:space="0" w:color="D5D0CA"/>
              <w:left w:val="single" w:sz="4" w:space="0" w:color="D5D0CA"/>
              <w:bottom w:val="single" w:sz="4" w:space="0" w:color="D5D0CA"/>
              <w:right w:val="single" w:sz="4" w:space="0" w:color="D5D0CA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1247586" w14:textId="77777777" w:rsidR="007D0CE1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Vendor claim [14][15]</w:t>
            </w:r>
          </w:p>
        </w:tc>
      </w:tr>
    </w:tbl>
    <w:p w14:paraId="13CB1A3C" w14:textId="522F8D4C" w:rsidR="007D0CE1" w:rsidRDefault="00000000">
      <w:pPr>
        <w:spacing w:after="100" w:line="276" w:lineRule="auto"/>
      </w:pPr>
      <w:r>
        <w:rPr>
          <w:i/>
          <w:iCs/>
          <w:color w:val="5B6573"/>
          <w:sz w:val="17"/>
          <w:szCs w:val="17"/>
        </w:rPr>
        <w:t xml:space="preserve">Not assessed: Snowflake </w:t>
      </w:r>
      <w:proofErr w:type="spellStart"/>
      <w:r>
        <w:rPr>
          <w:i/>
          <w:iCs/>
          <w:color w:val="5B6573"/>
          <w:sz w:val="17"/>
          <w:szCs w:val="17"/>
        </w:rPr>
        <w:t>SnowConvert</w:t>
      </w:r>
      <w:proofErr w:type="spellEnd"/>
      <w:r>
        <w:rPr>
          <w:i/>
          <w:iCs/>
          <w:color w:val="5B6573"/>
          <w:sz w:val="17"/>
          <w:szCs w:val="17"/>
        </w:rPr>
        <w:t xml:space="preserve">, Google </w:t>
      </w:r>
      <w:proofErr w:type="spellStart"/>
      <w:r>
        <w:rPr>
          <w:i/>
          <w:iCs/>
          <w:color w:val="5B6573"/>
          <w:sz w:val="17"/>
          <w:szCs w:val="17"/>
        </w:rPr>
        <w:t>BigQuery</w:t>
      </w:r>
      <w:proofErr w:type="spellEnd"/>
      <w:r>
        <w:rPr>
          <w:i/>
          <w:iCs/>
          <w:color w:val="5B6573"/>
          <w:sz w:val="17"/>
          <w:szCs w:val="17"/>
        </w:rPr>
        <w:t xml:space="preserve"> Migration Service, </w:t>
      </w:r>
      <w:proofErr w:type="spellStart"/>
      <w:r>
        <w:rPr>
          <w:i/>
          <w:iCs/>
          <w:color w:val="5B6573"/>
          <w:sz w:val="17"/>
          <w:szCs w:val="17"/>
        </w:rPr>
        <w:t>Matillion</w:t>
      </w:r>
      <w:proofErr w:type="spellEnd"/>
      <w:r>
        <w:rPr>
          <w:i/>
          <w:iCs/>
          <w:color w:val="5B6573"/>
          <w:sz w:val="17"/>
          <w:szCs w:val="17"/>
        </w:rPr>
        <w:t xml:space="preserve">, Prophecy, Talend and Ab Initio native tooling, Microsoft Fabric migration paths, and independent lineage tools such as Alation and </w:t>
      </w:r>
      <w:proofErr w:type="spellStart"/>
      <w:r>
        <w:rPr>
          <w:i/>
          <w:iCs/>
          <w:color w:val="5B6573"/>
          <w:sz w:val="17"/>
          <w:szCs w:val="17"/>
        </w:rPr>
        <w:t>Solidatus</w:t>
      </w:r>
      <w:proofErr w:type="spellEnd"/>
      <w:r>
        <w:rPr>
          <w:i/>
          <w:iCs/>
          <w:color w:val="5B6573"/>
          <w:sz w:val="17"/>
          <w:szCs w:val="17"/>
        </w:rPr>
        <w:t>.</w:t>
      </w:r>
    </w:p>
    <w:p w14:paraId="71BA236B" w14:textId="77777777" w:rsidR="007D0CE1" w:rsidRDefault="00000000">
      <w:pPr>
        <w:pStyle w:val="Heading2"/>
        <w:spacing w:before="200" w:after="80"/>
      </w:pPr>
      <w:r>
        <w:t>2.3 Capability coverage: our reading of public material</w:t>
      </w:r>
    </w:p>
    <w:p w14:paraId="0CEDC5D9" w14:textId="77777777" w:rsidR="007D0CE1" w:rsidRDefault="00000000">
      <w:pPr>
        <w:spacing w:after="120" w:line="276" w:lineRule="auto"/>
      </w:pPr>
      <w:r>
        <w:rPr>
          <w:sz w:val="19"/>
          <w:szCs w:val="19"/>
        </w:rPr>
        <w:t>"Yes" means the capability is described in public material. "Partial" means documented limits or narrow scope. "Not evidenced" means we found nothing, which is not proof of absence.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1500"/>
        <w:gridCol w:w="1500"/>
        <w:gridCol w:w="1580"/>
        <w:gridCol w:w="1500"/>
        <w:gridCol w:w="1500"/>
      </w:tblGrid>
      <w:tr w:rsidR="007D0CE1" w14:paraId="6FEDCF0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4" w:space="0" w:color="D5D0CA"/>
              <w:left w:val="single" w:sz="4" w:space="0" w:color="D5D0CA"/>
              <w:bottom w:val="single" w:sz="4" w:space="0" w:color="D5D0CA"/>
              <w:right w:val="single" w:sz="4" w:space="0" w:color="D5D0CA"/>
            </w:tcBorders>
            <w:shd w:val="clear" w:color="auto" w:fill="1F2A3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8CBC09E" w14:textId="77777777" w:rsidR="007D0CE1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Capability</w:t>
            </w:r>
          </w:p>
        </w:tc>
        <w:tc>
          <w:tcPr>
            <w:tcW w:w="1500" w:type="dxa"/>
            <w:tcBorders>
              <w:top w:val="single" w:sz="4" w:space="0" w:color="D5D0CA"/>
              <w:left w:val="single" w:sz="4" w:space="0" w:color="D5D0CA"/>
              <w:bottom w:val="single" w:sz="4" w:space="0" w:color="D5D0CA"/>
              <w:right w:val="single" w:sz="4" w:space="0" w:color="D5D0CA"/>
            </w:tcBorders>
            <w:shd w:val="clear" w:color="auto" w:fill="1F2A3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BA93C5F" w14:textId="77777777" w:rsidR="007D0CE1" w:rsidRDefault="00000000">
            <w:pPr>
              <w:spacing w:line="25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Lakebridge</w:t>
            </w:r>
            <w:proofErr w:type="spellEnd"/>
          </w:p>
        </w:tc>
        <w:tc>
          <w:tcPr>
            <w:tcW w:w="1500" w:type="dxa"/>
            <w:tcBorders>
              <w:top w:val="single" w:sz="4" w:space="0" w:color="D5D0CA"/>
              <w:left w:val="single" w:sz="4" w:space="0" w:color="D5D0CA"/>
              <w:bottom w:val="single" w:sz="4" w:space="0" w:color="D5D0CA"/>
              <w:right w:val="single" w:sz="4" w:space="0" w:color="D5D0CA"/>
            </w:tcBorders>
            <w:shd w:val="clear" w:color="auto" w:fill="1F2A3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67DF397" w14:textId="77777777" w:rsidR="007D0CE1" w:rsidRDefault="00000000">
            <w:pPr>
              <w:spacing w:line="25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Datafold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agent</w:t>
            </w:r>
          </w:p>
        </w:tc>
        <w:tc>
          <w:tcPr>
            <w:tcW w:w="1580" w:type="dxa"/>
            <w:tcBorders>
              <w:top w:val="single" w:sz="4" w:space="0" w:color="D5D0CA"/>
              <w:left w:val="single" w:sz="4" w:space="0" w:color="D5D0CA"/>
              <w:bottom w:val="single" w:sz="4" w:space="0" w:color="D5D0CA"/>
              <w:right w:val="single" w:sz="4" w:space="0" w:color="D5D0CA"/>
            </w:tcBorders>
            <w:shd w:val="clear" w:color="auto" w:fill="1F2A3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8F68AA0" w14:textId="77777777" w:rsidR="007D0CE1" w:rsidRDefault="00000000">
            <w:pPr>
              <w:spacing w:line="25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Services accelerators</w:t>
            </w:r>
          </w:p>
        </w:tc>
        <w:tc>
          <w:tcPr>
            <w:tcW w:w="1500" w:type="dxa"/>
            <w:tcBorders>
              <w:top w:val="single" w:sz="4" w:space="0" w:color="D5D0CA"/>
              <w:left w:val="single" w:sz="4" w:space="0" w:color="D5D0CA"/>
              <w:bottom w:val="single" w:sz="4" w:space="0" w:color="D5D0CA"/>
              <w:right w:val="single" w:sz="4" w:space="0" w:color="D5D0CA"/>
            </w:tcBorders>
            <w:shd w:val="clear" w:color="auto" w:fill="1F2A3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530DA65" w14:textId="77777777" w:rsidR="007D0CE1" w:rsidRDefault="00000000">
            <w:pPr>
              <w:spacing w:line="25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Lineage and catalog tools</w:t>
            </w:r>
          </w:p>
        </w:tc>
        <w:tc>
          <w:tcPr>
            <w:tcW w:w="1500" w:type="dxa"/>
            <w:tcBorders>
              <w:top w:val="single" w:sz="4" w:space="0" w:color="D5D0CA"/>
              <w:left w:val="single" w:sz="4" w:space="0" w:color="D5D0CA"/>
              <w:bottom w:val="single" w:sz="4" w:space="0" w:color="D5D0CA"/>
              <w:right w:val="single" w:sz="4" w:space="0" w:color="D5D0CA"/>
            </w:tcBorders>
            <w:shd w:val="clear" w:color="auto" w:fill="1F2A3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E3705FF" w14:textId="77777777" w:rsidR="007D0CE1" w:rsidRDefault="00000000">
            <w:pPr>
              <w:spacing w:line="25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AWS-native</w:t>
            </w:r>
          </w:p>
        </w:tc>
      </w:tr>
      <w:tr w:rsidR="007D0CE1" w14:paraId="1D90C7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D5D0CA"/>
              <w:left w:val="single" w:sz="4" w:space="0" w:color="D5D0CA"/>
              <w:bottom w:val="single" w:sz="4" w:space="0" w:color="D5D0CA"/>
              <w:right w:val="single" w:sz="4" w:space="0" w:color="D5D0CA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12CB6CF" w14:textId="77777777" w:rsidR="007D0CE1" w:rsidRDefault="00000000">
            <w:pPr>
              <w:spacing w:line="250" w:lineRule="auto"/>
            </w:pPr>
            <w:r>
              <w:rPr>
                <w:b/>
                <w:bCs/>
                <w:sz w:val="17"/>
                <w:szCs w:val="17"/>
              </w:rPr>
              <w:t>Estate assessment and inventory</w:t>
            </w:r>
          </w:p>
        </w:tc>
        <w:tc>
          <w:tcPr>
            <w:tcW w:w="1500" w:type="dxa"/>
            <w:tcBorders>
              <w:top w:val="single" w:sz="4" w:space="0" w:color="D5D0CA"/>
              <w:left w:val="single" w:sz="4" w:space="0" w:color="D5D0CA"/>
              <w:bottom w:val="single" w:sz="4" w:space="0" w:color="D5D0CA"/>
              <w:right w:val="single" w:sz="4" w:space="0" w:color="D5D0CA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B6DE68E" w14:textId="77777777" w:rsidR="007D0CE1" w:rsidRDefault="00000000">
            <w:pPr>
              <w:spacing w:line="250" w:lineRule="auto"/>
              <w:jc w:val="center"/>
            </w:pPr>
            <w:r>
              <w:rPr>
                <w:sz w:val="17"/>
                <w:szCs w:val="17"/>
              </w:rPr>
              <w:t>Yes</w:t>
            </w:r>
          </w:p>
        </w:tc>
        <w:tc>
          <w:tcPr>
            <w:tcW w:w="1500" w:type="dxa"/>
            <w:tcBorders>
              <w:top w:val="single" w:sz="4" w:space="0" w:color="D5D0CA"/>
              <w:left w:val="single" w:sz="4" w:space="0" w:color="D5D0CA"/>
              <w:bottom w:val="single" w:sz="4" w:space="0" w:color="D5D0CA"/>
              <w:right w:val="single" w:sz="4" w:space="0" w:color="D5D0CA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232E11A" w14:textId="77777777" w:rsidR="007D0CE1" w:rsidRDefault="00000000">
            <w:pPr>
              <w:spacing w:line="250" w:lineRule="auto"/>
              <w:jc w:val="center"/>
            </w:pPr>
            <w:r>
              <w:rPr>
                <w:sz w:val="17"/>
                <w:szCs w:val="17"/>
              </w:rPr>
              <w:t>Partial</w:t>
            </w:r>
          </w:p>
        </w:tc>
        <w:tc>
          <w:tcPr>
            <w:tcW w:w="1580" w:type="dxa"/>
            <w:tcBorders>
              <w:top w:val="single" w:sz="4" w:space="0" w:color="D5D0CA"/>
              <w:left w:val="single" w:sz="4" w:space="0" w:color="D5D0CA"/>
              <w:bottom w:val="single" w:sz="4" w:space="0" w:color="D5D0CA"/>
              <w:right w:val="single" w:sz="4" w:space="0" w:color="D5D0CA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4F284AD" w14:textId="77777777" w:rsidR="007D0CE1" w:rsidRDefault="00000000">
            <w:pPr>
              <w:spacing w:line="250" w:lineRule="auto"/>
              <w:jc w:val="center"/>
            </w:pPr>
            <w:r>
              <w:rPr>
                <w:sz w:val="17"/>
                <w:szCs w:val="17"/>
              </w:rPr>
              <w:t>Yes</w:t>
            </w:r>
          </w:p>
        </w:tc>
        <w:tc>
          <w:tcPr>
            <w:tcW w:w="1500" w:type="dxa"/>
            <w:tcBorders>
              <w:top w:val="single" w:sz="4" w:space="0" w:color="D5D0CA"/>
              <w:left w:val="single" w:sz="4" w:space="0" w:color="D5D0CA"/>
              <w:bottom w:val="single" w:sz="4" w:space="0" w:color="D5D0CA"/>
              <w:right w:val="single" w:sz="4" w:space="0" w:color="D5D0CA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6D8BFB5" w14:textId="77777777" w:rsidR="007D0CE1" w:rsidRDefault="00000000">
            <w:pPr>
              <w:spacing w:line="250" w:lineRule="auto"/>
              <w:jc w:val="center"/>
            </w:pPr>
            <w:r>
              <w:rPr>
                <w:sz w:val="17"/>
                <w:szCs w:val="17"/>
              </w:rPr>
              <w:t>Partial</w:t>
            </w:r>
          </w:p>
        </w:tc>
        <w:tc>
          <w:tcPr>
            <w:tcW w:w="1500" w:type="dxa"/>
            <w:tcBorders>
              <w:top w:val="single" w:sz="4" w:space="0" w:color="D5D0CA"/>
              <w:left w:val="single" w:sz="4" w:space="0" w:color="D5D0CA"/>
              <w:bottom w:val="single" w:sz="4" w:space="0" w:color="D5D0CA"/>
              <w:right w:val="single" w:sz="4" w:space="0" w:color="D5D0CA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43F5AF2" w14:textId="77777777" w:rsidR="007D0CE1" w:rsidRDefault="00000000">
            <w:pPr>
              <w:spacing w:line="250" w:lineRule="auto"/>
              <w:jc w:val="center"/>
            </w:pPr>
            <w:r>
              <w:rPr>
                <w:sz w:val="17"/>
                <w:szCs w:val="17"/>
              </w:rPr>
              <w:t>Not evidenced</w:t>
            </w:r>
          </w:p>
        </w:tc>
      </w:tr>
      <w:tr w:rsidR="007D0CE1" w14:paraId="60E080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D5D0CA"/>
              <w:left w:val="single" w:sz="4" w:space="0" w:color="D5D0CA"/>
              <w:bottom w:val="single" w:sz="4" w:space="0" w:color="D5D0CA"/>
              <w:right w:val="single" w:sz="4" w:space="0" w:color="D5D0CA"/>
            </w:tcBorders>
            <w:shd w:val="clear" w:color="auto" w:fill="F4F1EE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64B5E9F" w14:textId="77777777" w:rsidR="007D0CE1" w:rsidRDefault="00000000">
            <w:pPr>
              <w:spacing w:line="250" w:lineRule="auto"/>
            </w:pPr>
            <w:r>
              <w:rPr>
                <w:b/>
                <w:bCs/>
                <w:sz w:val="17"/>
                <w:szCs w:val="17"/>
              </w:rPr>
              <w:t>Conversion to Spark code</w:t>
            </w:r>
          </w:p>
        </w:tc>
        <w:tc>
          <w:tcPr>
            <w:tcW w:w="1500" w:type="dxa"/>
            <w:tcBorders>
              <w:top w:val="single" w:sz="4" w:space="0" w:color="D5D0CA"/>
              <w:left w:val="single" w:sz="4" w:space="0" w:color="D5D0CA"/>
              <w:bottom w:val="single" w:sz="4" w:space="0" w:color="D5D0CA"/>
              <w:right w:val="single" w:sz="4" w:space="0" w:color="D5D0CA"/>
            </w:tcBorders>
            <w:shd w:val="clear" w:color="auto" w:fill="F4F1EE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479E61C" w14:textId="77777777" w:rsidR="007D0CE1" w:rsidRDefault="00000000">
            <w:pPr>
              <w:spacing w:line="250" w:lineRule="auto"/>
              <w:jc w:val="center"/>
            </w:pPr>
            <w:r>
              <w:rPr>
                <w:sz w:val="17"/>
                <w:szCs w:val="17"/>
              </w:rPr>
              <w:t>Yes (Databricks)</w:t>
            </w:r>
          </w:p>
        </w:tc>
        <w:tc>
          <w:tcPr>
            <w:tcW w:w="1500" w:type="dxa"/>
            <w:tcBorders>
              <w:top w:val="single" w:sz="4" w:space="0" w:color="D5D0CA"/>
              <w:left w:val="single" w:sz="4" w:space="0" w:color="D5D0CA"/>
              <w:bottom w:val="single" w:sz="4" w:space="0" w:color="D5D0CA"/>
              <w:right w:val="single" w:sz="4" w:space="0" w:color="D5D0CA"/>
            </w:tcBorders>
            <w:shd w:val="clear" w:color="auto" w:fill="F4F1EE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37D8CAC" w14:textId="77777777" w:rsidR="007D0CE1" w:rsidRDefault="00000000">
            <w:pPr>
              <w:spacing w:line="250" w:lineRule="auto"/>
              <w:jc w:val="center"/>
            </w:pPr>
            <w:r>
              <w:rPr>
                <w:sz w:val="17"/>
                <w:szCs w:val="17"/>
              </w:rPr>
              <w:t>Yes</w:t>
            </w:r>
          </w:p>
        </w:tc>
        <w:tc>
          <w:tcPr>
            <w:tcW w:w="1580" w:type="dxa"/>
            <w:tcBorders>
              <w:top w:val="single" w:sz="4" w:space="0" w:color="D5D0CA"/>
              <w:left w:val="single" w:sz="4" w:space="0" w:color="D5D0CA"/>
              <w:bottom w:val="single" w:sz="4" w:space="0" w:color="D5D0CA"/>
              <w:right w:val="single" w:sz="4" w:space="0" w:color="D5D0CA"/>
            </w:tcBorders>
            <w:shd w:val="clear" w:color="auto" w:fill="F4F1EE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28A8DC8" w14:textId="77777777" w:rsidR="007D0CE1" w:rsidRDefault="00000000">
            <w:pPr>
              <w:spacing w:line="250" w:lineRule="auto"/>
              <w:jc w:val="center"/>
            </w:pPr>
            <w:r>
              <w:rPr>
                <w:sz w:val="17"/>
                <w:szCs w:val="17"/>
              </w:rPr>
              <w:t>Partial (~50% reported)</w:t>
            </w:r>
          </w:p>
        </w:tc>
        <w:tc>
          <w:tcPr>
            <w:tcW w:w="1500" w:type="dxa"/>
            <w:tcBorders>
              <w:top w:val="single" w:sz="4" w:space="0" w:color="D5D0CA"/>
              <w:left w:val="single" w:sz="4" w:space="0" w:color="D5D0CA"/>
              <w:bottom w:val="single" w:sz="4" w:space="0" w:color="D5D0CA"/>
              <w:right w:val="single" w:sz="4" w:space="0" w:color="D5D0CA"/>
            </w:tcBorders>
            <w:shd w:val="clear" w:color="auto" w:fill="F4F1EE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86E0FB2" w14:textId="77777777" w:rsidR="007D0CE1" w:rsidRDefault="00000000">
            <w:pPr>
              <w:spacing w:line="250" w:lineRule="auto"/>
              <w:jc w:val="center"/>
            </w:pPr>
            <w:r>
              <w:rPr>
                <w:sz w:val="17"/>
                <w:szCs w:val="17"/>
              </w:rPr>
              <w:t>No</w:t>
            </w:r>
          </w:p>
        </w:tc>
        <w:tc>
          <w:tcPr>
            <w:tcW w:w="1500" w:type="dxa"/>
            <w:tcBorders>
              <w:top w:val="single" w:sz="4" w:space="0" w:color="D5D0CA"/>
              <w:left w:val="single" w:sz="4" w:space="0" w:color="D5D0CA"/>
              <w:bottom w:val="single" w:sz="4" w:space="0" w:color="D5D0CA"/>
              <w:right w:val="single" w:sz="4" w:space="0" w:color="D5D0CA"/>
            </w:tcBorders>
            <w:shd w:val="clear" w:color="auto" w:fill="F4F1EE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15CD192" w14:textId="77777777" w:rsidR="007D0CE1" w:rsidRDefault="00000000">
            <w:pPr>
              <w:spacing w:line="250" w:lineRule="auto"/>
              <w:jc w:val="center"/>
            </w:pPr>
            <w:r>
              <w:rPr>
                <w:sz w:val="17"/>
                <w:szCs w:val="17"/>
              </w:rPr>
              <w:t>Not evidenced</w:t>
            </w:r>
          </w:p>
        </w:tc>
      </w:tr>
      <w:tr w:rsidR="007D0CE1" w14:paraId="249510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D5D0CA"/>
              <w:left w:val="single" w:sz="4" w:space="0" w:color="D5D0CA"/>
              <w:bottom w:val="single" w:sz="4" w:space="0" w:color="D5D0CA"/>
              <w:right w:val="single" w:sz="4" w:space="0" w:color="D5D0CA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FAD3870" w14:textId="77777777" w:rsidR="007D0CE1" w:rsidRDefault="00000000">
            <w:pPr>
              <w:spacing w:line="250" w:lineRule="auto"/>
            </w:pPr>
            <w:r>
              <w:rPr>
                <w:b/>
                <w:bCs/>
                <w:sz w:val="17"/>
                <w:szCs w:val="17"/>
              </w:rPr>
              <w:t>Conversion to AWS Glue</w:t>
            </w:r>
          </w:p>
        </w:tc>
        <w:tc>
          <w:tcPr>
            <w:tcW w:w="1500" w:type="dxa"/>
            <w:tcBorders>
              <w:top w:val="single" w:sz="4" w:space="0" w:color="D5D0CA"/>
              <w:left w:val="single" w:sz="4" w:space="0" w:color="D5D0CA"/>
              <w:bottom w:val="single" w:sz="4" w:space="0" w:color="D5D0CA"/>
              <w:right w:val="single" w:sz="4" w:space="0" w:color="D5D0CA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35AF282" w14:textId="77777777" w:rsidR="007D0CE1" w:rsidRDefault="00000000">
            <w:pPr>
              <w:spacing w:line="250" w:lineRule="auto"/>
              <w:jc w:val="center"/>
            </w:pPr>
            <w:r>
              <w:rPr>
                <w:sz w:val="17"/>
                <w:szCs w:val="17"/>
              </w:rPr>
              <w:t>No</w:t>
            </w:r>
          </w:p>
        </w:tc>
        <w:tc>
          <w:tcPr>
            <w:tcW w:w="1500" w:type="dxa"/>
            <w:tcBorders>
              <w:top w:val="single" w:sz="4" w:space="0" w:color="D5D0CA"/>
              <w:left w:val="single" w:sz="4" w:space="0" w:color="D5D0CA"/>
              <w:bottom w:val="single" w:sz="4" w:space="0" w:color="D5D0CA"/>
              <w:right w:val="single" w:sz="4" w:space="0" w:color="D5D0CA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3164C8D" w14:textId="77777777" w:rsidR="007D0CE1" w:rsidRDefault="00000000">
            <w:pPr>
              <w:spacing w:line="250" w:lineRule="auto"/>
              <w:jc w:val="center"/>
            </w:pPr>
            <w:r>
              <w:rPr>
                <w:sz w:val="17"/>
                <w:szCs w:val="17"/>
              </w:rPr>
              <w:t>Not evidenced</w:t>
            </w:r>
          </w:p>
        </w:tc>
        <w:tc>
          <w:tcPr>
            <w:tcW w:w="1580" w:type="dxa"/>
            <w:tcBorders>
              <w:top w:val="single" w:sz="4" w:space="0" w:color="D5D0CA"/>
              <w:left w:val="single" w:sz="4" w:space="0" w:color="D5D0CA"/>
              <w:bottom w:val="single" w:sz="4" w:space="0" w:color="D5D0CA"/>
              <w:right w:val="single" w:sz="4" w:space="0" w:color="D5D0CA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983A991" w14:textId="77777777" w:rsidR="007D0CE1" w:rsidRDefault="00000000">
            <w:pPr>
              <w:spacing w:line="250" w:lineRule="auto"/>
              <w:jc w:val="center"/>
            </w:pPr>
            <w:r>
              <w:rPr>
                <w:sz w:val="17"/>
                <w:szCs w:val="17"/>
              </w:rPr>
              <w:t>Yes</w:t>
            </w:r>
          </w:p>
        </w:tc>
        <w:tc>
          <w:tcPr>
            <w:tcW w:w="1500" w:type="dxa"/>
            <w:tcBorders>
              <w:top w:val="single" w:sz="4" w:space="0" w:color="D5D0CA"/>
              <w:left w:val="single" w:sz="4" w:space="0" w:color="D5D0CA"/>
              <w:bottom w:val="single" w:sz="4" w:space="0" w:color="D5D0CA"/>
              <w:right w:val="single" w:sz="4" w:space="0" w:color="D5D0CA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B0D128A" w14:textId="77777777" w:rsidR="007D0CE1" w:rsidRDefault="00000000">
            <w:pPr>
              <w:spacing w:line="250" w:lineRule="auto"/>
              <w:jc w:val="center"/>
            </w:pPr>
            <w:r>
              <w:rPr>
                <w:sz w:val="17"/>
                <w:szCs w:val="17"/>
              </w:rPr>
              <w:t>No</w:t>
            </w:r>
          </w:p>
        </w:tc>
        <w:tc>
          <w:tcPr>
            <w:tcW w:w="1500" w:type="dxa"/>
            <w:tcBorders>
              <w:top w:val="single" w:sz="4" w:space="0" w:color="D5D0CA"/>
              <w:left w:val="single" w:sz="4" w:space="0" w:color="D5D0CA"/>
              <w:bottom w:val="single" w:sz="4" w:space="0" w:color="D5D0CA"/>
              <w:right w:val="single" w:sz="4" w:space="0" w:color="D5D0CA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F8D236E" w14:textId="77777777" w:rsidR="007D0CE1" w:rsidRDefault="00000000">
            <w:pPr>
              <w:spacing w:line="250" w:lineRule="auto"/>
              <w:jc w:val="center"/>
            </w:pPr>
            <w:r>
              <w:rPr>
                <w:sz w:val="17"/>
                <w:szCs w:val="17"/>
              </w:rPr>
              <w:t>Not evidenced</w:t>
            </w:r>
          </w:p>
        </w:tc>
      </w:tr>
      <w:tr w:rsidR="007D0CE1" w14:paraId="000B50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D5D0CA"/>
              <w:left w:val="single" w:sz="4" w:space="0" w:color="D5D0CA"/>
              <w:bottom w:val="single" w:sz="4" w:space="0" w:color="D5D0CA"/>
              <w:right w:val="single" w:sz="4" w:space="0" w:color="D5D0CA"/>
            </w:tcBorders>
            <w:shd w:val="clear" w:color="auto" w:fill="F4F1EE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5B9DEE8" w14:textId="77777777" w:rsidR="007D0CE1" w:rsidRDefault="00000000">
            <w:pPr>
              <w:spacing w:line="250" w:lineRule="auto"/>
            </w:pPr>
            <w:r>
              <w:rPr>
                <w:b/>
                <w:bCs/>
                <w:sz w:val="17"/>
                <w:szCs w:val="17"/>
              </w:rPr>
              <w:t>Orchestration conversion</w:t>
            </w:r>
          </w:p>
        </w:tc>
        <w:tc>
          <w:tcPr>
            <w:tcW w:w="1500" w:type="dxa"/>
            <w:tcBorders>
              <w:top w:val="single" w:sz="4" w:space="0" w:color="D5D0CA"/>
              <w:left w:val="single" w:sz="4" w:space="0" w:color="D5D0CA"/>
              <w:bottom w:val="single" w:sz="4" w:space="0" w:color="D5D0CA"/>
              <w:right w:val="single" w:sz="4" w:space="0" w:color="D5D0CA"/>
            </w:tcBorders>
            <w:shd w:val="clear" w:color="auto" w:fill="F4F1EE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6A91CB5" w14:textId="77777777" w:rsidR="007D0CE1" w:rsidRDefault="00000000">
            <w:pPr>
              <w:spacing w:line="250" w:lineRule="auto"/>
              <w:jc w:val="center"/>
            </w:pPr>
            <w:r>
              <w:rPr>
                <w:sz w:val="17"/>
                <w:szCs w:val="17"/>
              </w:rPr>
              <w:t>Partial</w:t>
            </w:r>
          </w:p>
        </w:tc>
        <w:tc>
          <w:tcPr>
            <w:tcW w:w="1500" w:type="dxa"/>
            <w:tcBorders>
              <w:top w:val="single" w:sz="4" w:space="0" w:color="D5D0CA"/>
              <w:left w:val="single" w:sz="4" w:space="0" w:color="D5D0CA"/>
              <w:bottom w:val="single" w:sz="4" w:space="0" w:color="D5D0CA"/>
              <w:right w:val="single" w:sz="4" w:space="0" w:color="D5D0CA"/>
            </w:tcBorders>
            <w:shd w:val="clear" w:color="auto" w:fill="F4F1EE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0BF2EF5" w14:textId="77777777" w:rsidR="007D0CE1" w:rsidRDefault="00000000">
            <w:pPr>
              <w:spacing w:line="250" w:lineRule="auto"/>
              <w:jc w:val="center"/>
            </w:pPr>
            <w:r>
              <w:rPr>
                <w:sz w:val="17"/>
                <w:szCs w:val="17"/>
              </w:rPr>
              <w:t>Partial</w:t>
            </w:r>
          </w:p>
        </w:tc>
        <w:tc>
          <w:tcPr>
            <w:tcW w:w="1580" w:type="dxa"/>
            <w:tcBorders>
              <w:top w:val="single" w:sz="4" w:space="0" w:color="D5D0CA"/>
              <w:left w:val="single" w:sz="4" w:space="0" w:color="D5D0CA"/>
              <w:bottom w:val="single" w:sz="4" w:space="0" w:color="D5D0CA"/>
              <w:right w:val="single" w:sz="4" w:space="0" w:color="D5D0CA"/>
            </w:tcBorders>
            <w:shd w:val="clear" w:color="auto" w:fill="F4F1EE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17959BA" w14:textId="77777777" w:rsidR="007D0CE1" w:rsidRDefault="00000000">
            <w:pPr>
              <w:spacing w:line="250" w:lineRule="auto"/>
              <w:jc w:val="center"/>
            </w:pPr>
            <w:r>
              <w:rPr>
                <w:sz w:val="17"/>
                <w:szCs w:val="17"/>
              </w:rPr>
              <w:t>Partial</w:t>
            </w:r>
          </w:p>
        </w:tc>
        <w:tc>
          <w:tcPr>
            <w:tcW w:w="1500" w:type="dxa"/>
            <w:tcBorders>
              <w:top w:val="single" w:sz="4" w:space="0" w:color="D5D0CA"/>
              <w:left w:val="single" w:sz="4" w:space="0" w:color="D5D0CA"/>
              <w:bottom w:val="single" w:sz="4" w:space="0" w:color="D5D0CA"/>
              <w:right w:val="single" w:sz="4" w:space="0" w:color="D5D0CA"/>
            </w:tcBorders>
            <w:shd w:val="clear" w:color="auto" w:fill="F4F1EE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773FD8D" w14:textId="77777777" w:rsidR="007D0CE1" w:rsidRDefault="00000000">
            <w:pPr>
              <w:spacing w:line="250" w:lineRule="auto"/>
              <w:jc w:val="center"/>
            </w:pPr>
            <w:r>
              <w:rPr>
                <w:sz w:val="17"/>
                <w:szCs w:val="17"/>
              </w:rPr>
              <w:t>No</w:t>
            </w:r>
          </w:p>
        </w:tc>
        <w:tc>
          <w:tcPr>
            <w:tcW w:w="1500" w:type="dxa"/>
            <w:tcBorders>
              <w:top w:val="single" w:sz="4" w:space="0" w:color="D5D0CA"/>
              <w:left w:val="single" w:sz="4" w:space="0" w:color="D5D0CA"/>
              <w:bottom w:val="single" w:sz="4" w:space="0" w:color="D5D0CA"/>
              <w:right w:val="single" w:sz="4" w:space="0" w:color="D5D0CA"/>
            </w:tcBorders>
            <w:shd w:val="clear" w:color="auto" w:fill="F4F1EE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7D2E0EA" w14:textId="77777777" w:rsidR="007D0CE1" w:rsidRDefault="00000000">
            <w:pPr>
              <w:spacing w:line="250" w:lineRule="auto"/>
              <w:jc w:val="center"/>
            </w:pPr>
            <w:r>
              <w:rPr>
                <w:sz w:val="17"/>
                <w:szCs w:val="17"/>
              </w:rPr>
              <w:t>No</w:t>
            </w:r>
          </w:p>
        </w:tc>
      </w:tr>
      <w:tr w:rsidR="007D0CE1" w14:paraId="7AC7FC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D5D0CA"/>
              <w:left w:val="single" w:sz="4" w:space="0" w:color="D5D0CA"/>
              <w:bottom w:val="single" w:sz="4" w:space="0" w:color="D5D0CA"/>
              <w:right w:val="single" w:sz="4" w:space="0" w:color="D5D0CA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D2C0E07" w14:textId="77777777" w:rsidR="007D0CE1" w:rsidRDefault="00000000">
            <w:pPr>
              <w:spacing w:line="250" w:lineRule="auto"/>
            </w:pPr>
            <w:r>
              <w:rPr>
                <w:b/>
                <w:bCs/>
                <w:sz w:val="17"/>
                <w:szCs w:val="17"/>
              </w:rPr>
              <w:t>Data parity validation</w:t>
            </w:r>
          </w:p>
        </w:tc>
        <w:tc>
          <w:tcPr>
            <w:tcW w:w="1500" w:type="dxa"/>
            <w:tcBorders>
              <w:top w:val="single" w:sz="4" w:space="0" w:color="D5D0CA"/>
              <w:left w:val="single" w:sz="4" w:space="0" w:color="D5D0CA"/>
              <w:bottom w:val="single" w:sz="4" w:space="0" w:color="D5D0CA"/>
              <w:right w:val="single" w:sz="4" w:space="0" w:color="D5D0CA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E230766" w14:textId="77777777" w:rsidR="007D0CE1" w:rsidRDefault="00000000">
            <w:pPr>
              <w:spacing w:line="250" w:lineRule="auto"/>
              <w:jc w:val="center"/>
            </w:pPr>
            <w:r>
              <w:rPr>
                <w:sz w:val="17"/>
                <w:szCs w:val="17"/>
              </w:rPr>
              <w:t>Partial</w:t>
            </w:r>
          </w:p>
        </w:tc>
        <w:tc>
          <w:tcPr>
            <w:tcW w:w="1500" w:type="dxa"/>
            <w:tcBorders>
              <w:top w:val="single" w:sz="4" w:space="0" w:color="D5D0CA"/>
              <w:left w:val="single" w:sz="4" w:space="0" w:color="D5D0CA"/>
              <w:bottom w:val="single" w:sz="4" w:space="0" w:color="D5D0CA"/>
              <w:right w:val="single" w:sz="4" w:space="0" w:color="D5D0CA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0DFA7E7" w14:textId="77777777" w:rsidR="007D0CE1" w:rsidRDefault="00000000">
            <w:pPr>
              <w:spacing w:line="250" w:lineRule="auto"/>
              <w:jc w:val="center"/>
            </w:pPr>
            <w:r>
              <w:rPr>
                <w:sz w:val="17"/>
                <w:szCs w:val="17"/>
              </w:rPr>
              <w:t>Yes</w:t>
            </w:r>
          </w:p>
        </w:tc>
        <w:tc>
          <w:tcPr>
            <w:tcW w:w="1580" w:type="dxa"/>
            <w:tcBorders>
              <w:top w:val="single" w:sz="4" w:space="0" w:color="D5D0CA"/>
              <w:left w:val="single" w:sz="4" w:space="0" w:color="D5D0CA"/>
              <w:bottom w:val="single" w:sz="4" w:space="0" w:color="D5D0CA"/>
              <w:right w:val="single" w:sz="4" w:space="0" w:color="D5D0CA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F390635" w14:textId="77777777" w:rsidR="007D0CE1" w:rsidRDefault="00000000">
            <w:pPr>
              <w:spacing w:line="250" w:lineRule="auto"/>
              <w:jc w:val="center"/>
            </w:pPr>
            <w:r>
              <w:rPr>
                <w:sz w:val="17"/>
                <w:szCs w:val="17"/>
              </w:rPr>
              <w:t>Partial</w:t>
            </w:r>
          </w:p>
        </w:tc>
        <w:tc>
          <w:tcPr>
            <w:tcW w:w="1500" w:type="dxa"/>
            <w:tcBorders>
              <w:top w:val="single" w:sz="4" w:space="0" w:color="D5D0CA"/>
              <w:left w:val="single" w:sz="4" w:space="0" w:color="D5D0CA"/>
              <w:bottom w:val="single" w:sz="4" w:space="0" w:color="D5D0CA"/>
              <w:right w:val="single" w:sz="4" w:space="0" w:color="D5D0CA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9B00F6B" w14:textId="77777777" w:rsidR="007D0CE1" w:rsidRDefault="00000000">
            <w:pPr>
              <w:spacing w:line="250" w:lineRule="auto"/>
              <w:jc w:val="center"/>
            </w:pPr>
            <w:r>
              <w:rPr>
                <w:sz w:val="17"/>
                <w:szCs w:val="17"/>
              </w:rPr>
              <w:t>No</w:t>
            </w:r>
          </w:p>
        </w:tc>
        <w:tc>
          <w:tcPr>
            <w:tcW w:w="1500" w:type="dxa"/>
            <w:tcBorders>
              <w:top w:val="single" w:sz="4" w:space="0" w:color="D5D0CA"/>
              <w:left w:val="single" w:sz="4" w:space="0" w:color="D5D0CA"/>
              <w:bottom w:val="single" w:sz="4" w:space="0" w:color="D5D0CA"/>
              <w:right w:val="single" w:sz="4" w:space="0" w:color="D5D0CA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24C78EC" w14:textId="77777777" w:rsidR="007D0CE1" w:rsidRDefault="00000000">
            <w:pPr>
              <w:spacing w:line="250" w:lineRule="auto"/>
              <w:jc w:val="center"/>
            </w:pPr>
            <w:r>
              <w:rPr>
                <w:sz w:val="17"/>
                <w:szCs w:val="17"/>
              </w:rPr>
              <w:t>Not assessed</w:t>
            </w:r>
          </w:p>
        </w:tc>
      </w:tr>
      <w:tr w:rsidR="007D0CE1" w14:paraId="57BCD0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D5D0CA"/>
              <w:left w:val="single" w:sz="4" w:space="0" w:color="D5D0CA"/>
              <w:bottom w:val="single" w:sz="4" w:space="0" w:color="D5D0CA"/>
              <w:right w:val="single" w:sz="4" w:space="0" w:color="D5D0CA"/>
            </w:tcBorders>
            <w:shd w:val="clear" w:color="auto" w:fill="F4F1EE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51E7F54" w14:textId="77777777" w:rsidR="007D0CE1" w:rsidRDefault="00000000">
            <w:pPr>
              <w:spacing w:line="250" w:lineRule="auto"/>
            </w:pPr>
            <w:r>
              <w:rPr>
                <w:b/>
                <w:bCs/>
                <w:sz w:val="17"/>
                <w:szCs w:val="17"/>
              </w:rPr>
              <w:t>Legacy lineage extraction</w:t>
            </w:r>
          </w:p>
        </w:tc>
        <w:tc>
          <w:tcPr>
            <w:tcW w:w="1500" w:type="dxa"/>
            <w:tcBorders>
              <w:top w:val="single" w:sz="4" w:space="0" w:color="D5D0CA"/>
              <w:left w:val="single" w:sz="4" w:space="0" w:color="D5D0CA"/>
              <w:bottom w:val="single" w:sz="4" w:space="0" w:color="D5D0CA"/>
              <w:right w:val="single" w:sz="4" w:space="0" w:color="D5D0CA"/>
            </w:tcBorders>
            <w:shd w:val="clear" w:color="auto" w:fill="F4F1EE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E07A14A" w14:textId="77777777" w:rsidR="007D0CE1" w:rsidRDefault="00000000">
            <w:pPr>
              <w:spacing w:line="250" w:lineRule="auto"/>
              <w:jc w:val="center"/>
            </w:pPr>
            <w:r>
              <w:rPr>
                <w:sz w:val="17"/>
                <w:szCs w:val="17"/>
              </w:rPr>
              <w:t>No</w:t>
            </w:r>
          </w:p>
        </w:tc>
        <w:tc>
          <w:tcPr>
            <w:tcW w:w="1500" w:type="dxa"/>
            <w:tcBorders>
              <w:top w:val="single" w:sz="4" w:space="0" w:color="D5D0CA"/>
              <w:left w:val="single" w:sz="4" w:space="0" w:color="D5D0CA"/>
              <w:bottom w:val="single" w:sz="4" w:space="0" w:color="D5D0CA"/>
              <w:right w:val="single" w:sz="4" w:space="0" w:color="D5D0CA"/>
            </w:tcBorders>
            <w:shd w:val="clear" w:color="auto" w:fill="F4F1EE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5C383AD" w14:textId="77777777" w:rsidR="007D0CE1" w:rsidRDefault="00000000">
            <w:pPr>
              <w:spacing w:line="250" w:lineRule="auto"/>
              <w:jc w:val="center"/>
            </w:pPr>
            <w:r>
              <w:rPr>
                <w:sz w:val="17"/>
                <w:szCs w:val="17"/>
              </w:rPr>
              <w:t>Partial</w:t>
            </w:r>
          </w:p>
        </w:tc>
        <w:tc>
          <w:tcPr>
            <w:tcW w:w="1580" w:type="dxa"/>
            <w:tcBorders>
              <w:top w:val="single" w:sz="4" w:space="0" w:color="D5D0CA"/>
              <w:left w:val="single" w:sz="4" w:space="0" w:color="D5D0CA"/>
              <w:bottom w:val="single" w:sz="4" w:space="0" w:color="D5D0CA"/>
              <w:right w:val="single" w:sz="4" w:space="0" w:color="D5D0CA"/>
            </w:tcBorders>
            <w:shd w:val="clear" w:color="auto" w:fill="F4F1EE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89F5DFD" w14:textId="77777777" w:rsidR="007D0CE1" w:rsidRDefault="00000000">
            <w:pPr>
              <w:spacing w:line="250" w:lineRule="auto"/>
              <w:jc w:val="center"/>
            </w:pPr>
            <w:r>
              <w:rPr>
                <w:sz w:val="17"/>
                <w:szCs w:val="17"/>
              </w:rPr>
              <w:t>Partial</w:t>
            </w:r>
          </w:p>
        </w:tc>
        <w:tc>
          <w:tcPr>
            <w:tcW w:w="1500" w:type="dxa"/>
            <w:tcBorders>
              <w:top w:val="single" w:sz="4" w:space="0" w:color="D5D0CA"/>
              <w:left w:val="single" w:sz="4" w:space="0" w:color="D5D0CA"/>
              <w:bottom w:val="single" w:sz="4" w:space="0" w:color="D5D0CA"/>
              <w:right w:val="single" w:sz="4" w:space="0" w:color="D5D0CA"/>
            </w:tcBorders>
            <w:shd w:val="clear" w:color="auto" w:fill="F4F1EE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4E57A18" w14:textId="77777777" w:rsidR="007D0CE1" w:rsidRDefault="00000000">
            <w:pPr>
              <w:spacing w:line="250" w:lineRule="auto"/>
              <w:jc w:val="center"/>
            </w:pPr>
            <w:r>
              <w:rPr>
                <w:sz w:val="17"/>
                <w:szCs w:val="17"/>
              </w:rPr>
              <w:t>Yes</w:t>
            </w:r>
          </w:p>
        </w:tc>
        <w:tc>
          <w:tcPr>
            <w:tcW w:w="1500" w:type="dxa"/>
            <w:tcBorders>
              <w:top w:val="single" w:sz="4" w:space="0" w:color="D5D0CA"/>
              <w:left w:val="single" w:sz="4" w:space="0" w:color="D5D0CA"/>
              <w:bottom w:val="single" w:sz="4" w:space="0" w:color="D5D0CA"/>
              <w:right w:val="single" w:sz="4" w:space="0" w:color="D5D0CA"/>
            </w:tcBorders>
            <w:shd w:val="clear" w:color="auto" w:fill="F4F1EE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289B39F" w14:textId="77777777" w:rsidR="007D0CE1" w:rsidRDefault="00000000">
            <w:pPr>
              <w:spacing w:line="250" w:lineRule="auto"/>
              <w:jc w:val="center"/>
            </w:pPr>
            <w:r>
              <w:rPr>
                <w:sz w:val="17"/>
                <w:szCs w:val="17"/>
              </w:rPr>
              <w:t>No</w:t>
            </w:r>
          </w:p>
        </w:tc>
      </w:tr>
      <w:tr w:rsidR="007D0CE1" w14:paraId="4C5B0E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D5D0CA"/>
              <w:left w:val="single" w:sz="4" w:space="0" w:color="D5D0CA"/>
              <w:bottom w:val="single" w:sz="4" w:space="0" w:color="D5D0CA"/>
              <w:right w:val="single" w:sz="4" w:space="0" w:color="D5D0CA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1A4F8DE" w14:textId="77777777" w:rsidR="007D0CE1" w:rsidRDefault="00000000">
            <w:pPr>
              <w:spacing w:line="250" w:lineRule="auto"/>
            </w:pPr>
            <w:r>
              <w:rPr>
                <w:b/>
                <w:bCs/>
                <w:sz w:val="17"/>
                <w:szCs w:val="17"/>
              </w:rPr>
              <w:t>Target lineage capture</w:t>
            </w:r>
          </w:p>
        </w:tc>
        <w:tc>
          <w:tcPr>
            <w:tcW w:w="1500" w:type="dxa"/>
            <w:tcBorders>
              <w:top w:val="single" w:sz="4" w:space="0" w:color="D5D0CA"/>
              <w:left w:val="single" w:sz="4" w:space="0" w:color="D5D0CA"/>
              <w:bottom w:val="single" w:sz="4" w:space="0" w:color="D5D0CA"/>
              <w:right w:val="single" w:sz="4" w:space="0" w:color="D5D0CA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0EBFC92" w14:textId="77777777" w:rsidR="007D0CE1" w:rsidRDefault="00000000">
            <w:pPr>
              <w:spacing w:line="250" w:lineRule="auto"/>
              <w:jc w:val="center"/>
            </w:pPr>
            <w:r>
              <w:rPr>
                <w:sz w:val="17"/>
                <w:szCs w:val="17"/>
              </w:rPr>
              <w:t>No</w:t>
            </w:r>
          </w:p>
        </w:tc>
        <w:tc>
          <w:tcPr>
            <w:tcW w:w="1500" w:type="dxa"/>
            <w:tcBorders>
              <w:top w:val="single" w:sz="4" w:space="0" w:color="D5D0CA"/>
              <w:left w:val="single" w:sz="4" w:space="0" w:color="D5D0CA"/>
              <w:bottom w:val="single" w:sz="4" w:space="0" w:color="D5D0CA"/>
              <w:right w:val="single" w:sz="4" w:space="0" w:color="D5D0CA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8452F0D" w14:textId="77777777" w:rsidR="007D0CE1" w:rsidRDefault="00000000">
            <w:pPr>
              <w:spacing w:line="250" w:lineRule="auto"/>
              <w:jc w:val="center"/>
            </w:pPr>
            <w:r>
              <w:rPr>
                <w:sz w:val="17"/>
                <w:szCs w:val="17"/>
              </w:rPr>
              <w:t>No</w:t>
            </w:r>
          </w:p>
        </w:tc>
        <w:tc>
          <w:tcPr>
            <w:tcW w:w="1580" w:type="dxa"/>
            <w:tcBorders>
              <w:top w:val="single" w:sz="4" w:space="0" w:color="D5D0CA"/>
              <w:left w:val="single" w:sz="4" w:space="0" w:color="D5D0CA"/>
              <w:bottom w:val="single" w:sz="4" w:space="0" w:color="D5D0CA"/>
              <w:right w:val="single" w:sz="4" w:space="0" w:color="D5D0CA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12AEC0A" w14:textId="77777777" w:rsidR="007D0CE1" w:rsidRDefault="00000000">
            <w:pPr>
              <w:spacing w:line="250" w:lineRule="auto"/>
              <w:jc w:val="center"/>
            </w:pPr>
            <w:r>
              <w:rPr>
                <w:sz w:val="17"/>
                <w:szCs w:val="17"/>
              </w:rPr>
              <w:t>No</w:t>
            </w:r>
          </w:p>
        </w:tc>
        <w:tc>
          <w:tcPr>
            <w:tcW w:w="1500" w:type="dxa"/>
            <w:tcBorders>
              <w:top w:val="single" w:sz="4" w:space="0" w:color="D5D0CA"/>
              <w:left w:val="single" w:sz="4" w:space="0" w:color="D5D0CA"/>
              <w:bottom w:val="single" w:sz="4" w:space="0" w:color="D5D0CA"/>
              <w:right w:val="single" w:sz="4" w:space="0" w:color="D5D0CA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6AE036A" w14:textId="77777777" w:rsidR="007D0CE1" w:rsidRDefault="00000000">
            <w:pPr>
              <w:spacing w:line="250" w:lineRule="auto"/>
              <w:jc w:val="center"/>
            </w:pPr>
            <w:r>
              <w:rPr>
                <w:sz w:val="17"/>
                <w:szCs w:val="17"/>
              </w:rPr>
              <w:t>Yes</w:t>
            </w:r>
          </w:p>
        </w:tc>
        <w:tc>
          <w:tcPr>
            <w:tcW w:w="1500" w:type="dxa"/>
            <w:tcBorders>
              <w:top w:val="single" w:sz="4" w:space="0" w:color="D5D0CA"/>
              <w:left w:val="single" w:sz="4" w:space="0" w:color="D5D0CA"/>
              <w:bottom w:val="single" w:sz="4" w:space="0" w:color="D5D0CA"/>
              <w:right w:val="single" w:sz="4" w:space="0" w:color="D5D0CA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CC5D3CB" w14:textId="77777777" w:rsidR="007D0CE1" w:rsidRDefault="00000000">
            <w:pPr>
              <w:spacing w:line="250" w:lineRule="auto"/>
              <w:jc w:val="center"/>
            </w:pPr>
            <w:r>
              <w:rPr>
                <w:sz w:val="17"/>
                <w:szCs w:val="17"/>
              </w:rPr>
              <w:t>Yes</w:t>
            </w:r>
          </w:p>
        </w:tc>
      </w:tr>
      <w:tr w:rsidR="007D0CE1" w14:paraId="23E62A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D5D0CA"/>
              <w:left w:val="single" w:sz="4" w:space="0" w:color="D5D0CA"/>
              <w:bottom w:val="single" w:sz="4" w:space="0" w:color="D5D0CA"/>
              <w:right w:val="single" w:sz="4" w:space="0" w:color="D5D0CA"/>
            </w:tcBorders>
            <w:shd w:val="clear" w:color="auto" w:fill="F4F1EE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C3DAE18" w14:textId="77777777" w:rsidR="007D0CE1" w:rsidRDefault="00000000">
            <w:pPr>
              <w:spacing w:line="250" w:lineRule="auto"/>
            </w:pPr>
            <w:r>
              <w:rPr>
                <w:b/>
                <w:bCs/>
                <w:sz w:val="17"/>
                <w:szCs w:val="17"/>
              </w:rPr>
              <w:lastRenderedPageBreak/>
              <w:t>Lineage continuity across migration</w:t>
            </w:r>
          </w:p>
        </w:tc>
        <w:tc>
          <w:tcPr>
            <w:tcW w:w="1500" w:type="dxa"/>
            <w:tcBorders>
              <w:top w:val="single" w:sz="4" w:space="0" w:color="D5D0CA"/>
              <w:left w:val="single" w:sz="4" w:space="0" w:color="D5D0CA"/>
              <w:bottom w:val="single" w:sz="4" w:space="0" w:color="D5D0CA"/>
              <w:right w:val="single" w:sz="4" w:space="0" w:color="D5D0CA"/>
            </w:tcBorders>
            <w:shd w:val="clear" w:color="auto" w:fill="F4F1EE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54CC58E" w14:textId="77777777" w:rsidR="007D0CE1" w:rsidRDefault="00000000">
            <w:pPr>
              <w:spacing w:line="250" w:lineRule="auto"/>
              <w:jc w:val="center"/>
            </w:pPr>
            <w:r>
              <w:rPr>
                <w:sz w:val="17"/>
                <w:szCs w:val="17"/>
              </w:rPr>
              <w:t>Not evidenced</w:t>
            </w:r>
          </w:p>
        </w:tc>
        <w:tc>
          <w:tcPr>
            <w:tcW w:w="1500" w:type="dxa"/>
            <w:tcBorders>
              <w:top w:val="single" w:sz="4" w:space="0" w:color="D5D0CA"/>
              <w:left w:val="single" w:sz="4" w:space="0" w:color="D5D0CA"/>
              <w:bottom w:val="single" w:sz="4" w:space="0" w:color="D5D0CA"/>
              <w:right w:val="single" w:sz="4" w:space="0" w:color="D5D0CA"/>
            </w:tcBorders>
            <w:shd w:val="clear" w:color="auto" w:fill="F4F1EE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D43B593" w14:textId="77777777" w:rsidR="007D0CE1" w:rsidRDefault="00000000">
            <w:pPr>
              <w:spacing w:line="250" w:lineRule="auto"/>
              <w:jc w:val="center"/>
            </w:pPr>
            <w:r>
              <w:rPr>
                <w:sz w:val="17"/>
                <w:szCs w:val="17"/>
              </w:rPr>
              <w:t>Not evidenced</w:t>
            </w:r>
          </w:p>
        </w:tc>
        <w:tc>
          <w:tcPr>
            <w:tcW w:w="1580" w:type="dxa"/>
            <w:tcBorders>
              <w:top w:val="single" w:sz="4" w:space="0" w:color="D5D0CA"/>
              <w:left w:val="single" w:sz="4" w:space="0" w:color="D5D0CA"/>
              <w:bottom w:val="single" w:sz="4" w:space="0" w:color="D5D0CA"/>
              <w:right w:val="single" w:sz="4" w:space="0" w:color="D5D0CA"/>
            </w:tcBorders>
            <w:shd w:val="clear" w:color="auto" w:fill="F4F1EE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9998BD7" w14:textId="77777777" w:rsidR="007D0CE1" w:rsidRDefault="00000000">
            <w:pPr>
              <w:spacing w:line="250" w:lineRule="auto"/>
              <w:jc w:val="center"/>
            </w:pPr>
            <w:r>
              <w:rPr>
                <w:sz w:val="17"/>
                <w:szCs w:val="17"/>
              </w:rPr>
              <w:t>Not evidenced</w:t>
            </w:r>
          </w:p>
        </w:tc>
        <w:tc>
          <w:tcPr>
            <w:tcW w:w="1500" w:type="dxa"/>
            <w:tcBorders>
              <w:top w:val="single" w:sz="4" w:space="0" w:color="D5D0CA"/>
              <w:left w:val="single" w:sz="4" w:space="0" w:color="D5D0CA"/>
              <w:bottom w:val="single" w:sz="4" w:space="0" w:color="D5D0CA"/>
              <w:right w:val="single" w:sz="4" w:space="0" w:color="D5D0CA"/>
            </w:tcBorders>
            <w:shd w:val="clear" w:color="auto" w:fill="F4F1EE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2967CDD" w14:textId="77777777" w:rsidR="007D0CE1" w:rsidRDefault="00000000">
            <w:pPr>
              <w:spacing w:line="250" w:lineRule="auto"/>
              <w:jc w:val="center"/>
            </w:pPr>
            <w:r>
              <w:rPr>
                <w:sz w:val="17"/>
                <w:szCs w:val="17"/>
              </w:rPr>
              <w:t>Not evidenced</w:t>
            </w:r>
          </w:p>
        </w:tc>
        <w:tc>
          <w:tcPr>
            <w:tcW w:w="1500" w:type="dxa"/>
            <w:tcBorders>
              <w:top w:val="single" w:sz="4" w:space="0" w:color="D5D0CA"/>
              <w:left w:val="single" w:sz="4" w:space="0" w:color="D5D0CA"/>
              <w:bottom w:val="single" w:sz="4" w:space="0" w:color="D5D0CA"/>
              <w:right w:val="single" w:sz="4" w:space="0" w:color="D5D0CA"/>
            </w:tcBorders>
            <w:shd w:val="clear" w:color="auto" w:fill="F4F1EE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241083F" w14:textId="77777777" w:rsidR="007D0CE1" w:rsidRDefault="00000000">
            <w:pPr>
              <w:spacing w:line="250" w:lineRule="auto"/>
              <w:jc w:val="center"/>
            </w:pPr>
            <w:r>
              <w:rPr>
                <w:sz w:val="17"/>
                <w:szCs w:val="17"/>
              </w:rPr>
              <w:t>Not evidenced</w:t>
            </w:r>
          </w:p>
        </w:tc>
      </w:tr>
      <w:tr w:rsidR="007D0CE1" w14:paraId="7DC525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D5D0CA"/>
              <w:left w:val="single" w:sz="4" w:space="0" w:color="D5D0CA"/>
              <w:bottom w:val="single" w:sz="4" w:space="0" w:color="D5D0CA"/>
              <w:right w:val="single" w:sz="4" w:space="0" w:color="D5D0CA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FED29FC" w14:textId="77777777" w:rsidR="007D0CE1" w:rsidRDefault="00000000">
            <w:pPr>
              <w:spacing w:line="250" w:lineRule="auto"/>
            </w:pPr>
            <w:r>
              <w:rPr>
                <w:b/>
                <w:bCs/>
                <w:sz w:val="17"/>
                <w:szCs w:val="17"/>
              </w:rPr>
              <w:t>Migration governance and audit trail</w:t>
            </w:r>
          </w:p>
        </w:tc>
        <w:tc>
          <w:tcPr>
            <w:tcW w:w="1500" w:type="dxa"/>
            <w:tcBorders>
              <w:top w:val="single" w:sz="4" w:space="0" w:color="D5D0CA"/>
              <w:left w:val="single" w:sz="4" w:space="0" w:color="D5D0CA"/>
              <w:bottom w:val="single" w:sz="4" w:space="0" w:color="D5D0CA"/>
              <w:right w:val="single" w:sz="4" w:space="0" w:color="D5D0CA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8708B60" w14:textId="77777777" w:rsidR="007D0CE1" w:rsidRDefault="00000000">
            <w:pPr>
              <w:spacing w:line="250" w:lineRule="auto"/>
              <w:jc w:val="center"/>
            </w:pPr>
            <w:r>
              <w:rPr>
                <w:sz w:val="17"/>
                <w:szCs w:val="17"/>
              </w:rPr>
              <w:t>No</w:t>
            </w:r>
          </w:p>
        </w:tc>
        <w:tc>
          <w:tcPr>
            <w:tcW w:w="1500" w:type="dxa"/>
            <w:tcBorders>
              <w:top w:val="single" w:sz="4" w:space="0" w:color="D5D0CA"/>
              <w:left w:val="single" w:sz="4" w:space="0" w:color="D5D0CA"/>
              <w:bottom w:val="single" w:sz="4" w:space="0" w:color="D5D0CA"/>
              <w:right w:val="single" w:sz="4" w:space="0" w:color="D5D0CA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09FD21D" w14:textId="77777777" w:rsidR="007D0CE1" w:rsidRDefault="00000000">
            <w:pPr>
              <w:spacing w:line="250" w:lineRule="auto"/>
              <w:jc w:val="center"/>
            </w:pPr>
            <w:r>
              <w:rPr>
                <w:sz w:val="17"/>
                <w:szCs w:val="17"/>
              </w:rPr>
              <w:t>Partial</w:t>
            </w:r>
          </w:p>
        </w:tc>
        <w:tc>
          <w:tcPr>
            <w:tcW w:w="1580" w:type="dxa"/>
            <w:tcBorders>
              <w:top w:val="single" w:sz="4" w:space="0" w:color="D5D0CA"/>
              <w:left w:val="single" w:sz="4" w:space="0" w:color="D5D0CA"/>
              <w:bottom w:val="single" w:sz="4" w:space="0" w:color="D5D0CA"/>
              <w:right w:val="single" w:sz="4" w:space="0" w:color="D5D0CA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E4CA67C" w14:textId="77777777" w:rsidR="007D0CE1" w:rsidRDefault="00000000">
            <w:pPr>
              <w:spacing w:line="250" w:lineRule="auto"/>
              <w:jc w:val="center"/>
            </w:pPr>
            <w:r>
              <w:rPr>
                <w:sz w:val="17"/>
                <w:szCs w:val="17"/>
              </w:rPr>
              <w:t>Partial</w:t>
            </w:r>
          </w:p>
        </w:tc>
        <w:tc>
          <w:tcPr>
            <w:tcW w:w="1500" w:type="dxa"/>
            <w:tcBorders>
              <w:top w:val="single" w:sz="4" w:space="0" w:color="D5D0CA"/>
              <w:left w:val="single" w:sz="4" w:space="0" w:color="D5D0CA"/>
              <w:bottom w:val="single" w:sz="4" w:space="0" w:color="D5D0CA"/>
              <w:right w:val="single" w:sz="4" w:space="0" w:color="D5D0CA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D9BB7F1" w14:textId="77777777" w:rsidR="007D0CE1" w:rsidRDefault="00000000">
            <w:pPr>
              <w:spacing w:line="250" w:lineRule="auto"/>
              <w:jc w:val="center"/>
            </w:pPr>
            <w:r>
              <w:rPr>
                <w:sz w:val="17"/>
                <w:szCs w:val="17"/>
              </w:rPr>
              <w:t>Partial</w:t>
            </w:r>
          </w:p>
        </w:tc>
        <w:tc>
          <w:tcPr>
            <w:tcW w:w="1500" w:type="dxa"/>
            <w:tcBorders>
              <w:top w:val="single" w:sz="4" w:space="0" w:color="D5D0CA"/>
              <w:left w:val="single" w:sz="4" w:space="0" w:color="D5D0CA"/>
              <w:bottom w:val="single" w:sz="4" w:space="0" w:color="D5D0CA"/>
              <w:right w:val="single" w:sz="4" w:space="0" w:color="D5D0CA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9EC6AAB" w14:textId="77777777" w:rsidR="007D0CE1" w:rsidRDefault="00000000">
            <w:pPr>
              <w:spacing w:line="250" w:lineRule="auto"/>
              <w:jc w:val="center"/>
            </w:pPr>
            <w:r>
              <w:rPr>
                <w:sz w:val="17"/>
                <w:szCs w:val="17"/>
              </w:rPr>
              <w:t>No</w:t>
            </w:r>
          </w:p>
        </w:tc>
      </w:tr>
      <w:tr w:rsidR="007D0CE1" w14:paraId="61680D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D5D0CA"/>
              <w:left w:val="single" w:sz="4" w:space="0" w:color="D5D0CA"/>
              <w:bottom w:val="single" w:sz="4" w:space="0" w:color="D5D0CA"/>
              <w:right w:val="single" w:sz="4" w:space="0" w:color="D5D0CA"/>
            </w:tcBorders>
            <w:shd w:val="clear" w:color="auto" w:fill="F4F1EE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F3596BB" w14:textId="77777777" w:rsidR="007D0CE1" w:rsidRDefault="00000000">
            <w:pPr>
              <w:spacing w:line="250" w:lineRule="auto"/>
            </w:pPr>
            <w:r>
              <w:rPr>
                <w:b/>
                <w:bCs/>
                <w:sz w:val="17"/>
                <w:szCs w:val="17"/>
              </w:rPr>
              <w:t>Neutral across converters and targets</w:t>
            </w:r>
          </w:p>
        </w:tc>
        <w:tc>
          <w:tcPr>
            <w:tcW w:w="1500" w:type="dxa"/>
            <w:tcBorders>
              <w:top w:val="single" w:sz="4" w:space="0" w:color="D5D0CA"/>
              <w:left w:val="single" w:sz="4" w:space="0" w:color="D5D0CA"/>
              <w:bottom w:val="single" w:sz="4" w:space="0" w:color="D5D0CA"/>
              <w:right w:val="single" w:sz="4" w:space="0" w:color="D5D0CA"/>
            </w:tcBorders>
            <w:shd w:val="clear" w:color="auto" w:fill="F4F1EE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5E4329E" w14:textId="77777777" w:rsidR="007D0CE1" w:rsidRDefault="00000000">
            <w:pPr>
              <w:spacing w:line="250" w:lineRule="auto"/>
              <w:jc w:val="center"/>
            </w:pPr>
            <w:r>
              <w:rPr>
                <w:sz w:val="17"/>
                <w:szCs w:val="17"/>
              </w:rPr>
              <w:t>No</w:t>
            </w:r>
          </w:p>
        </w:tc>
        <w:tc>
          <w:tcPr>
            <w:tcW w:w="1500" w:type="dxa"/>
            <w:tcBorders>
              <w:top w:val="single" w:sz="4" w:space="0" w:color="D5D0CA"/>
              <w:left w:val="single" w:sz="4" w:space="0" w:color="D5D0CA"/>
              <w:bottom w:val="single" w:sz="4" w:space="0" w:color="D5D0CA"/>
              <w:right w:val="single" w:sz="4" w:space="0" w:color="D5D0CA"/>
            </w:tcBorders>
            <w:shd w:val="clear" w:color="auto" w:fill="F4F1EE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E769117" w14:textId="77777777" w:rsidR="007D0CE1" w:rsidRDefault="00000000">
            <w:pPr>
              <w:spacing w:line="250" w:lineRule="auto"/>
              <w:jc w:val="center"/>
            </w:pPr>
            <w:r>
              <w:rPr>
                <w:sz w:val="17"/>
                <w:szCs w:val="17"/>
              </w:rPr>
              <w:t>Yes</w:t>
            </w:r>
          </w:p>
        </w:tc>
        <w:tc>
          <w:tcPr>
            <w:tcW w:w="1580" w:type="dxa"/>
            <w:tcBorders>
              <w:top w:val="single" w:sz="4" w:space="0" w:color="D5D0CA"/>
              <w:left w:val="single" w:sz="4" w:space="0" w:color="D5D0CA"/>
              <w:bottom w:val="single" w:sz="4" w:space="0" w:color="D5D0CA"/>
              <w:right w:val="single" w:sz="4" w:space="0" w:color="D5D0CA"/>
            </w:tcBorders>
            <w:shd w:val="clear" w:color="auto" w:fill="F4F1EE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5A91A50" w14:textId="77777777" w:rsidR="007D0CE1" w:rsidRDefault="00000000">
            <w:pPr>
              <w:spacing w:line="250" w:lineRule="auto"/>
              <w:jc w:val="center"/>
            </w:pPr>
            <w:r>
              <w:rPr>
                <w:sz w:val="17"/>
                <w:szCs w:val="17"/>
              </w:rPr>
              <w:t>Partial</w:t>
            </w:r>
          </w:p>
        </w:tc>
        <w:tc>
          <w:tcPr>
            <w:tcW w:w="1500" w:type="dxa"/>
            <w:tcBorders>
              <w:top w:val="single" w:sz="4" w:space="0" w:color="D5D0CA"/>
              <w:left w:val="single" w:sz="4" w:space="0" w:color="D5D0CA"/>
              <w:bottom w:val="single" w:sz="4" w:space="0" w:color="D5D0CA"/>
              <w:right w:val="single" w:sz="4" w:space="0" w:color="D5D0CA"/>
            </w:tcBorders>
            <w:shd w:val="clear" w:color="auto" w:fill="F4F1EE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3634BBF" w14:textId="77777777" w:rsidR="007D0CE1" w:rsidRDefault="00000000">
            <w:pPr>
              <w:spacing w:line="250" w:lineRule="auto"/>
              <w:jc w:val="center"/>
            </w:pPr>
            <w:r>
              <w:rPr>
                <w:sz w:val="17"/>
                <w:szCs w:val="17"/>
              </w:rPr>
              <w:t>Yes</w:t>
            </w:r>
          </w:p>
        </w:tc>
        <w:tc>
          <w:tcPr>
            <w:tcW w:w="1500" w:type="dxa"/>
            <w:tcBorders>
              <w:top w:val="single" w:sz="4" w:space="0" w:color="D5D0CA"/>
              <w:left w:val="single" w:sz="4" w:space="0" w:color="D5D0CA"/>
              <w:bottom w:val="single" w:sz="4" w:space="0" w:color="D5D0CA"/>
              <w:right w:val="single" w:sz="4" w:space="0" w:color="D5D0CA"/>
            </w:tcBorders>
            <w:shd w:val="clear" w:color="auto" w:fill="F4F1EE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35DD2AD" w14:textId="77777777" w:rsidR="007D0CE1" w:rsidRDefault="00000000">
            <w:pPr>
              <w:spacing w:line="250" w:lineRule="auto"/>
              <w:jc w:val="center"/>
            </w:pPr>
            <w:r>
              <w:rPr>
                <w:sz w:val="17"/>
                <w:szCs w:val="17"/>
              </w:rPr>
              <w:t>No</w:t>
            </w:r>
          </w:p>
        </w:tc>
      </w:tr>
    </w:tbl>
    <w:p w14:paraId="6FCB07D0" w14:textId="77777777" w:rsidR="007D0CE1" w:rsidRDefault="007D0CE1">
      <w:pPr>
        <w:spacing w:after="100"/>
      </w:pPr>
    </w:p>
    <w:p w14:paraId="5AF7BC4F" w14:textId="77777777" w:rsidR="007D0CE1" w:rsidRDefault="00000000">
      <w:pPr>
        <w:pStyle w:val="Heading2"/>
        <w:spacing w:before="200" w:after="80"/>
      </w:pPr>
      <w:r>
        <w:t>2.4 What the landscape tells us</w:t>
      </w:r>
    </w:p>
    <w:p w14:paraId="6D000561" w14:textId="77777777" w:rsidR="007D0CE1" w:rsidRDefault="00000000">
      <w:pPr>
        <w:pStyle w:val="ListParagraph"/>
        <w:numPr>
          <w:ilvl w:val="0"/>
          <w:numId w:val="3"/>
        </w:numPr>
        <w:spacing w:after="70" w:line="270" w:lineRule="auto"/>
      </w:pPr>
      <w:r>
        <w:rPr>
          <w:b/>
          <w:bCs/>
        </w:rPr>
        <w:t>Conversion alone is a poor place to compete.</w:t>
      </w:r>
      <w:r>
        <w:t xml:space="preserve"> A free, open tool exists, a venture-backed agent exists, and services firms bundle accelerators. Competing on dialect coverage means matching a vendor that owns the target platform.</w:t>
      </w:r>
    </w:p>
    <w:p w14:paraId="34DB3C8C" w14:textId="77777777" w:rsidR="007D0CE1" w:rsidRDefault="00000000">
      <w:pPr>
        <w:pStyle w:val="ListParagraph"/>
        <w:numPr>
          <w:ilvl w:val="0"/>
          <w:numId w:val="3"/>
        </w:numPr>
        <w:spacing w:after="70" w:line="270" w:lineRule="auto"/>
      </w:pPr>
      <w:r>
        <w:rPr>
          <w:b/>
          <w:bCs/>
        </w:rPr>
        <w:t>The manual residual is where the cost sits.</w:t>
      </w:r>
      <w:r>
        <w:t xml:space="preserve"> A reported automation ceiling near 50% means a large share of logic still needs human work [6]. Reducing and verifying that residual is a better target than raising the headline conversion rate (ML </w:t>
      </w:r>
      <w:proofErr w:type="spellStart"/>
      <w:r>
        <w:t>arteka</w:t>
      </w:r>
      <w:proofErr w:type="spellEnd"/>
      <w:r>
        <w:t xml:space="preserve"> inference).</w:t>
      </w:r>
    </w:p>
    <w:p w14:paraId="59AE8653" w14:textId="77777777" w:rsidR="007D0CE1" w:rsidRDefault="00000000">
      <w:pPr>
        <w:pStyle w:val="ListParagraph"/>
        <w:numPr>
          <w:ilvl w:val="0"/>
          <w:numId w:val="3"/>
        </w:numPr>
        <w:spacing w:after="70" w:line="270" w:lineRule="auto"/>
      </w:pPr>
      <w:r>
        <w:rPr>
          <w:b/>
          <w:bCs/>
        </w:rPr>
        <w:t>Validation exists but is siloed and contested.</w:t>
      </w:r>
      <w:r>
        <w:t xml:space="preserve"> </w:t>
      </w:r>
      <w:proofErr w:type="spellStart"/>
      <w:r>
        <w:t>Datafold</w:t>
      </w:r>
      <w:proofErr w:type="spellEnd"/>
      <w:r>
        <w:t xml:space="preserve"> and </w:t>
      </w:r>
      <w:proofErr w:type="spellStart"/>
      <w:r>
        <w:t>Lakebridge</w:t>
      </w:r>
      <w:proofErr w:type="spellEnd"/>
      <w:r>
        <w:t xml:space="preserve"> disagree publicly about depth of reconciliation [3][4]. Each tool validates what it produced. A client using two has no common evidence format.</w:t>
      </w:r>
    </w:p>
    <w:p w14:paraId="1763F23A" w14:textId="77777777" w:rsidR="007D0CE1" w:rsidRDefault="00000000">
      <w:pPr>
        <w:pStyle w:val="ListParagraph"/>
        <w:numPr>
          <w:ilvl w:val="0"/>
          <w:numId w:val="3"/>
        </w:numPr>
        <w:spacing w:after="70" w:line="270" w:lineRule="auto"/>
      </w:pPr>
      <w:r>
        <w:rPr>
          <w:b/>
          <w:bCs/>
        </w:rPr>
        <w:t>Lineage is solved on the target side and costly on the legacy side.</w:t>
      </w:r>
      <w:r>
        <w:t xml:space="preserve"> </w:t>
      </w:r>
      <w:proofErr w:type="spellStart"/>
      <w:r>
        <w:t>OpenLineage</w:t>
      </w:r>
      <w:proofErr w:type="spellEnd"/>
      <w:r>
        <w:t xml:space="preserve"> has made target lineage nearly free on Glue and EMR [8]. Legacy parsing remains specialist and has documented gaps in stored procedures and dynamic logic [10].</w:t>
      </w:r>
    </w:p>
    <w:p w14:paraId="705046E7" w14:textId="77777777" w:rsidR="007D0CE1" w:rsidRDefault="00000000">
      <w:pPr>
        <w:pStyle w:val="ListParagraph"/>
        <w:numPr>
          <w:ilvl w:val="0"/>
          <w:numId w:val="3"/>
        </w:numPr>
        <w:spacing w:after="70" w:line="270" w:lineRule="auto"/>
      </w:pPr>
      <w:r>
        <w:rPr>
          <w:b/>
          <w:bCs/>
        </w:rPr>
        <w:t>The bridge between the two lineage worlds is unowned.</w:t>
      </w:r>
      <w:r>
        <w:t xml:space="preserve"> Nothing we found confirms the new graph reproduces the old one, which is the question a regulator or model-risk team asks after cutover.</w:t>
      </w:r>
    </w:p>
    <w:p w14:paraId="52BCEFB9" w14:textId="77777777" w:rsidR="007D0CE1" w:rsidRDefault="00000000">
      <w:pPr>
        <w:pStyle w:val="ListParagraph"/>
        <w:numPr>
          <w:ilvl w:val="0"/>
          <w:numId w:val="3"/>
        </w:numPr>
        <w:spacing w:after="70" w:line="270" w:lineRule="auto"/>
      </w:pPr>
      <w:r>
        <w:rPr>
          <w:b/>
          <w:bCs/>
        </w:rPr>
        <w:t>Governance of migration decisions is thin.</w:t>
      </w:r>
      <w:r>
        <w:t xml:space="preserve"> Catalogs govern data assets. None clearly records which legacy rule produced which generated job, which AI action changed it, which test proved it, and who approved the difference.</w:t>
      </w:r>
    </w:p>
    <w:p w14:paraId="354563F3" w14:textId="77777777" w:rsidR="007D0CE1" w:rsidRDefault="00000000">
      <w:pPr>
        <w:pStyle w:val="ListParagraph"/>
        <w:numPr>
          <w:ilvl w:val="0"/>
          <w:numId w:val="3"/>
        </w:numPr>
        <w:spacing w:after="70" w:line="270" w:lineRule="auto"/>
      </w:pPr>
      <w:r>
        <w:rPr>
          <w:b/>
          <w:bCs/>
        </w:rPr>
        <w:t>Lock-in appears in every class.</w:t>
      </w:r>
      <w:r>
        <w:t xml:space="preserve"> </w:t>
      </w:r>
      <w:proofErr w:type="spellStart"/>
      <w:r>
        <w:t>Lakebridge</w:t>
      </w:r>
      <w:proofErr w:type="spellEnd"/>
      <w:r>
        <w:t xml:space="preserve"> lands on Databricks, Informatica's path lands on IDMC, and AWS tooling lands on AWS. No tool referees across targets.</w:t>
      </w:r>
    </w:p>
    <w:p w14:paraId="42182FA7" w14:textId="77777777" w:rsidR="007D0CE1" w:rsidRDefault="00000000">
      <w:pPr>
        <w:pStyle w:val="Heading1"/>
        <w:spacing w:before="320" w:after="140"/>
      </w:pPr>
      <w:r>
        <w:t>3. Product thesis: one accelerator that closes the gaps</w:t>
      </w:r>
    </w:p>
    <w:p w14:paraId="34E8F35C" w14:textId="77777777" w:rsidR="007D0CE1" w:rsidRDefault="00000000">
      <w:pPr>
        <w:spacing w:after="120" w:line="276" w:lineRule="auto"/>
      </w:pPr>
      <w:r>
        <w:t xml:space="preserve">The aim is a single accelerator that does what the popular tools do, fixes their shortfalls, and adds the missing continuity and governance. The design principle is that </w:t>
      </w:r>
      <w:r>
        <w:rPr>
          <w:b/>
          <w:bCs/>
        </w:rPr>
        <w:t>the system of record is a migration knowledge graph, not a code converter.</w:t>
      </w:r>
      <w:r>
        <w:t xml:space="preserve"> Converters are replaceable engines. The graph and the evidence ledger are the product.</w:t>
      </w:r>
    </w:p>
    <w:p w14:paraId="67CCD428" w14:textId="77777777" w:rsidR="007D0CE1" w:rsidRDefault="00000000">
      <w:pPr>
        <w:pStyle w:val="Heading2"/>
        <w:spacing w:before="200" w:after="80"/>
      </w:pPr>
      <w:r>
        <w:lastRenderedPageBreak/>
        <w:t>3.1 Capability modules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4400"/>
        <w:gridCol w:w="3380"/>
      </w:tblGrid>
      <w:tr w:rsidR="007D0CE1" w14:paraId="5F68568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4" w:space="0" w:color="D5D0CA"/>
              <w:left w:val="single" w:sz="4" w:space="0" w:color="D5D0CA"/>
              <w:bottom w:val="single" w:sz="4" w:space="0" w:color="D5D0CA"/>
              <w:right w:val="single" w:sz="4" w:space="0" w:color="D5D0CA"/>
            </w:tcBorders>
            <w:shd w:val="clear" w:color="auto" w:fill="1F2A3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7F3E42A" w14:textId="77777777" w:rsidR="007D0CE1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Module</w:t>
            </w:r>
          </w:p>
        </w:tc>
        <w:tc>
          <w:tcPr>
            <w:tcW w:w="4400" w:type="dxa"/>
            <w:tcBorders>
              <w:top w:val="single" w:sz="4" w:space="0" w:color="D5D0CA"/>
              <w:left w:val="single" w:sz="4" w:space="0" w:color="D5D0CA"/>
              <w:bottom w:val="single" w:sz="4" w:space="0" w:color="D5D0CA"/>
              <w:right w:val="single" w:sz="4" w:space="0" w:color="D5D0CA"/>
            </w:tcBorders>
            <w:shd w:val="clear" w:color="auto" w:fill="1F2A3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284ECBC" w14:textId="77777777" w:rsidR="007D0CE1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What it does</w:t>
            </w:r>
          </w:p>
        </w:tc>
        <w:tc>
          <w:tcPr>
            <w:tcW w:w="3380" w:type="dxa"/>
            <w:tcBorders>
              <w:top w:val="single" w:sz="4" w:space="0" w:color="D5D0CA"/>
              <w:left w:val="single" w:sz="4" w:space="0" w:color="D5D0CA"/>
              <w:bottom w:val="single" w:sz="4" w:space="0" w:color="D5D0CA"/>
              <w:right w:val="single" w:sz="4" w:space="0" w:color="D5D0CA"/>
            </w:tcBorders>
            <w:shd w:val="clear" w:color="auto" w:fill="1F2A3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07ABB17" w14:textId="77777777" w:rsidR="007D0CE1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Shortfall it addresses</w:t>
            </w:r>
          </w:p>
        </w:tc>
      </w:tr>
      <w:tr w:rsidR="007D0CE1" w14:paraId="16D0D2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D5D0CA"/>
              <w:left w:val="single" w:sz="4" w:space="0" w:color="D5D0CA"/>
              <w:bottom w:val="single" w:sz="4" w:space="0" w:color="D5D0CA"/>
              <w:right w:val="single" w:sz="4" w:space="0" w:color="D5D0CA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0CCEFA2" w14:textId="77777777" w:rsidR="007D0CE1" w:rsidRDefault="00000000">
            <w:pPr>
              <w:spacing w:line="250" w:lineRule="auto"/>
            </w:pPr>
            <w:r>
              <w:rPr>
                <w:b/>
                <w:bCs/>
                <w:sz w:val="18"/>
                <w:szCs w:val="18"/>
              </w:rPr>
              <w:t>M1. Discover</w:t>
            </w:r>
          </w:p>
        </w:tc>
        <w:tc>
          <w:tcPr>
            <w:tcW w:w="4400" w:type="dxa"/>
            <w:tcBorders>
              <w:top w:val="single" w:sz="4" w:space="0" w:color="D5D0CA"/>
              <w:left w:val="single" w:sz="4" w:space="0" w:color="D5D0CA"/>
              <w:bottom w:val="single" w:sz="4" w:space="0" w:color="D5D0CA"/>
              <w:right w:val="single" w:sz="4" w:space="0" w:color="D5D0CA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111EB3A" w14:textId="77777777" w:rsidR="007D0CE1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Ingests ETL exports, SQL, stored procedures, schedulers and parameter files. Builds an inventory with complexity scoring and dependency mapping.</w:t>
            </w:r>
          </w:p>
        </w:tc>
        <w:tc>
          <w:tcPr>
            <w:tcW w:w="3380" w:type="dxa"/>
            <w:tcBorders>
              <w:top w:val="single" w:sz="4" w:space="0" w:color="D5D0CA"/>
              <w:left w:val="single" w:sz="4" w:space="0" w:color="D5D0CA"/>
              <w:bottom w:val="single" w:sz="4" w:space="0" w:color="D5D0CA"/>
              <w:right w:val="single" w:sz="4" w:space="0" w:color="D5D0CA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779CD95" w14:textId="77777777" w:rsidR="007D0CE1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Assessment tools stop at reports. We keep it as live graph data.</w:t>
            </w:r>
          </w:p>
        </w:tc>
      </w:tr>
      <w:tr w:rsidR="007D0CE1" w14:paraId="3F5FD3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D5D0CA"/>
              <w:left w:val="single" w:sz="4" w:space="0" w:color="D5D0CA"/>
              <w:bottom w:val="single" w:sz="4" w:space="0" w:color="D5D0CA"/>
              <w:right w:val="single" w:sz="4" w:space="0" w:color="D5D0CA"/>
            </w:tcBorders>
            <w:shd w:val="clear" w:color="auto" w:fill="F4F1EE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41CDF25" w14:textId="77777777" w:rsidR="007D0CE1" w:rsidRDefault="00000000">
            <w:pPr>
              <w:spacing w:line="250" w:lineRule="auto"/>
            </w:pPr>
            <w:r>
              <w:rPr>
                <w:b/>
                <w:bCs/>
                <w:sz w:val="18"/>
                <w:szCs w:val="18"/>
              </w:rPr>
              <w:t>M2. Extract logic and lineage</w:t>
            </w:r>
          </w:p>
        </w:tc>
        <w:tc>
          <w:tcPr>
            <w:tcW w:w="4400" w:type="dxa"/>
            <w:tcBorders>
              <w:top w:val="single" w:sz="4" w:space="0" w:color="D5D0CA"/>
              <w:left w:val="single" w:sz="4" w:space="0" w:color="D5D0CA"/>
              <w:bottom w:val="single" w:sz="4" w:space="0" w:color="D5D0CA"/>
              <w:right w:val="single" w:sz="4" w:space="0" w:color="D5D0CA"/>
            </w:tcBorders>
            <w:shd w:val="clear" w:color="auto" w:fill="F4F1EE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2A96881" w14:textId="77777777" w:rsidR="007D0CE1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Parses legacy artifacts into a vendor-neutral intermediate representation (IR) of transformations, with column-level lineage and business-rule capture.</w:t>
            </w:r>
          </w:p>
        </w:tc>
        <w:tc>
          <w:tcPr>
            <w:tcW w:w="3380" w:type="dxa"/>
            <w:tcBorders>
              <w:top w:val="single" w:sz="4" w:space="0" w:color="D5D0CA"/>
              <w:left w:val="single" w:sz="4" w:space="0" w:color="D5D0CA"/>
              <w:bottom w:val="single" w:sz="4" w:space="0" w:color="D5D0CA"/>
              <w:right w:val="single" w:sz="4" w:space="0" w:color="D5D0CA"/>
            </w:tcBorders>
            <w:shd w:val="clear" w:color="auto" w:fill="F4F1EE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81B0370" w14:textId="77777777" w:rsidR="007D0CE1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Legacy lineage is a separate, costly tool with gaps in stored procedures and dynamic logic.</w:t>
            </w:r>
          </w:p>
        </w:tc>
      </w:tr>
      <w:tr w:rsidR="007D0CE1" w14:paraId="51BEF7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D5D0CA"/>
              <w:left w:val="single" w:sz="4" w:space="0" w:color="D5D0CA"/>
              <w:bottom w:val="single" w:sz="4" w:space="0" w:color="D5D0CA"/>
              <w:right w:val="single" w:sz="4" w:space="0" w:color="D5D0CA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A31759D" w14:textId="77777777" w:rsidR="007D0CE1" w:rsidRDefault="00000000">
            <w:pPr>
              <w:spacing w:line="250" w:lineRule="auto"/>
            </w:pPr>
            <w:r>
              <w:rPr>
                <w:b/>
                <w:bCs/>
                <w:sz w:val="18"/>
                <w:szCs w:val="18"/>
              </w:rPr>
              <w:t>M3. Convert</w:t>
            </w:r>
          </w:p>
        </w:tc>
        <w:tc>
          <w:tcPr>
            <w:tcW w:w="4400" w:type="dxa"/>
            <w:tcBorders>
              <w:top w:val="single" w:sz="4" w:space="0" w:color="D5D0CA"/>
              <w:left w:val="single" w:sz="4" w:space="0" w:color="D5D0CA"/>
              <w:bottom w:val="single" w:sz="4" w:space="0" w:color="D5D0CA"/>
              <w:right w:val="single" w:sz="4" w:space="0" w:color="D5D0CA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679EF96" w14:textId="77777777" w:rsidR="007D0CE1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 xml:space="preserve">Generates Glue and </w:t>
            </w:r>
            <w:proofErr w:type="spellStart"/>
            <w:r>
              <w:rPr>
                <w:sz w:val="18"/>
                <w:szCs w:val="18"/>
              </w:rPr>
              <w:t>PySpark</w:t>
            </w:r>
            <w:proofErr w:type="spellEnd"/>
            <w:r>
              <w:rPr>
                <w:sz w:val="18"/>
                <w:szCs w:val="18"/>
              </w:rPr>
              <w:t xml:space="preserve"> first, with other targets pluggable. Deterministic rules handle the common patterns. LLMs propose code for the residual. Imports output from other converters </w:t>
            </w:r>
            <w:proofErr w:type="gramStart"/>
            <w:r>
              <w:rPr>
                <w:sz w:val="18"/>
                <w:szCs w:val="18"/>
              </w:rPr>
              <w:t>where</w:t>
            </w:r>
            <w:proofErr w:type="gramEnd"/>
            <w:r>
              <w:rPr>
                <w:sz w:val="18"/>
                <w:szCs w:val="18"/>
              </w:rPr>
              <w:t xml:space="preserve"> useful.</w:t>
            </w:r>
          </w:p>
        </w:tc>
        <w:tc>
          <w:tcPr>
            <w:tcW w:w="3380" w:type="dxa"/>
            <w:tcBorders>
              <w:top w:val="single" w:sz="4" w:space="0" w:color="D5D0CA"/>
              <w:left w:val="single" w:sz="4" w:space="0" w:color="D5D0CA"/>
              <w:bottom w:val="single" w:sz="4" w:space="0" w:color="D5D0CA"/>
              <w:right w:val="single" w:sz="4" w:space="0" w:color="D5D0CA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EE92860" w14:textId="77777777" w:rsidR="007D0CE1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Free and proprietary converters are target-tied or only partly automated.</w:t>
            </w:r>
          </w:p>
        </w:tc>
      </w:tr>
      <w:tr w:rsidR="007D0CE1" w14:paraId="5A7573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D5D0CA"/>
              <w:left w:val="single" w:sz="4" w:space="0" w:color="D5D0CA"/>
              <w:bottom w:val="single" w:sz="4" w:space="0" w:color="D5D0CA"/>
              <w:right w:val="single" w:sz="4" w:space="0" w:color="D5D0CA"/>
            </w:tcBorders>
            <w:shd w:val="clear" w:color="auto" w:fill="F4F1EE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632FA15" w14:textId="77777777" w:rsidR="007D0CE1" w:rsidRDefault="00000000">
            <w:pPr>
              <w:spacing w:line="250" w:lineRule="auto"/>
            </w:pPr>
            <w:r>
              <w:rPr>
                <w:b/>
                <w:bCs/>
                <w:sz w:val="18"/>
                <w:szCs w:val="18"/>
              </w:rPr>
              <w:t>M4. Prove</w:t>
            </w:r>
          </w:p>
        </w:tc>
        <w:tc>
          <w:tcPr>
            <w:tcW w:w="4400" w:type="dxa"/>
            <w:tcBorders>
              <w:top w:val="single" w:sz="4" w:space="0" w:color="D5D0CA"/>
              <w:left w:val="single" w:sz="4" w:space="0" w:color="D5D0CA"/>
              <w:bottom w:val="single" w:sz="4" w:space="0" w:color="D5D0CA"/>
              <w:right w:val="single" w:sz="4" w:space="0" w:color="D5D0CA"/>
            </w:tcBorders>
            <w:shd w:val="clear" w:color="auto" w:fill="F4F1EE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CB0CB1A" w14:textId="77777777" w:rsidR="007D0CE1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Runs legacy and modern jobs on the same inputs and compares data at dataset, column and row level, with tolerance rules and sampling statistics. Failures feed back into M3.</w:t>
            </w:r>
          </w:p>
        </w:tc>
        <w:tc>
          <w:tcPr>
            <w:tcW w:w="3380" w:type="dxa"/>
            <w:tcBorders>
              <w:top w:val="single" w:sz="4" w:space="0" w:color="D5D0CA"/>
              <w:left w:val="single" w:sz="4" w:space="0" w:color="D5D0CA"/>
              <w:bottom w:val="single" w:sz="4" w:space="0" w:color="D5D0CA"/>
              <w:right w:val="single" w:sz="4" w:space="0" w:color="D5D0CA"/>
            </w:tcBorders>
            <w:shd w:val="clear" w:color="auto" w:fill="F4F1EE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56C6541" w14:textId="77777777" w:rsidR="007D0CE1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Validation is siloed per tool and uses incompatible evidence formats.</w:t>
            </w:r>
          </w:p>
        </w:tc>
      </w:tr>
      <w:tr w:rsidR="007D0CE1" w14:paraId="28BD2F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D5D0CA"/>
              <w:left w:val="single" w:sz="4" w:space="0" w:color="D5D0CA"/>
              <w:bottom w:val="single" w:sz="4" w:space="0" w:color="D5D0CA"/>
              <w:right w:val="single" w:sz="4" w:space="0" w:color="D5D0CA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6D871B5" w14:textId="77777777" w:rsidR="007D0CE1" w:rsidRDefault="00000000">
            <w:pPr>
              <w:spacing w:line="250" w:lineRule="auto"/>
            </w:pPr>
            <w:r>
              <w:rPr>
                <w:b/>
                <w:bCs/>
                <w:sz w:val="18"/>
                <w:szCs w:val="18"/>
              </w:rPr>
              <w:t>M5. Lineage continuity</w:t>
            </w:r>
          </w:p>
        </w:tc>
        <w:tc>
          <w:tcPr>
            <w:tcW w:w="4400" w:type="dxa"/>
            <w:tcBorders>
              <w:top w:val="single" w:sz="4" w:space="0" w:color="D5D0CA"/>
              <w:left w:val="single" w:sz="4" w:space="0" w:color="D5D0CA"/>
              <w:bottom w:val="single" w:sz="4" w:space="0" w:color="D5D0CA"/>
              <w:right w:val="single" w:sz="4" w:space="0" w:color="D5D0CA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88F174E" w14:textId="77777777" w:rsidR="007D0CE1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Compares the legacy lineage graph with lineage captured from the new jobs (</w:t>
            </w:r>
            <w:proofErr w:type="spellStart"/>
            <w:r>
              <w:rPr>
                <w:sz w:val="18"/>
                <w:szCs w:val="18"/>
              </w:rPr>
              <w:t>OpenLineage</w:t>
            </w:r>
            <w:proofErr w:type="spellEnd"/>
            <w:r>
              <w:rPr>
                <w:sz w:val="18"/>
                <w:szCs w:val="18"/>
              </w:rPr>
              <w:t>), flags any column or flow that differs, and requires a recorded decision for each difference.</w:t>
            </w:r>
          </w:p>
        </w:tc>
        <w:tc>
          <w:tcPr>
            <w:tcW w:w="3380" w:type="dxa"/>
            <w:tcBorders>
              <w:top w:val="single" w:sz="4" w:space="0" w:color="D5D0CA"/>
              <w:left w:val="single" w:sz="4" w:space="0" w:color="D5D0CA"/>
              <w:bottom w:val="single" w:sz="4" w:space="0" w:color="D5D0CA"/>
              <w:right w:val="single" w:sz="4" w:space="0" w:color="D5D0CA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47DCA0D" w14:textId="77777777" w:rsidR="007D0CE1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No evidenced product does this.</w:t>
            </w:r>
          </w:p>
        </w:tc>
      </w:tr>
      <w:tr w:rsidR="007D0CE1" w14:paraId="0B374F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D5D0CA"/>
              <w:left w:val="single" w:sz="4" w:space="0" w:color="D5D0CA"/>
              <w:bottom w:val="single" w:sz="4" w:space="0" w:color="D5D0CA"/>
              <w:right w:val="single" w:sz="4" w:space="0" w:color="D5D0CA"/>
            </w:tcBorders>
            <w:shd w:val="clear" w:color="auto" w:fill="F4F1EE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CE0F9C8" w14:textId="77777777" w:rsidR="007D0CE1" w:rsidRDefault="00000000">
            <w:pPr>
              <w:spacing w:line="250" w:lineRule="auto"/>
            </w:pPr>
            <w:r>
              <w:rPr>
                <w:b/>
                <w:bCs/>
                <w:sz w:val="18"/>
                <w:szCs w:val="18"/>
              </w:rPr>
              <w:t>M6. Govern and trace</w:t>
            </w:r>
          </w:p>
        </w:tc>
        <w:tc>
          <w:tcPr>
            <w:tcW w:w="4400" w:type="dxa"/>
            <w:tcBorders>
              <w:top w:val="single" w:sz="4" w:space="0" w:color="D5D0CA"/>
              <w:left w:val="single" w:sz="4" w:space="0" w:color="D5D0CA"/>
              <w:bottom w:val="single" w:sz="4" w:space="0" w:color="D5D0CA"/>
              <w:right w:val="single" w:sz="4" w:space="0" w:color="D5D0CA"/>
            </w:tcBorders>
            <w:shd w:val="clear" w:color="auto" w:fill="F4F1EE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DDB7413" w14:textId="77777777" w:rsidR="007D0CE1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Append-only ledger linking legacy artifact, extracted rule, generated job, AI actions, test results, and named approvals. Policy gates block promotion without evidence. Exports answer audit questions.</w:t>
            </w:r>
          </w:p>
        </w:tc>
        <w:tc>
          <w:tcPr>
            <w:tcW w:w="3380" w:type="dxa"/>
            <w:tcBorders>
              <w:top w:val="single" w:sz="4" w:space="0" w:color="D5D0CA"/>
              <w:left w:val="single" w:sz="4" w:space="0" w:color="D5D0CA"/>
              <w:bottom w:val="single" w:sz="4" w:space="0" w:color="D5D0CA"/>
              <w:right w:val="single" w:sz="4" w:space="0" w:color="D5D0CA"/>
            </w:tcBorders>
            <w:shd w:val="clear" w:color="auto" w:fill="F4F1EE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700F802" w14:textId="77777777" w:rsidR="007D0CE1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Catalogs govern assets, not migration decisions or AI-generated code.</w:t>
            </w:r>
          </w:p>
        </w:tc>
      </w:tr>
      <w:tr w:rsidR="007D0CE1" w14:paraId="7B5655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D5D0CA"/>
              <w:left w:val="single" w:sz="4" w:space="0" w:color="D5D0CA"/>
              <w:bottom w:val="single" w:sz="4" w:space="0" w:color="D5D0CA"/>
              <w:right w:val="single" w:sz="4" w:space="0" w:color="D5D0CA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3E91582" w14:textId="77777777" w:rsidR="007D0CE1" w:rsidRDefault="00000000">
            <w:pPr>
              <w:spacing w:line="250" w:lineRule="auto"/>
            </w:pPr>
            <w:r>
              <w:rPr>
                <w:b/>
                <w:bCs/>
                <w:sz w:val="18"/>
                <w:szCs w:val="18"/>
              </w:rPr>
              <w:t>M7. Operate</w:t>
            </w:r>
          </w:p>
        </w:tc>
        <w:tc>
          <w:tcPr>
            <w:tcW w:w="4400" w:type="dxa"/>
            <w:tcBorders>
              <w:top w:val="single" w:sz="4" w:space="0" w:color="D5D0CA"/>
              <w:left w:val="single" w:sz="4" w:space="0" w:color="D5D0CA"/>
              <w:bottom w:val="single" w:sz="4" w:space="0" w:color="D5D0CA"/>
              <w:right w:val="single" w:sz="4" w:space="0" w:color="D5D0CA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FEAF756" w14:textId="77777777" w:rsidR="007D0CE1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After cutover, monitors lineage freshness and drift against the proven baseline and alerts on divergence.</w:t>
            </w:r>
          </w:p>
        </w:tc>
        <w:tc>
          <w:tcPr>
            <w:tcW w:w="3380" w:type="dxa"/>
            <w:tcBorders>
              <w:top w:val="single" w:sz="4" w:space="0" w:color="D5D0CA"/>
              <w:left w:val="single" w:sz="4" w:space="0" w:color="D5D0CA"/>
              <w:bottom w:val="single" w:sz="4" w:space="0" w:color="D5D0CA"/>
              <w:right w:val="single" w:sz="4" w:space="0" w:color="D5D0CA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41F99A5" w14:textId="77777777" w:rsidR="007D0CE1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Most tools end at go-live.</w:t>
            </w:r>
          </w:p>
        </w:tc>
      </w:tr>
    </w:tbl>
    <w:p w14:paraId="3A188553" w14:textId="77777777" w:rsidR="007D0CE1" w:rsidRDefault="007D0CE1">
      <w:pPr>
        <w:spacing w:after="100"/>
      </w:pPr>
    </w:p>
    <w:p w14:paraId="59BFA0AF" w14:textId="77777777" w:rsidR="007D0CE1" w:rsidRDefault="00000000">
      <w:pPr>
        <w:pStyle w:val="Heading2"/>
        <w:spacing w:before="200" w:after="80"/>
      </w:pPr>
      <w:r>
        <w:t>3.2 Where we should and should not compete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00"/>
        <w:gridCol w:w="3400"/>
        <w:gridCol w:w="3380"/>
      </w:tblGrid>
      <w:tr w:rsidR="007D0CE1" w14:paraId="239DFA1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00" w:type="dxa"/>
            <w:tcBorders>
              <w:top w:val="single" w:sz="4" w:space="0" w:color="D5D0CA"/>
              <w:left w:val="single" w:sz="4" w:space="0" w:color="D5D0CA"/>
              <w:bottom w:val="single" w:sz="4" w:space="0" w:color="D5D0CA"/>
              <w:right w:val="single" w:sz="4" w:space="0" w:color="D5D0CA"/>
            </w:tcBorders>
            <w:shd w:val="clear" w:color="auto" w:fill="1F2A3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7844A1E" w14:textId="77777777" w:rsidR="007D0CE1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Area</w:t>
            </w:r>
          </w:p>
        </w:tc>
        <w:tc>
          <w:tcPr>
            <w:tcW w:w="3400" w:type="dxa"/>
            <w:tcBorders>
              <w:top w:val="single" w:sz="4" w:space="0" w:color="D5D0CA"/>
              <w:left w:val="single" w:sz="4" w:space="0" w:color="D5D0CA"/>
              <w:bottom w:val="single" w:sz="4" w:space="0" w:color="D5D0CA"/>
              <w:right w:val="single" w:sz="4" w:space="0" w:color="D5D0CA"/>
            </w:tcBorders>
            <w:shd w:val="clear" w:color="auto" w:fill="1F2A3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91C33FF" w14:textId="77777777" w:rsidR="007D0CE1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Posture</w:t>
            </w:r>
          </w:p>
        </w:tc>
        <w:tc>
          <w:tcPr>
            <w:tcW w:w="3380" w:type="dxa"/>
            <w:tcBorders>
              <w:top w:val="single" w:sz="4" w:space="0" w:color="D5D0CA"/>
              <w:left w:val="single" w:sz="4" w:space="0" w:color="D5D0CA"/>
              <w:bottom w:val="single" w:sz="4" w:space="0" w:color="D5D0CA"/>
              <w:right w:val="single" w:sz="4" w:space="0" w:color="D5D0CA"/>
            </w:tcBorders>
            <w:shd w:val="clear" w:color="auto" w:fill="1F2A3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A0381F8" w14:textId="77777777" w:rsidR="007D0CE1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Reason</w:t>
            </w:r>
          </w:p>
        </w:tc>
      </w:tr>
      <w:tr w:rsidR="007D0CE1" w14:paraId="6A36A6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D5D0CA"/>
              <w:left w:val="single" w:sz="4" w:space="0" w:color="D5D0CA"/>
              <w:bottom w:val="single" w:sz="4" w:space="0" w:color="D5D0CA"/>
              <w:right w:val="single" w:sz="4" w:space="0" w:color="D5D0CA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E90D70A" w14:textId="77777777" w:rsidR="007D0CE1" w:rsidRDefault="00000000">
            <w:pPr>
              <w:spacing w:line="250" w:lineRule="auto"/>
            </w:pPr>
            <w:r>
              <w:rPr>
                <w:b/>
                <w:bCs/>
                <w:sz w:val="18"/>
                <w:szCs w:val="18"/>
              </w:rPr>
              <w:t>Dialect coverage breadth</w:t>
            </w:r>
          </w:p>
        </w:tc>
        <w:tc>
          <w:tcPr>
            <w:tcW w:w="3400" w:type="dxa"/>
            <w:tcBorders>
              <w:top w:val="single" w:sz="4" w:space="0" w:color="D5D0CA"/>
              <w:left w:val="single" w:sz="4" w:space="0" w:color="D5D0CA"/>
              <w:bottom w:val="single" w:sz="4" w:space="0" w:color="D5D0CA"/>
              <w:right w:val="single" w:sz="4" w:space="0" w:color="D5D0CA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59696CB" w14:textId="77777777" w:rsidR="007D0CE1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Do not compete. Ingest and interoperate.</w:t>
            </w:r>
          </w:p>
        </w:tc>
        <w:tc>
          <w:tcPr>
            <w:tcW w:w="3380" w:type="dxa"/>
            <w:tcBorders>
              <w:top w:val="single" w:sz="4" w:space="0" w:color="D5D0CA"/>
              <w:left w:val="single" w:sz="4" w:space="0" w:color="D5D0CA"/>
              <w:bottom w:val="single" w:sz="4" w:space="0" w:color="D5D0CA"/>
              <w:right w:val="single" w:sz="4" w:space="0" w:color="D5D0CA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D239C79" w14:textId="77777777" w:rsidR="007D0CE1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A free vendor-backed engine already covers many dialects [1].</w:t>
            </w:r>
          </w:p>
        </w:tc>
      </w:tr>
      <w:tr w:rsidR="007D0CE1" w14:paraId="7089C1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D5D0CA"/>
              <w:left w:val="single" w:sz="4" w:space="0" w:color="D5D0CA"/>
              <w:bottom w:val="single" w:sz="4" w:space="0" w:color="D5D0CA"/>
              <w:right w:val="single" w:sz="4" w:space="0" w:color="D5D0CA"/>
            </w:tcBorders>
            <w:shd w:val="clear" w:color="auto" w:fill="F4F1EE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DA4F0B8" w14:textId="77777777" w:rsidR="007D0CE1" w:rsidRDefault="00000000">
            <w:pPr>
              <w:spacing w:line="250" w:lineRule="auto"/>
            </w:pPr>
            <w:r>
              <w:rPr>
                <w:b/>
                <w:bCs/>
                <w:sz w:val="18"/>
                <w:szCs w:val="18"/>
              </w:rPr>
              <w:t>Target-side lineage capture</w:t>
            </w:r>
          </w:p>
        </w:tc>
        <w:tc>
          <w:tcPr>
            <w:tcW w:w="3400" w:type="dxa"/>
            <w:tcBorders>
              <w:top w:val="single" w:sz="4" w:space="0" w:color="D5D0CA"/>
              <w:left w:val="single" w:sz="4" w:space="0" w:color="D5D0CA"/>
              <w:bottom w:val="single" w:sz="4" w:space="0" w:color="D5D0CA"/>
              <w:right w:val="single" w:sz="4" w:space="0" w:color="D5D0CA"/>
            </w:tcBorders>
            <w:shd w:val="clear" w:color="auto" w:fill="F4F1EE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BB3B3AF" w14:textId="77777777" w:rsidR="007D0CE1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Integrate (</w:t>
            </w:r>
            <w:proofErr w:type="spellStart"/>
            <w:r>
              <w:rPr>
                <w:sz w:val="18"/>
                <w:szCs w:val="18"/>
              </w:rPr>
              <w:t>OpenLineage</w:t>
            </w:r>
            <w:proofErr w:type="spellEnd"/>
            <w:r>
              <w:rPr>
                <w:sz w:val="18"/>
                <w:szCs w:val="18"/>
              </w:rPr>
              <w:t>, SageMaker, Unity Catalog).</w:t>
            </w:r>
          </w:p>
        </w:tc>
        <w:tc>
          <w:tcPr>
            <w:tcW w:w="3380" w:type="dxa"/>
            <w:tcBorders>
              <w:top w:val="single" w:sz="4" w:space="0" w:color="D5D0CA"/>
              <w:left w:val="single" w:sz="4" w:space="0" w:color="D5D0CA"/>
              <w:bottom w:val="single" w:sz="4" w:space="0" w:color="D5D0CA"/>
              <w:right w:val="single" w:sz="4" w:space="0" w:color="D5D0CA"/>
            </w:tcBorders>
            <w:shd w:val="clear" w:color="auto" w:fill="F4F1EE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8012F8B" w14:textId="77777777" w:rsidR="007D0CE1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Platforms already capture it for free [8][12].</w:t>
            </w:r>
          </w:p>
        </w:tc>
      </w:tr>
      <w:tr w:rsidR="007D0CE1" w14:paraId="62C23E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D5D0CA"/>
              <w:left w:val="single" w:sz="4" w:space="0" w:color="D5D0CA"/>
              <w:bottom w:val="single" w:sz="4" w:space="0" w:color="D5D0CA"/>
              <w:right w:val="single" w:sz="4" w:space="0" w:color="D5D0CA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FD93144" w14:textId="77777777" w:rsidR="007D0CE1" w:rsidRDefault="00000000">
            <w:pPr>
              <w:spacing w:line="250" w:lineRule="auto"/>
            </w:pPr>
            <w:r>
              <w:rPr>
                <w:b/>
                <w:bCs/>
                <w:sz w:val="18"/>
                <w:szCs w:val="18"/>
              </w:rPr>
              <w:t>Enterprise catalogs</w:t>
            </w:r>
          </w:p>
        </w:tc>
        <w:tc>
          <w:tcPr>
            <w:tcW w:w="3400" w:type="dxa"/>
            <w:tcBorders>
              <w:top w:val="single" w:sz="4" w:space="0" w:color="D5D0CA"/>
              <w:left w:val="single" w:sz="4" w:space="0" w:color="D5D0CA"/>
              <w:bottom w:val="single" w:sz="4" w:space="0" w:color="D5D0CA"/>
              <w:right w:val="single" w:sz="4" w:space="0" w:color="D5D0CA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A43E8EC" w14:textId="77777777" w:rsidR="007D0CE1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Integrate and publish into them.</w:t>
            </w:r>
          </w:p>
        </w:tc>
        <w:tc>
          <w:tcPr>
            <w:tcW w:w="3380" w:type="dxa"/>
            <w:tcBorders>
              <w:top w:val="single" w:sz="4" w:space="0" w:color="D5D0CA"/>
              <w:left w:val="single" w:sz="4" w:space="0" w:color="D5D0CA"/>
              <w:bottom w:val="single" w:sz="4" w:space="0" w:color="D5D0CA"/>
              <w:right w:val="single" w:sz="4" w:space="0" w:color="D5D0CA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A4BA33E" w14:textId="77777777" w:rsidR="007D0CE1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Collibra, Atlan and similar own the governance buyer relationship [9][10].</w:t>
            </w:r>
          </w:p>
        </w:tc>
      </w:tr>
      <w:tr w:rsidR="007D0CE1" w14:paraId="54A042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D5D0CA"/>
              <w:left w:val="single" w:sz="4" w:space="0" w:color="D5D0CA"/>
              <w:bottom w:val="single" w:sz="4" w:space="0" w:color="D5D0CA"/>
              <w:right w:val="single" w:sz="4" w:space="0" w:color="D5D0CA"/>
            </w:tcBorders>
            <w:shd w:val="clear" w:color="auto" w:fill="F4F1EE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0E8021E" w14:textId="77777777" w:rsidR="007D0CE1" w:rsidRDefault="00000000">
            <w:pPr>
              <w:spacing w:line="250" w:lineRule="auto"/>
            </w:pPr>
            <w:r>
              <w:rPr>
                <w:b/>
                <w:bCs/>
                <w:sz w:val="18"/>
                <w:szCs w:val="18"/>
              </w:rPr>
              <w:t>Parity validation</w:t>
            </w:r>
          </w:p>
        </w:tc>
        <w:tc>
          <w:tcPr>
            <w:tcW w:w="3400" w:type="dxa"/>
            <w:tcBorders>
              <w:top w:val="single" w:sz="4" w:space="0" w:color="D5D0CA"/>
              <w:left w:val="single" w:sz="4" w:space="0" w:color="D5D0CA"/>
              <w:bottom w:val="single" w:sz="4" w:space="0" w:color="D5D0CA"/>
              <w:right w:val="single" w:sz="4" w:space="0" w:color="D5D0CA"/>
            </w:tcBorders>
            <w:shd w:val="clear" w:color="auto" w:fill="F4F1EE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FA61BE0" w14:textId="77777777" w:rsidR="007D0CE1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Build, with open parsers and diff techniques as inputs.</w:t>
            </w:r>
          </w:p>
        </w:tc>
        <w:tc>
          <w:tcPr>
            <w:tcW w:w="3380" w:type="dxa"/>
            <w:tcBorders>
              <w:top w:val="single" w:sz="4" w:space="0" w:color="D5D0CA"/>
              <w:left w:val="single" w:sz="4" w:space="0" w:color="D5D0CA"/>
              <w:bottom w:val="single" w:sz="4" w:space="0" w:color="D5D0CA"/>
              <w:right w:val="single" w:sz="4" w:space="0" w:color="D5D0CA"/>
            </w:tcBorders>
            <w:shd w:val="clear" w:color="auto" w:fill="F4F1EE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2885E8E" w14:textId="77777777" w:rsidR="007D0CE1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Core evidence for M4, M5 and M6.</w:t>
            </w:r>
          </w:p>
        </w:tc>
      </w:tr>
      <w:tr w:rsidR="007D0CE1" w14:paraId="0258FF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D5D0CA"/>
              <w:left w:val="single" w:sz="4" w:space="0" w:color="D5D0CA"/>
              <w:bottom w:val="single" w:sz="4" w:space="0" w:color="D5D0CA"/>
              <w:right w:val="single" w:sz="4" w:space="0" w:color="D5D0CA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3347A08" w14:textId="77777777" w:rsidR="007D0CE1" w:rsidRDefault="00000000">
            <w:pPr>
              <w:spacing w:line="250" w:lineRule="auto"/>
            </w:pPr>
            <w:r>
              <w:rPr>
                <w:b/>
                <w:bCs/>
                <w:sz w:val="18"/>
                <w:szCs w:val="18"/>
              </w:rPr>
              <w:t>Lineage continuity and evidence ledger</w:t>
            </w:r>
          </w:p>
        </w:tc>
        <w:tc>
          <w:tcPr>
            <w:tcW w:w="3400" w:type="dxa"/>
            <w:tcBorders>
              <w:top w:val="single" w:sz="4" w:space="0" w:color="D5D0CA"/>
              <w:left w:val="single" w:sz="4" w:space="0" w:color="D5D0CA"/>
              <w:bottom w:val="single" w:sz="4" w:space="0" w:color="D5D0CA"/>
              <w:right w:val="single" w:sz="4" w:space="0" w:color="D5D0CA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F3A4904" w14:textId="77777777" w:rsidR="007D0CE1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Build. This is the differentiated core.</w:t>
            </w:r>
          </w:p>
        </w:tc>
        <w:tc>
          <w:tcPr>
            <w:tcW w:w="3380" w:type="dxa"/>
            <w:tcBorders>
              <w:top w:val="single" w:sz="4" w:space="0" w:color="D5D0CA"/>
              <w:left w:val="single" w:sz="4" w:space="0" w:color="D5D0CA"/>
              <w:bottom w:val="single" w:sz="4" w:space="0" w:color="D5D0CA"/>
              <w:right w:val="single" w:sz="4" w:space="0" w:color="D5D0CA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A0FFC90" w14:textId="77777777" w:rsidR="007D0CE1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Not evidenced elsewhere.</w:t>
            </w:r>
          </w:p>
        </w:tc>
      </w:tr>
      <w:tr w:rsidR="007D0CE1" w14:paraId="38AD44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D5D0CA"/>
              <w:left w:val="single" w:sz="4" w:space="0" w:color="D5D0CA"/>
              <w:bottom w:val="single" w:sz="4" w:space="0" w:color="D5D0CA"/>
              <w:right w:val="single" w:sz="4" w:space="0" w:color="D5D0CA"/>
            </w:tcBorders>
            <w:shd w:val="clear" w:color="auto" w:fill="F4F1EE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B507288" w14:textId="77777777" w:rsidR="007D0CE1" w:rsidRDefault="00000000">
            <w:pPr>
              <w:spacing w:line="250" w:lineRule="auto"/>
            </w:pPr>
            <w:r>
              <w:rPr>
                <w:b/>
                <w:bCs/>
                <w:sz w:val="18"/>
                <w:szCs w:val="18"/>
              </w:rPr>
              <w:t>Residual logic handling</w:t>
            </w:r>
          </w:p>
        </w:tc>
        <w:tc>
          <w:tcPr>
            <w:tcW w:w="3400" w:type="dxa"/>
            <w:tcBorders>
              <w:top w:val="single" w:sz="4" w:space="0" w:color="D5D0CA"/>
              <w:left w:val="single" w:sz="4" w:space="0" w:color="D5D0CA"/>
              <w:bottom w:val="single" w:sz="4" w:space="0" w:color="D5D0CA"/>
              <w:right w:val="single" w:sz="4" w:space="0" w:color="D5D0CA"/>
            </w:tcBorders>
            <w:shd w:val="clear" w:color="auto" w:fill="F4F1EE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84688A0" w14:textId="77777777" w:rsidR="007D0CE1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Build, with LLMs under deterministic verification.</w:t>
            </w:r>
          </w:p>
        </w:tc>
        <w:tc>
          <w:tcPr>
            <w:tcW w:w="3380" w:type="dxa"/>
            <w:tcBorders>
              <w:top w:val="single" w:sz="4" w:space="0" w:color="D5D0CA"/>
              <w:left w:val="single" w:sz="4" w:space="0" w:color="D5D0CA"/>
              <w:bottom w:val="single" w:sz="4" w:space="0" w:color="D5D0CA"/>
              <w:right w:val="single" w:sz="4" w:space="0" w:color="D5D0CA"/>
            </w:tcBorders>
            <w:shd w:val="clear" w:color="auto" w:fill="F4F1EE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4F43BF7" w14:textId="77777777" w:rsidR="007D0CE1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Where the manual cost sits.</w:t>
            </w:r>
          </w:p>
        </w:tc>
      </w:tr>
    </w:tbl>
    <w:p w14:paraId="6A25FCCE" w14:textId="77777777" w:rsidR="007D0CE1" w:rsidRDefault="00000000">
      <w:pPr>
        <w:pStyle w:val="Heading1"/>
        <w:spacing w:before="320" w:after="140"/>
      </w:pPr>
      <w:r>
        <w:lastRenderedPageBreak/>
        <w:t>4. Reference architecture and hard problems</w:t>
      </w:r>
    </w:p>
    <w:p w14:paraId="4E605F6C" w14:textId="77777777" w:rsidR="007D0CE1" w:rsidRDefault="00000000">
      <w:pPr>
        <w:spacing w:after="120" w:line="276" w:lineRule="auto"/>
      </w:pPr>
      <w:r>
        <w:t>This section is engineering analysis, not sourced from the market. It exists so technical stakeholders can challenge the design before anyone sells it.</w:t>
      </w:r>
    </w:p>
    <w:p w14:paraId="6239A459" w14:textId="77777777" w:rsidR="007D0CE1" w:rsidRDefault="00000000">
      <w:pPr>
        <w:pStyle w:val="Heading2"/>
        <w:spacing w:before="200" w:after="80"/>
      </w:pPr>
      <w:r>
        <w:t>4.1 Architecture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4300"/>
        <w:gridCol w:w="3480"/>
      </w:tblGrid>
      <w:tr w:rsidR="007D0CE1" w14:paraId="301BE2C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4" w:space="0" w:color="D5D0CA"/>
              <w:left w:val="single" w:sz="4" w:space="0" w:color="D5D0CA"/>
              <w:bottom w:val="single" w:sz="4" w:space="0" w:color="D5D0CA"/>
              <w:right w:val="single" w:sz="4" w:space="0" w:color="D5D0CA"/>
            </w:tcBorders>
            <w:shd w:val="clear" w:color="auto" w:fill="1F2A3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862DCAC" w14:textId="77777777" w:rsidR="007D0CE1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Layer</w:t>
            </w:r>
          </w:p>
        </w:tc>
        <w:tc>
          <w:tcPr>
            <w:tcW w:w="4300" w:type="dxa"/>
            <w:tcBorders>
              <w:top w:val="single" w:sz="4" w:space="0" w:color="D5D0CA"/>
              <w:left w:val="single" w:sz="4" w:space="0" w:color="D5D0CA"/>
              <w:bottom w:val="single" w:sz="4" w:space="0" w:color="D5D0CA"/>
              <w:right w:val="single" w:sz="4" w:space="0" w:color="D5D0CA"/>
            </w:tcBorders>
            <w:shd w:val="clear" w:color="auto" w:fill="1F2A3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3B8935D" w14:textId="77777777" w:rsidR="007D0CE1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Function</w:t>
            </w:r>
          </w:p>
        </w:tc>
        <w:tc>
          <w:tcPr>
            <w:tcW w:w="3480" w:type="dxa"/>
            <w:tcBorders>
              <w:top w:val="single" w:sz="4" w:space="0" w:color="D5D0CA"/>
              <w:left w:val="single" w:sz="4" w:space="0" w:color="D5D0CA"/>
              <w:bottom w:val="single" w:sz="4" w:space="0" w:color="D5D0CA"/>
              <w:right w:val="single" w:sz="4" w:space="0" w:color="D5D0CA"/>
            </w:tcBorders>
            <w:shd w:val="clear" w:color="auto" w:fill="1F2A3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AFA51AB" w14:textId="77777777" w:rsidR="007D0CE1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Build, integrate, or partner</w:t>
            </w:r>
          </w:p>
        </w:tc>
      </w:tr>
      <w:tr w:rsidR="007D0CE1" w14:paraId="1799BA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D5D0CA"/>
              <w:left w:val="single" w:sz="4" w:space="0" w:color="D5D0CA"/>
              <w:bottom w:val="single" w:sz="4" w:space="0" w:color="D5D0CA"/>
              <w:right w:val="single" w:sz="4" w:space="0" w:color="D5D0CA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8D74448" w14:textId="77777777" w:rsidR="007D0CE1" w:rsidRDefault="00000000">
            <w:pPr>
              <w:spacing w:line="250" w:lineRule="auto"/>
            </w:pPr>
            <w:r>
              <w:rPr>
                <w:b/>
                <w:bCs/>
                <w:sz w:val="18"/>
                <w:szCs w:val="18"/>
              </w:rPr>
              <w:t>Parsers and connectors</w:t>
            </w:r>
          </w:p>
        </w:tc>
        <w:tc>
          <w:tcPr>
            <w:tcW w:w="4300" w:type="dxa"/>
            <w:tcBorders>
              <w:top w:val="single" w:sz="4" w:space="0" w:color="D5D0CA"/>
              <w:left w:val="single" w:sz="4" w:space="0" w:color="D5D0CA"/>
              <w:bottom w:val="single" w:sz="4" w:space="0" w:color="D5D0CA"/>
              <w:right w:val="single" w:sz="4" w:space="0" w:color="D5D0CA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5635825" w14:textId="77777777" w:rsidR="007D0CE1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Read Informatica exports, DataStage and SSIS packages, Talend jobs, stored procedures in major SQL dialects, scheduler definitions.</w:t>
            </w:r>
          </w:p>
        </w:tc>
        <w:tc>
          <w:tcPr>
            <w:tcW w:w="3480" w:type="dxa"/>
            <w:tcBorders>
              <w:top w:val="single" w:sz="4" w:space="0" w:color="D5D0CA"/>
              <w:left w:val="single" w:sz="4" w:space="0" w:color="D5D0CA"/>
              <w:bottom w:val="single" w:sz="4" w:space="0" w:color="D5D0CA"/>
              <w:right w:val="single" w:sz="4" w:space="0" w:color="D5D0CA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F39630D" w14:textId="77777777" w:rsidR="007D0CE1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Build for ETL formats. Reuse open-source SQL parsers where licences allow.</w:t>
            </w:r>
          </w:p>
        </w:tc>
      </w:tr>
      <w:tr w:rsidR="007D0CE1" w14:paraId="7BAD30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D5D0CA"/>
              <w:left w:val="single" w:sz="4" w:space="0" w:color="D5D0CA"/>
              <w:bottom w:val="single" w:sz="4" w:space="0" w:color="D5D0CA"/>
              <w:right w:val="single" w:sz="4" w:space="0" w:color="D5D0CA"/>
            </w:tcBorders>
            <w:shd w:val="clear" w:color="auto" w:fill="F4F1EE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FA2CBFC" w14:textId="77777777" w:rsidR="007D0CE1" w:rsidRDefault="00000000">
            <w:pPr>
              <w:spacing w:line="250" w:lineRule="auto"/>
            </w:pPr>
            <w:r>
              <w:rPr>
                <w:b/>
                <w:bCs/>
                <w:sz w:val="18"/>
                <w:szCs w:val="18"/>
              </w:rPr>
              <w:t>Transformation IR</w:t>
            </w:r>
          </w:p>
        </w:tc>
        <w:tc>
          <w:tcPr>
            <w:tcW w:w="4300" w:type="dxa"/>
            <w:tcBorders>
              <w:top w:val="single" w:sz="4" w:space="0" w:color="D5D0CA"/>
              <w:left w:val="single" w:sz="4" w:space="0" w:color="D5D0CA"/>
              <w:bottom w:val="single" w:sz="4" w:space="0" w:color="D5D0CA"/>
              <w:right w:val="single" w:sz="4" w:space="0" w:color="D5D0CA"/>
            </w:tcBorders>
            <w:shd w:val="clear" w:color="auto" w:fill="F4F1EE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3786D9F" w14:textId="77777777" w:rsidR="007D0CE1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Neutral, versioned representation of logic and lineage, independent of source and target.</w:t>
            </w:r>
          </w:p>
        </w:tc>
        <w:tc>
          <w:tcPr>
            <w:tcW w:w="3480" w:type="dxa"/>
            <w:tcBorders>
              <w:top w:val="single" w:sz="4" w:space="0" w:color="D5D0CA"/>
              <w:left w:val="single" w:sz="4" w:space="0" w:color="D5D0CA"/>
              <w:bottom w:val="single" w:sz="4" w:space="0" w:color="D5D0CA"/>
              <w:right w:val="single" w:sz="4" w:space="0" w:color="D5D0CA"/>
            </w:tcBorders>
            <w:shd w:val="clear" w:color="auto" w:fill="F4F1EE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E1235F7" w14:textId="77777777" w:rsidR="007D0CE1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Build. Core IP.</w:t>
            </w:r>
          </w:p>
        </w:tc>
      </w:tr>
      <w:tr w:rsidR="007D0CE1" w14:paraId="1C64CE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D5D0CA"/>
              <w:left w:val="single" w:sz="4" w:space="0" w:color="D5D0CA"/>
              <w:bottom w:val="single" w:sz="4" w:space="0" w:color="D5D0CA"/>
              <w:right w:val="single" w:sz="4" w:space="0" w:color="D5D0CA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E23DA10" w14:textId="77777777" w:rsidR="007D0CE1" w:rsidRDefault="00000000">
            <w:pPr>
              <w:spacing w:line="250" w:lineRule="auto"/>
            </w:pPr>
            <w:r>
              <w:rPr>
                <w:b/>
                <w:bCs/>
                <w:sz w:val="18"/>
                <w:szCs w:val="18"/>
              </w:rPr>
              <w:t>Generators</w:t>
            </w:r>
          </w:p>
        </w:tc>
        <w:tc>
          <w:tcPr>
            <w:tcW w:w="4300" w:type="dxa"/>
            <w:tcBorders>
              <w:top w:val="single" w:sz="4" w:space="0" w:color="D5D0CA"/>
              <w:left w:val="single" w:sz="4" w:space="0" w:color="D5D0CA"/>
              <w:bottom w:val="single" w:sz="4" w:space="0" w:color="D5D0CA"/>
              <w:right w:val="single" w:sz="4" w:space="0" w:color="D5D0CA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0715FAC" w14:textId="77777777" w:rsidR="007D0CE1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 xml:space="preserve">IR to Glue, </w:t>
            </w:r>
            <w:proofErr w:type="spellStart"/>
            <w:r>
              <w:rPr>
                <w:sz w:val="18"/>
                <w:szCs w:val="18"/>
              </w:rPr>
              <w:t>PySpark</w:t>
            </w:r>
            <w:proofErr w:type="spellEnd"/>
            <w:r>
              <w:rPr>
                <w:sz w:val="18"/>
                <w:szCs w:val="18"/>
              </w:rPr>
              <w:t>, Databricks, and later others. Rules first, LLM for the residual.</w:t>
            </w:r>
          </w:p>
        </w:tc>
        <w:tc>
          <w:tcPr>
            <w:tcW w:w="3480" w:type="dxa"/>
            <w:tcBorders>
              <w:top w:val="single" w:sz="4" w:space="0" w:color="D5D0CA"/>
              <w:left w:val="single" w:sz="4" w:space="0" w:color="D5D0CA"/>
              <w:bottom w:val="single" w:sz="4" w:space="0" w:color="D5D0CA"/>
              <w:right w:val="single" w:sz="4" w:space="0" w:color="D5D0CA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8700461" w14:textId="77777777" w:rsidR="007D0CE1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Build, with LLM providers integrated behind an abstraction.</w:t>
            </w:r>
          </w:p>
        </w:tc>
      </w:tr>
      <w:tr w:rsidR="007D0CE1" w14:paraId="59D133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D5D0CA"/>
              <w:left w:val="single" w:sz="4" w:space="0" w:color="D5D0CA"/>
              <w:bottom w:val="single" w:sz="4" w:space="0" w:color="D5D0CA"/>
              <w:right w:val="single" w:sz="4" w:space="0" w:color="D5D0CA"/>
            </w:tcBorders>
            <w:shd w:val="clear" w:color="auto" w:fill="F4F1EE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248C6B3" w14:textId="77777777" w:rsidR="007D0CE1" w:rsidRDefault="00000000">
            <w:pPr>
              <w:spacing w:line="250" w:lineRule="auto"/>
            </w:pPr>
            <w:r>
              <w:rPr>
                <w:b/>
                <w:bCs/>
                <w:sz w:val="18"/>
                <w:szCs w:val="18"/>
              </w:rPr>
              <w:t>Execution and diff harness</w:t>
            </w:r>
          </w:p>
        </w:tc>
        <w:tc>
          <w:tcPr>
            <w:tcW w:w="4300" w:type="dxa"/>
            <w:tcBorders>
              <w:top w:val="single" w:sz="4" w:space="0" w:color="D5D0CA"/>
              <w:left w:val="single" w:sz="4" w:space="0" w:color="D5D0CA"/>
              <w:bottom w:val="single" w:sz="4" w:space="0" w:color="D5D0CA"/>
              <w:right w:val="single" w:sz="4" w:space="0" w:color="D5D0CA"/>
            </w:tcBorders>
            <w:shd w:val="clear" w:color="auto" w:fill="F4F1EE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CFB9CA1" w14:textId="77777777" w:rsidR="007D0CE1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Parallel runs, data diffs, tolerance rules, sampling statistics.</w:t>
            </w:r>
          </w:p>
        </w:tc>
        <w:tc>
          <w:tcPr>
            <w:tcW w:w="3480" w:type="dxa"/>
            <w:tcBorders>
              <w:top w:val="single" w:sz="4" w:space="0" w:color="D5D0CA"/>
              <w:left w:val="single" w:sz="4" w:space="0" w:color="D5D0CA"/>
              <w:bottom w:val="single" w:sz="4" w:space="0" w:color="D5D0CA"/>
              <w:right w:val="single" w:sz="4" w:space="0" w:color="D5D0CA"/>
            </w:tcBorders>
            <w:shd w:val="clear" w:color="auto" w:fill="F4F1EE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BB49551" w14:textId="77777777" w:rsidR="007D0CE1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Build the logic. Integrate with client compute.</w:t>
            </w:r>
          </w:p>
        </w:tc>
      </w:tr>
      <w:tr w:rsidR="007D0CE1" w14:paraId="3F769D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D5D0CA"/>
              <w:left w:val="single" w:sz="4" w:space="0" w:color="D5D0CA"/>
              <w:bottom w:val="single" w:sz="4" w:space="0" w:color="D5D0CA"/>
              <w:right w:val="single" w:sz="4" w:space="0" w:color="D5D0CA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9B343B9" w14:textId="77777777" w:rsidR="007D0CE1" w:rsidRDefault="00000000">
            <w:pPr>
              <w:spacing w:line="250" w:lineRule="auto"/>
            </w:pPr>
            <w:r>
              <w:rPr>
                <w:b/>
                <w:bCs/>
                <w:sz w:val="18"/>
                <w:szCs w:val="18"/>
              </w:rPr>
              <w:t>Lineage engine</w:t>
            </w:r>
          </w:p>
        </w:tc>
        <w:tc>
          <w:tcPr>
            <w:tcW w:w="4300" w:type="dxa"/>
            <w:tcBorders>
              <w:top w:val="single" w:sz="4" w:space="0" w:color="D5D0CA"/>
              <w:left w:val="single" w:sz="4" w:space="0" w:color="D5D0CA"/>
              <w:bottom w:val="single" w:sz="4" w:space="0" w:color="D5D0CA"/>
              <w:right w:val="single" w:sz="4" w:space="0" w:color="D5D0CA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D39DD14" w14:textId="77777777" w:rsidR="007D0CE1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 xml:space="preserve">Static lineage from parsing, dynamic lineage from </w:t>
            </w:r>
            <w:proofErr w:type="spellStart"/>
            <w:r>
              <w:rPr>
                <w:sz w:val="18"/>
                <w:szCs w:val="18"/>
              </w:rPr>
              <w:t>OpenLineage</w:t>
            </w:r>
            <w:proofErr w:type="spellEnd"/>
            <w:r>
              <w:rPr>
                <w:sz w:val="18"/>
                <w:szCs w:val="18"/>
              </w:rPr>
              <w:t xml:space="preserve"> events, graph comparison.</w:t>
            </w:r>
          </w:p>
        </w:tc>
        <w:tc>
          <w:tcPr>
            <w:tcW w:w="3480" w:type="dxa"/>
            <w:tcBorders>
              <w:top w:val="single" w:sz="4" w:space="0" w:color="D5D0CA"/>
              <w:left w:val="single" w:sz="4" w:space="0" w:color="D5D0CA"/>
              <w:bottom w:val="single" w:sz="4" w:space="0" w:color="D5D0CA"/>
              <w:right w:val="single" w:sz="4" w:space="0" w:color="D5D0CA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FE35668" w14:textId="77777777" w:rsidR="007D0CE1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Build comparison. Integrate capture.</w:t>
            </w:r>
          </w:p>
        </w:tc>
      </w:tr>
      <w:tr w:rsidR="007D0CE1" w14:paraId="767BA0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D5D0CA"/>
              <w:left w:val="single" w:sz="4" w:space="0" w:color="D5D0CA"/>
              <w:bottom w:val="single" w:sz="4" w:space="0" w:color="D5D0CA"/>
              <w:right w:val="single" w:sz="4" w:space="0" w:color="D5D0CA"/>
            </w:tcBorders>
            <w:shd w:val="clear" w:color="auto" w:fill="F4F1EE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47CDAA0" w14:textId="77777777" w:rsidR="007D0CE1" w:rsidRDefault="00000000">
            <w:pPr>
              <w:spacing w:line="250" w:lineRule="auto"/>
            </w:pPr>
            <w:r>
              <w:rPr>
                <w:b/>
                <w:bCs/>
                <w:sz w:val="18"/>
                <w:szCs w:val="18"/>
              </w:rPr>
              <w:t>Knowledge graph and ledger</w:t>
            </w:r>
          </w:p>
        </w:tc>
        <w:tc>
          <w:tcPr>
            <w:tcW w:w="4300" w:type="dxa"/>
            <w:tcBorders>
              <w:top w:val="single" w:sz="4" w:space="0" w:color="D5D0CA"/>
              <w:left w:val="single" w:sz="4" w:space="0" w:color="D5D0CA"/>
              <w:bottom w:val="single" w:sz="4" w:space="0" w:color="D5D0CA"/>
              <w:right w:val="single" w:sz="4" w:space="0" w:color="D5D0CA"/>
            </w:tcBorders>
            <w:shd w:val="clear" w:color="auto" w:fill="F4F1EE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4DC158E" w14:textId="77777777" w:rsidR="007D0CE1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Stores artifacts, rules, jobs, tests, decisions, approvals. Immutable history.</w:t>
            </w:r>
          </w:p>
        </w:tc>
        <w:tc>
          <w:tcPr>
            <w:tcW w:w="3480" w:type="dxa"/>
            <w:tcBorders>
              <w:top w:val="single" w:sz="4" w:space="0" w:color="D5D0CA"/>
              <w:left w:val="single" w:sz="4" w:space="0" w:color="D5D0CA"/>
              <w:bottom w:val="single" w:sz="4" w:space="0" w:color="D5D0CA"/>
              <w:right w:val="single" w:sz="4" w:space="0" w:color="D5D0CA"/>
            </w:tcBorders>
            <w:shd w:val="clear" w:color="auto" w:fill="F4F1EE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A338B82" w14:textId="77777777" w:rsidR="007D0CE1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Build. Core IP.</w:t>
            </w:r>
          </w:p>
        </w:tc>
      </w:tr>
      <w:tr w:rsidR="007D0CE1" w14:paraId="585A4D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D5D0CA"/>
              <w:left w:val="single" w:sz="4" w:space="0" w:color="D5D0CA"/>
              <w:bottom w:val="single" w:sz="4" w:space="0" w:color="D5D0CA"/>
              <w:right w:val="single" w:sz="4" w:space="0" w:color="D5D0CA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FB87B99" w14:textId="77777777" w:rsidR="007D0CE1" w:rsidRDefault="00000000">
            <w:pPr>
              <w:spacing w:line="250" w:lineRule="auto"/>
            </w:pPr>
            <w:r>
              <w:rPr>
                <w:b/>
                <w:bCs/>
                <w:sz w:val="18"/>
                <w:szCs w:val="18"/>
              </w:rPr>
              <w:t>Workflow and UI</w:t>
            </w:r>
          </w:p>
        </w:tc>
        <w:tc>
          <w:tcPr>
            <w:tcW w:w="4300" w:type="dxa"/>
            <w:tcBorders>
              <w:top w:val="single" w:sz="4" w:space="0" w:color="D5D0CA"/>
              <w:left w:val="single" w:sz="4" w:space="0" w:color="D5D0CA"/>
              <w:bottom w:val="single" w:sz="4" w:space="0" w:color="D5D0CA"/>
              <w:right w:val="single" w:sz="4" w:space="0" w:color="D5D0CA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36A8B19" w14:textId="77777777" w:rsidR="007D0CE1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Review queues, approvals, dashboards, audit exports.</w:t>
            </w:r>
          </w:p>
        </w:tc>
        <w:tc>
          <w:tcPr>
            <w:tcW w:w="3480" w:type="dxa"/>
            <w:tcBorders>
              <w:top w:val="single" w:sz="4" w:space="0" w:color="D5D0CA"/>
              <w:left w:val="single" w:sz="4" w:space="0" w:color="D5D0CA"/>
              <w:bottom w:val="single" w:sz="4" w:space="0" w:color="D5D0CA"/>
              <w:right w:val="single" w:sz="4" w:space="0" w:color="D5D0CA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9673B4A" w14:textId="77777777" w:rsidR="007D0CE1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Build. Integrate with ticketing and catalogs.</w:t>
            </w:r>
          </w:p>
        </w:tc>
      </w:tr>
    </w:tbl>
    <w:p w14:paraId="1B56CD91" w14:textId="77777777" w:rsidR="007D0CE1" w:rsidRDefault="007D0CE1">
      <w:pPr>
        <w:spacing w:after="100"/>
      </w:pPr>
    </w:p>
    <w:p w14:paraId="6C18F2EA" w14:textId="77777777" w:rsidR="007D0CE1" w:rsidRDefault="00000000">
      <w:pPr>
        <w:pStyle w:val="Heading2"/>
        <w:spacing w:before="200" w:after="80"/>
      </w:pPr>
      <w:r>
        <w:t>4.2 Hard problems to resolve early</w:t>
      </w:r>
    </w:p>
    <w:p w14:paraId="142BE08A" w14:textId="77777777" w:rsidR="007D0CE1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rPr>
          <w:b/>
          <w:bCs/>
        </w:rPr>
        <w:t>Semantic mismatches between ETL engines and Spark:</w:t>
      </w:r>
      <w:r>
        <w:t xml:space="preserve"> null handling, decimal precision, implicit casts, date and time zones, string collation, sort stability, lookup caching, update strategies, and reject handling. Each must be modeled in the IR and tested.</w:t>
      </w:r>
    </w:p>
    <w:p w14:paraId="7251C667" w14:textId="77777777" w:rsidR="007D0CE1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rPr>
          <w:b/>
          <w:bCs/>
        </w:rPr>
        <w:t>Stored procedures and dynamic logic:</w:t>
      </w:r>
      <w:r>
        <w:t xml:space="preserve"> cursors, dynamic SQL, and parameterized or script-driven jobs defeat static parsing. Catalog vendors document similar gaps [10].</w:t>
      </w:r>
    </w:p>
    <w:p w14:paraId="46354711" w14:textId="77777777" w:rsidR="007D0CE1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rPr>
          <w:b/>
          <w:bCs/>
        </w:rPr>
        <w:t>Orchestration semantics:</w:t>
      </w:r>
      <w:r>
        <w:t xml:space="preserve"> </w:t>
      </w:r>
      <w:proofErr w:type="spellStart"/>
      <w:r>
        <w:t>restartability</w:t>
      </w:r>
      <w:proofErr w:type="spellEnd"/>
      <w:r>
        <w:t>, dependencies, calendars and error handling in schedulers differ from modern orchestrators and are often undocumented.</w:t>
      </w:r>
    </w:p>
    <w:p w14:paraId="04F43584" w14:textId="77777777" w:rsidR="007D0CE1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rPr>
          <w:b/>
          <w:bCs/>
        </w:rPr>
        <w:t>Lineage identity matching:</w:t>
      </w:r>
      <w:r>
        <w:t xml:space="preserve"> proving continuity requires mapping legacy column identities to new ones, which is an entity-resolution problem, not a text comparison.</w:t>
      </w:r>
    </w:p>
    <w:p w14:paraId="27B5B05E" w14:textId="77777777" w:rsidR="007D0CE1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rPr>
          <w:b/>
          <w:bCs/>
        </w:rPr>
        <w:t>Verification cost at scale:</w:t>
      </w:r>
      <w:r>
        <w:t xml:space="preserve"> full value-level diffs on large tables are expensive. Sampling must be statistically defensible. With zero mismatches in </w:t>
      </w:r>
      <w:proofErr w:type="spellStart"/>
      <w:r>
        <w:t>n</w:t>
      </w:r>
      <w:proofErr w:type="spellEnd"/>
      <w:r>
        <w:t xml:space="preserve"> independent comparisons, the 95% upper bound on the mismatch rate is roughly 3/n, and that holds only if the sample is representative.</w:t>
      </w:r>
    </w:p>
    <w:p w14:paraId="003BCE75" w14:textId="77777777" w:rsidR="007D0CE1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rPr>
          <w:b/>
          <w:bCs/>
        </w:rPr>
        <w:t>LLM variability:</w:t>
      </w:r>
      <w:r>
        <w:t xml:space="preserve"> LLMs may propose, but only deterministic checks may approve. Every AI-generated change must be logged and tied to a test.</w:t>
      </w:r>
    </w:p>
    <w:p w14:paraId="116C1CD9" w14:textId="77777777" w:rsidR="007D0CE1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rPr>
          <w:b/>
          <w:bCs/>
        </w:rPr>
        <w:t>Production data in test:</w:t>
      </w:r>
      <w:r>
        <w:t xml:space="preserve"> parity testing uses real customer data and carries privacy and security obligations to settle with each client.</w:t>
      </w:r>
    </w:p>
    <w:p w14:paraId="7B9B691A" w14:textId="77777777" w:rsidR="007D0CE1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rPr>
          <w:b/>
          <w:bCs/>
        </w:rPr>
        <w:lastRenderedPageBreak/>
        <w:t>Non-determinism:</w:t>
      </w:r>
      <w:r>
        <w:t xml:space="preserve"> generated keys, timestamps and ordering need explicit masking rules that are themselves reviewed.</w:t>
      </w:r>
    </w:p>
    <w:p w14:paraId="141C0277" w14:textId="77777777" w:rsidR="007D0CE1" w:rsidRDefault="00000000">
      <w:pPr>
        <w:pStyle w:val="Heading1"/>
        <w:spacing w:before="320" w:after="140"/>
      </w:pPr>
      <w:r>
        <w:t xml:space="preserve">5. Opportunities for ML </w:t>
      </w:r>
      <w:proofErr w:type="spellStart"/>
      <w:r>
        <w:t>arteka</w:t>
      </w:r>
      <w:proofErr w:type="spellEnd"/>
    </w:p>
    <w:p w14:paraId="11974A34" w14:textId="77777777" w:rsidR="007D0CE1" w:rsidRDefault="00000000">
      <w:pPr>
        <w:spacing w:after="120" w:line="276" w:lineRule="auto"/>
      </w:pPr>
      <w:r>
        <w:t>Each opportunity ties to a gap in section 2.4. No dates are proposed. Dependencies and gates are in section 6.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200"/>
        <w:gridCol w:w="2800"/>
        <w:gridCol w:w="2680"/>
      </w:tblGrid>
      <w:tr w:rsidR="007D0CE1" w14:paraId="3DA02F1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D5D0CA"/>
              <w:left w:val="single" w:sz="4" w:space="0" w:color="D5D0CA"/>
              <w:bottom w:val="single" w:sz="4" w:space="0" w:color="D5D0CA"/>
              <w:right w:val="single" w:sz="4" w:space="0" w:color="D5D0CA"/>
            </w:tcBorders>
            <w:shd w:val="clear" w:color="auto" w:fill="1F2A3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4065E7E" w14:textId="77777777" w:rsidR="007D0CE1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Opportunity</w:t>
            </w:r>
          </w:p>
        </w:tc>
        <w:tc>
          <w:tcPr>
            <w:tcW w:w="2200" w:type="dxa"/>
            <w:tcBorders>
              <w:top w:val="single" w:sz="4" w:space="0" w:color="D5D0CA"/>
              <w:left w:val="single" w:sz="4" w:space="0" w:color="D5D0CA"/>
              <w:bottom w:val="single" w:sz="4" w:space="0" w:color="D5D0CA"/>
              <w:right w:val="single" w:sz="4" w:space="0" w:color="D5D0CA"/>
            </w:tcBorders>
            <w:shd w:val="clear" w:color="auto" w:fill="1F2A3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363EB0E" w14:textId="77777777" w:rsidR="007D0CE1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Gap closed</w:t>
            </w:r>
          </w:p>
        </w:tc>
        <w:tc>
          <w:tcPr>
            <w:tcW w:w="2800" w:type="dxa"/>
            <w:tcBorders>
              <w:top w:val="single" w:sz="4" w:space="0" w:color="D5D0CA"/>
              <w:left w:val="single" w:sz="4" w:space="0" w:color="D5D0CA"/>
              <w:bottom w:val="single" w:sz="4" w:space="0" w:color="D5D0CA"/>
              <w:right w:val="single" w:sz="4" w:space="0" w:color="D5D0CA"/>
            </w:tcBorders>
            <w:shd w:val="clear" w:color="auto" w:fill="1F2A3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B3D457D" w14:textId="77777777" w:rsidR="007D0CE1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Differentiator</w:t>
            </w:r>
          </w:p>
        </w:tc>
        <w:tc>
          <w:tcPr>
            <w:tcW w:w="2680" w:type="dxa"/>
            <w:tcBorders>
              <w:top w:val="single" w:sz="4" w:space="0" w:color="D5D0CA"/>
              <w:left w:val="single" w:sz="4" w:space="0" w:color="D5D0CA"/>
              <w:bottom w:val="single" w:sz="4" w:space="0" w:color="D5D0CA"/>
              <w:right w:val="single" w:sz="4" w:space="0" w:color="D5D0CA"/>
            </w:tcBorders>
            <w:shd w:val="clear" w:color="auto" w:fill="1F2A3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89F983E" w14:textId="77777777" w:rsidR="007D0CE1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Dependency and main risk</w:t>
            </w:r>
          </w:p>
        </w:tc>
      </w:tr>
      <w:tr w:rsidR="007D0CE1" w14:paraId="4195E7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D5D0CA"/>
              <w:left w:val="single" w:sz="4" w:space="0" w:color="D5D0CA"/>
              <w:bottom w:val="single" w:sz="4" w:space="0" w:color="D5D0CA"/>
              <w:right w:val="single" w:sz="4" w:space="0" w:color="D5D0CA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53BFB92" w14:textId="77777777" w:rsidR="007D0CE1" w:rsidRDefault="00000000">
            <w:pPr>
              <w:spacing w:line="250" w:lineRule="auto"/>
            </w:pPr>
            <w:r>
              <w:rPr>
                <w:b/>
                <w:bCs/>
                <w:sz w:val="18"/>
                <w:szCs w:val="18"/>
              </w:rPr>
              <w:t>P1. Lineage-continuity engine (M5)</w:t>
            </w:r>
          </w:p>
        </w:tc>
        <w:tc>
          <w:tcPr>
            <w:tcW w:w="2200" w:type="dxa"/>
            <w:tcBorders>
              <w:top w:val="single" w:sz="4" w:space="0" w:color="D5D0CA"/>
              <w:left w:val="single" w:sz="4" w:space="0" w:color="D5D0CA"/>
              <w:bottom w:val="single" w:sz="4" w:space="0" w:color="D5D0CA"/>
              <w:right w:val="single" w:sz="4" w:space="0" w:color="D5D0CA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92EE4EF" w14:textId="77777777" w:rsidR="007D0CE1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Bridge between legacy and target lineage</w:t>
            </w:r>
          </w:p>
        </w:tc>
        <w:tc>
          <w:tcPr>
            <w:tcW w:w="2800" w:type="dxa"/>
            <w:tcBorders>
              <w:top w:val="single" w:sz="4" w:space="0" w:color="D5D0CA"/>
              <w:left w:val="single" w:sz="4" w:space="0" w:color="D5D0CA"/>
              <w:bottom w:val="single" w:sz="4" w:space="0" w:color="D5D0CA"/>
              <w:right w:val="single" w:sz="4" w:space="0" w:color="D5D0CA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71176F3" w14:textId="77777777" w:rsidR="007D0CE1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Proves new lineage matches old and records each approved difference</w:t>
            </w:r>
          </w:p>
        </w:tc>
        <w:tc>
          <w:tcPr>
            <w:tcW w:w="2680" w:type="dxa"/>
            <w:tcBorders>
              <w:top w:val="single" w:sz="4" w:space="0" w:color="D5D0CA"/>
              <w:left w:val="single" w:sz="4" w:space="0" w:color="D5D0CA"/>
              <w:bottom w:val="single" w:sz="4" w:space="0" w:color="D5D0CA"/>
              <w:right w:val="single" w:sz="4" w:space="0" w:color="D5D0CA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40CFEC0" w14:textId="77777777" w:rsidR="007D0CE1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Needs M2 and M4. Risk: identity matching accuracy</w:t>
            </w:r>
          </w:p>
        </w:tc>
      </w:tr>
      <w:tr w:rsidR="007D0CE1" w14:paraId="302774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D5D0CA"/>
              <w:left w:val="single" w:sz="4" w:space="0" w:color="D5D0CA"/>
              <w:bottom w:val="single" w:sz="4" w:space="0" w:color="D5D0CA"/>
              <w:right w:val="single" w:sz="4" w:space="0" w:color="D5D0CA"/>
            </w:tcBorders>
            <w:shd w:val="clear" w:color="auto" w:fill="F4F1EE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EE34009" w14:textId="77777777" w:rsidR="007D0CE1" w:rsidRDefault="00000000">
            <w:pPr>
              <w:spacing w:line="250" w:lineRule="auto"/>
            </w:pPr>
            <w:r>
              <w:rPr>
                <w:b/>
                <w:bCs/>
                <w:sz w:val="18"/>
                <w:szCs w:val="18"/>
              </w:rPr>
              <w:t>P2. Parity-gated conversion to Glue and Spark (M3, M4)</w:t>
            </w:r>
          </w:p>
        </w:tc>
        <w:tc>
          <w:tcPr>
            <w:tcW w:w="2200" w:type="dxa"/>
            <w:tcBorders>
              <w:top w:val="single" w:sz="4" w:space="0" w:color="D5D0CA"/>
              <w:left w:val="single" w:sz="4" w:space="0" w:color="D5D0CA"/>
              <w:bottom w:val="single" w:sz="4" w:space="0" w:color="D5D0CA"/>
              <w:right w:val="single" w:sz="4" w:space="0" w:color="D5D0CA"/>
            </w:tcBorders>
            <w:shd w:val="clear" w:color="auto" w:fill="F4F1EE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F1C767B" w14:textId="77777777" w:rsidR="007D0CE1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Siloed conversion and validation; target lock-in</w:t>
            </w:r>
          </w:p>
        </w:tc>
        <w:tc>
          <w:tcPr>
            <w:tcW w:w="2800" w:type="dxa"/>
            <w:tcBorders>
              <w:top w:val="single" w:sz="4" w:space="0" w:color="D5D0CA"/>
              <w:left w:val="single" w:sz="4" w:space="0" w:color="D5D0CA"/>
              <w:bottom w:val="single" w:sz="4" w:space="0" w:color="D5D0CA"/>
              <w:right w:val="single" w:sz="4" w:space="0" w:color="D5D0CA"/>
            </w:tcBorders>
            <w:shd w:val="clear" w:color="auto" w:fill="F4F1EE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1FA2506" w14:textId="77777777" w:rsidR="007D0CE1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Conversion that cannot be promoted without parity evidence</w:t>
            </w:r>
          </w:p>
        </w:tc>
        <w:tc>
          <w:tcPr>
            <w:tcW w:w="2680" w:type="dxa"/>
            <w:tcBorders>
              <w:top w:val="single" w:sz="4" w:space="0" w:color="D5D0CA"/>
              <w:left w:val="single" w:sz="4" w:space="0" w:color="D5D0CA"/>
              <w:bottom w:val="single" w:sz="4" w:space="0" w:color="D5D0CA"/>
              <w:right w:val="single" w:sz="4" w:space="0" w:color="D5D0CA"/>
            </w:tcBorders>
            <w:shd w:val="clear" w:color="auto" w:fill="F4F1EE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46B36F0" w14:textId="77777777" w:rsidR="007D0CE1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Needs IR and harness. Risk: semantic mismatches</w:t>
            </w:r>
          </w:p>
        </w:tc>
      </w:tr>
      <w:tr w:rsidR="007D0CE1" w14:paraId="5F6597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D5D0CA"/>
              <w:left w:val="single" w:sz="4" w:space="0" w:color="D5D0CA"/>
              <w:bottom w:val="single" w:sz="4" w:space="0" w:color="D5D0CA"/>
              <w:right w:val="single" w:sz="4" w:space="0" w:color="D5D0CA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4A46829" w14:textId="77777777" w:rsidR="007D0CE1" w:rsidRDefault="00000000">
            <w:pPr>
              <w:spacing w:line="250" w:lineRule="auto"/>
            </w:pPr>
            <w:r>
              <w:rPr>
                <w:b/>
                <w:bCs/>
                <w:sz w:val="18"/>
                <w:szCs w:val="18"/>
              </w:rPr>
              <w:t>P3. Migration evidence ledger (M6)</w:t>
            </w:r>
          </w:p>
        </w:tc>
        <w:tc>
          <w:tcPr>
            <w:tcW w:w="2200" w:type="dxa"/>
            <w:tcBorders>
              <w:top w:val="single" w:sz="4" w:space="0" w:color="D5D0CA"/>
              <w:left w:val="single" w:sz="4" w:space="0" w:color="D5D0CA"/>
              <w:bottom w:val="single" w:sz="4" w:space="0" w:color="D5D0CA"/>
              <w:right w:val="single" w:sz="4" w:space="0" w:color="D5D0CA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23CD8B7" w14:textId="77777777" w:rsidR="007D0CE1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Thin governance of migration decisions and AI output</w:t>
            </w:r>
          </w:p>
        </w:tc>
        <w:tc>
          <w:tcPr>
            <w:tcW w:w="2800" w:type="dxa"/>
            <w:tcBorders>
              <w:top w:val="single" w:sz="4" w:space="0" w:color="D5D0CA"/>
              <w:left w:val="single" w:sz="4" w:space="0" w:color="D5D0CA"/>
              <w:bottom w:val="single" w:sz="4" w:space="0" w:color="D5D0CA"/>
              <w:right w:val="single" w:sz="4" w:space="0" w:color="D5D0CA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352CD01" w14:textId="77777777" w:rsidR="007D0CE1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Audit-grade trace from legacy artifact to approval</w:t>
            </w:r>
          </w:p>
        </w:tc>
        <w:tc>
          <w:tcPr>
            <w:tcW w:w="2680" w:type="dxa"/>
            <w:tcBorders>
              <w:top w:val="single" w:sz="4" w:space="0" w:color="D5D0CA"/>
              <w:left w:val="single" w:sz="4" w:space="0" w:color="D5D0CA"/>
              <w:bottom w:val="single" w:sz="4" w:space="0" w:color="D5D0CA"/>
              <w:right w:val="single" w:sz="4" w:space="0" w:color="D5D0CA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A8F881D" w14:textId="77777777" w:rsidR="007D0CE1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Needs a stable IR. Risk: buyer willingness to pay</w:t>
            </w:r>
          </w:p>
        </w:tc>
      </w:tr>
      <w:tr w:rsidR="007D0CE1" w14:paraId="7B757D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D5D0CA"/>
              <w:left w:val="single" w:sz="4" w:space="0" w:color="D5D0CA"/>
              <w:bottom w:val="single" w:sz="4" w:space="0" w:color="D5D0CA"/>
              <w:right w:val="single" w:sz="4" w:space="0" w:color="D5D0CA"/>
            </w:tcBorders>
            <w:shd w:val="clear" w:color="auto" w:fill="F4F1EE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77E6AF1" w14:textId="77777777" w:rsidR="007D0CE1" w:rsidRDefault="00000000">
            <w:pPr>
              <w:spacing w:line="250" w:lineRule="auto"/>
            </w:pPr>
            <w:r>
              <w:rPr>
                <w:b/>
                <w:bCs/>
                <w:sz w:val="18"/>
                <w:szCs w:val="18"/>
              </w:rPr>
              <w:t>P4. Neutral referee across converters (M3, M4, M6)</w:t>
            </w:r>
          </w:p>
        </w:tc>
        <w:tc>
          <w:tcPr>
            <w:tcW w:w="2200" w:type="dxa"/>
            <w:tcBorders>
              <w:top w:val="single" w:sz="4" w:space="0" w:color="D5D0CA"/>
              <w:left w:val="single" w:sz="4" w:space="0" w:color="D5D0CA"/>
              <w:bottom w:val="single" w:sz="4" w:space="0" w:color="D5D0CA"/>
              <w:right w:val="single" w:sz="4" w:space="0" w:color="D5D0CA"/>
            </w:tcBorders>
            <w:shd w:val="clear" w:color="auto" w:fill="F4F1EE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7D991F8" w14:textId="77777777" w:rsidR="007D0CE1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Lock-in and incompatible evidence formats</w:t>
            </w:r>
          </w:p>
        </w:tc>
        <w:tc>
          <w:tcPr>
            <w:tcW w:w="2800" w:type="dxa"/>
            <w:tcBorders>
              <w:top w:val="single" w:sz="4" w:space="0" w:color="D5D0CA"/>
              <w:left w:val="single" w:sz="4" w:space="0" w:color="D5D0CA"/>
              <w:bottom w:val="single" w:sz="4" w:space="0" w:color="D5D0CA"/>
              <w:right w:val="single" w:sz="4" w:space="0" w:color="D5D0CA"/>
            </w:tcBorders>
            <w:shd w:val="clear" w:color="auto" w:fill="F4F1EE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0C19894" w14:textId="77777777" w:rsidR="007D0CE1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Ingests output from other converters and verifies it</w:t>
            </w:r>
          </w:p>
        </w:tc>
        <w:tc>
          <w:tcPr>
            <w:tcW w:w="2680" w:type="dxa"/>
            <w:tcBorders>
              <w:top w:val="single" w:sz="4" w:space="0" w:color="D5D0CA"/>
              <w:left w:val="single" w:sz="4" w:space="0" w:color="D5D0CA"/>
              <w:bottom w:val="single" w:sz="4" w:space="0" w:color="D5D0CA"/>
              <w:right w:val="single" w:sz="4" w:space="0" w:color="D5D0CA"/>
            </w:tcBorders>
            <w:shd w:val="clear" w:color="auto" w:fill="F4F1EE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E075C86" w14:textId="77777777" w:rsidR="007D0CE1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Needs open interfaces. Risk: rivals limit access</w:t>
            </w:r>
          </w:p>
        </w:tc>
      </w:tr>
      <w:tr w:rsidR="007D0CE1" w14:paraId="06533A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D5D0CA"/>
              <w:left w:val="single" w:sz="4" w:space="0" w:color="D5D0CA"/>
              <w:bottom w:val="single" w:sz="4" w:space="0" w:color="D5D0CA"/>
              <w:right w:val="single" w:sz="4" w:space="0" w:color="D5D0CA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54B965E" w14:textId="77777777" w:rsidR="007D0CE1" w:rsidRDefault="00000000">
            <w:pPr>
              <w:spacing w:line="250" w:lineRule="auto"/>
            </w:pPr>
            <w:r>
              <w:rPr>
                <w:b/>
                <w:bCs/>
                <w:sz w:val="18"/>
                <w:szCs w:val="18"/>
              </w:rPr>
              <w:t>P5. Residual reduction (M3)</w:t>
            </w:r>
          </w:p>
        </w:tc>
        <w:tc>
          <w:tcPr>
            <w:tcW w:w="2200" w:type="dxa"/>
            <w:tcBorders>
              <w:top w:val="single" w:sz="4" w:space="0" w:color="D5D0CA"/>
              <w:left w:val="single" w:sz="4" w:space="0" w:color="D5D0CA"/>
              <w:bottom w:val="single" w:sz="4" w:space="0" w:color="D5D0CA"/>
              <w:right w:val="single" w:sz="4" w:space="0" w:color="D5D0CA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FD47FF9" w14:textId="77777777" w:rsidR="007D0CE1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Manual work left after automation</w:t>
            </w:r>
          </w:p>
        </w:tc>
        <w:tc>
          <w:tcPr>
            <w:tcW w:w="2800" w:type="dxa"/>
            <w:tcBorders>
              <w:top w:val="single" w:sz="4" w:space="0" w:color="D5D0CA"/>
              <w:left w:val="single" w:sz="4" w:space="0" w:color="D5D0CA"/>
              <w:bottom w:val="single" w:sz="4" w:space="0" w:color="D5D0CA"/>
              <w:right w:val="single" w:sz="4" w:space="0" w:color="D5D0CA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63E358B" w14:textId="77777777" w:rsidR="007D0CE1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LLM proposals under deterministic verification</w:t>
            </w:r>
          </w:p>
        </w:tc>
        <w:tc>
          <w:tcPr>
            <w:tcW w:w="2680" w:type="dxa"/>
            <w:tcBorders>
              <w:top w:val="single" w:sz="4" w:space="0" w:color="D5D0CA"/>
              <w:left w:val="single" w:sz="4" w:space="0" w:color="D5D0CA"/>
              <w:bottom w:val="single" w:sz="4" w:space="0" w:color="D5D0CA"/>
              <w:right w:val="single" w:sz="4" w:space="0" w:color="D5D0CA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B98F748" w14:textId="77777777" w:rsidR="007D0CE1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Needs strong test oracle. Risk: LLM variability</w:t>
            </w:r>
          </w:p>
        </w:tc>
      </w:tr>
      <w:tr w:rsidR="007D0CE1" w14:paraId="667DD8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D5D0CA"/>
              <w:left w:val="single" w:sz="4" w:space="0" w:color="D5D0CA"/>
              <w:bottom w:val="single" w:sz="4" w:space="0" w:color="D5D0CA"/>
              <w:right w:val="single" w:sz="4" w:space="0" w:color="D5D0CA"/>
            </w:tcBorders>
            <w:shd w:val="clear" w:color="auto" w:fill="F4F1EE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1ECCDCF" w14:textId="77777777" w:rsidR="007D0CE1" w:rsidRDefault="00000000">
            <w:pPr>
              <w:spacing w:line="250" w:lineRule="auto"/>
            </w:pPr>
            <w:r>
              <w:rPr>
                <w:b/>
                <w:bCs/>
                <w:sz w:val="18"/>
                <w:szCs w:val="18"/>
              </w:rPr>
              <w:t>P6. Post-cutover assurance (M7)</w:t>
            </w:r>
          </w:p>
        </w:tc>
        <w:tc>
          <w:tcPr>
            <w:tcW w:w="2200" w:type="dxa"/>
            <w:tcBorders>
              <w:top w:val="single" w:sz="4" w:space="0" w:color="D5D0CA"/>
              <w:left w:val="single" w:sz="4" w:space="0" w:color="D5D0CA"/>
              <w:bottom w:val="single" w:sz="4" w:space="0" w:color="D5D0CA"/>
              <w:right w:val="single" w:sz="4" w:space="0" w:color="D5D0CA"/>
            </w:tcBorders>
            <w:shd w:val="clear" w:color="auto" w:fill="F4F1EE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4A04DC6" w14:textId="77777777" w:rsidR="007D0CE1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Tools end at go-live</w:t>
            </w:r>
          </w:p>
        </w:tc>
        <w:tc>
          <w:tcPr>
            <w:tcW w:w="2800" w:type="dxa"/>
            <w:tcBorders>
              <w:top w:val="single" w:sz="4" w:space="0" w:color="D5D0CA"/>
              <w:left w:val="single" w:sz="4" w:space="0" w:color="D5D0CA"/>
              <w:bottom w:val="single" w:sz="4" w:space="0" w:color="D5D0CA"/>
              <w:right w:val="single" w:sz="4" w:space="0" w:color="D5D0CA"/>
            </w:tcBorders>
            <w:shd w:val="clear" w:color="auto" w:fill="F4F1EE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4D47B07" w14:textId="77777777" w:rsidR="007D0CE1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Continuous lineage and parity monitoring</w:t>
            </w:r>
          </w:p>
        </w:tc>
        <w:tc>
          <w:tcPr>
            <w:tcW w:w="2680" w:type="dxa"/>
            <w:tcBorders>
              <w:top w:val="single" w:sz="4" w:space="0" w:color="D5D0CA"/>
              <w:left w:val="single" w:sz="4" w:space="0" w:color="D5D0CA"/>
              <w:bottom w:val="single" w:sz="4" w:space="0" w:color="D5D0CA"/>
              <w:right w:val="single" w:sz="4" w:space="0" w:color="D5D0CA"/>
            </w:tcBorders>
            <w:shd w:val="clear" w:color="auto" w:fill="F4F1EE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68063B4" w14:textId="77777777" w:rsidR="007D0CE1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Needs P1. Risk: unclear who funds it</w:t>
            </w:r>
          </w:p>
        </w:tc>
      </w:tr>
    </w:tbl>
    <w:p w14:paraId="04D4F350" w14:textId="77777777" w:rsidR="007D0CE1" w:rsidRDefault="007D0CE1">
      <w:pPr>
        <w:spacing w:after="100"/>
      </w:pPr>
    </w:p>
    <w:p w14:paraId="78870014" w14:textId="77777777" w:rsidR="007D0CE1" w:rsidRDefault="00000000">
      <w:pPr>
        <w:pStyle w:val="Heading2"/>
        <w:spacing w:before="200" w:after="80"/>
      </w:pPr>
      <w:r>
        <w:t>Commercial model options</w:t>
      </w:r>
    </w:p>
    <w:p w14:paraId="6E1AEC0F" w14:textId="77777777" w:rsidR="007D0CE1" w:rsidRDefault="00000000">
      <w:pPr>
        <w:spacing w:after="120" w:line="276" w:lineRule="auto"/>
      </w:pPr>
      <w:r>
        <w:t>Outcome-based terms already exist in data migration [3][5], so they are an option, not a differentiator. Our stronger claim is the quality of the evidence: parity plus lineage continuity plus a traceable approval record. Options to test include product licensing, usage-based pricing per migrated job, and outcome-linked fees backed by the evidence ledger. Insured, capped post-go-live recourse is a later possibility that needs an underwriting partner.</w:t>
      </w:r>
    </w:p>
    <w:p w14:paraId="19DEF1C3" w14:textId="77777777" w:rsidR="007D0CE1" w:rsidRDefault="00000000">
      <w:pPr>
        <w:pStyle w:val="Heading2"/>
        <w:spacing w:before="200" w:after="80"/>
      </w:pPr>
      <w:r>
        <w:t>Adjacent expansion</w:t>
      </w:r>
    </w:p>
    <w:p w14:paraId="18ED987D" w14:textId="77777777" w:rsidR="007D0CE1" w:rsidRDefault="00000000">
      <w:pPr>
        <w:spacing w:after="120" w:line="276" w:lineRule="auto"/>
      </w:pPr>
      <w:r>
        <w:t xml:space="preserve">Mainframe and COBOL-derived pipelines are a plausible extension of the same graph and ledger, but the tooling there is dominated by </w:t>
      </w:r>
      <w:proofErr w:type="spellStart"/>
      <w:r>
        <w:t>hyperscaler</w:t>
      </w:r>
      <w:proofErr w:type="spellEnd"/>
      <w:r>
        <w:t xml:space="preserve"> and IBM offerings [14]. Whether to extend is a decision for after the data and ETL core is proven.</w:t>
      </w:r>
    </w:p>
    <w:p w14:paraId="6DFFB44C" w14:textId="77777777" w:rsidR="007D0CE1" w:rsidRDefault="00000000">
      <w:pPr>
        <w:pStyle w:val="Heading2"/>
        <w:spacing w:before="200" w:after="80"/>
      </w:pPr>
      <w:r>
        <w:t>Non-goals</w:t>
      </w:r>
    </w:p>
    <w:p w14:paraId="05B4ACFE" w14:textId="77777777" w:rsidR="007D0CE1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t>We do not claim total or deterministic proof of equivalence. We claim a defined, measured, and recorded standard.</w:t>
      </w:r>
    </w:p>
    <w:p w14:paraId="7F5D369B" w14:textId="77777777" w:rsidR="007D0CE1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t>We do not replace enterprise catalogs or build a general lineage product for modern stacks.</w:t>
      </w:r>
    </w:p>
    <w:p w14:paraId="3604CA33" w14:textId="77777777" w:rsidR="007D0CE1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t>We do not underwrite risk ourselves.</w:t>
      </w:r>
    </w:p>
    <w:p w14:paraId="70CDE3F6" w14:textId="77777777" w:rsidR="007D0CE1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t>We do not favor a tool, cloud or model provider because of a partnership.</w:t>
      </w:r>
    </w:p>
    <w:p w14:paraId="25AF419D" w14:textId="77777777" w:rsidR="007D0CE1" w:rsidRDefault="00000000">
      <w:pPr>
        <w:pStyle w:val="Heading1"/>
        <w:spacing w:before="320" w:after="140"/>
      </w:pPr>
      <w:r>
        <w:lastRenderedPageBreak/>
        <w:t>6. Scope discipline, sequencing and decision gates</w:t>
      </w:r>
    </w:p>
    <w:p w14:paraId="4F74F794" w14:textId="77777777" w:rsidR="007D0CE1" w:rsidRDefault="00000000">
      <w:pPr>
        <w:spacing w:after="120" w:line="276" w:lineRule="auto"/>
      </w:pPr>
      <w:r>
        <w:t>"All in one" is the largest risk in this thesis. Seven modules is a platform build. The answer is to build the spine first and widen only on evidence. Ordering is by dependency; gates are passed on evidence, not on dates.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4100"/>
        <w:gridCol w:w="3480"/>
      </w:tblGrid>
      <w:tr w:rsidR="007D0CE1" w14:paraId="1036079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4" w:space="0" w:color="D5D0CA"/>
              <w:left w:val="single" w:sz="4" w:space="0" w:color="D5D0CA"/>
              <w:bottom w:val="single" w:sz="4" w:space="0" w:color="D5D0CA"/>
              <w:right w:val="single" w:sz="4" w:space="0" w:color="D5D0CA"/>
            </w:tcBorders>
            <w:shd w:val="clear" w:color="auto" w:fill="1F2A3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54AD6E9" w14:textId="77777777" w:rsidR="007D0CE1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Layer</w:t>
            </w:r>
          </w:p>
        </w:tc>
        <w:tc>
          <w:tcPr>
            <w:tcW w:w="4100" w:type="dxa"/>
            <w:tcBorders>
              <w:top w:val="single" w:sz="4" w:space="0" w:color="D5D0CA"/>
              <w:left w:val="single" w:sz="4" w:space="0" w:color="D5D0CA"/>
              <w:bottom w:val="single" w:sz="4" w:space="0" w:color="D5D0CA"/>
              <w:right w:val="single" w:sz="4" w:space="0" w:color="D5D0CA"/>
            </w:tcBorders>
            <w:shd w:val="clear" w:color="auto" w:fill="1F2A3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32382EF" w14:textId="77777777" w:rsidR="007D0CE1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What it establishes</w:t>
            </w:r>
          </w:p>
        </w:tc>
        <w:tc>
          <w:tcPr>
            <w:tcW w:w="3480" w:type="dxa"/>
            <w:tcBorders>
              <w:top w:val="single" w:sz="4" w:space="0" w:color="D5D0CA"/>
              <w:left w:val="single" w:sz="4" w:space="0" w:color="D5D0CA"/>
              <w:bottom w:val="single" w:sz="4" w:space="0" w:color="D5D0CA"/>
              <w:right w:val="single" w:sz="4" w:space="0" w:color="D5D0CA"/>
            </w:tcBorders>
            <w:shd w:val="clear" w:color="auto" w:fill="1F2A3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462DFF1" w14:textId="77777777" w:rsidR="007D0CE1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Gate to proceed</w:t>
            </w:r>
          </w:p>
        </w:tc>
      </w:tr>
      <w:tr w:rsidR="007D0CE1" w14:paraId="048457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D5D0CA"/>
              <w:left w:val="single" w:sz="4" w:space="0" w:color="D5D0CA"/>
              <w:bottom w:val="single" w:sz="4" w:space="0" w:color="D5D0CA"/>
              <w:right w:val="single" w:sz="4" w:space="0" w:color="D5D0CA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3CD8951" w14:textId="77777777" w:rsidR="007D0CE1" w:rsidRDefault="00000000">
            <w:pPr>
              <w:spacing w:line="250" w:lineRule="auto"/>
            </w:pPr>
            <w:r>
              <w:rPr>
                <w:b/>
                <w:bCs/>
                <w:sz w:val="18"/>
                <w:szCs w:val="18"/>
              </w:rPr>
              <w:t>A. Spine: IR, knowledge graph, evidence ledger (M2, M6)</w:t>
            </w:r>
          </w:p>
        </w:tc>
        <w:tc>
          <w:tcPr>
            <w:tcW w:w="4100" w:type="dxa"/>
            <w:tcBorders>
              <w:top w:val="single" w:sz="4" w:space="0" w:color="D5D0CA"/>
              <w:left w:val="single" w:sz="4" w:space="0" w:color="D5D0CA"/>
              <w:bottom w:val="single" w:sz="4" w:space="0" w:color="D5D0CA"/>
              <w:right w:val="single" w:sz="4" w:space="0" w:color="D5D0CA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F19A603" w14:textId="77777777" w:rsidR="007D0CE1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 xml:space="preserve">That legacy logic and lineage can be captured in a neutral, </w:t>
            </w:r>
            <w:proofErr w:type="spellStart"/>
            <w:r>
              <w:rPr>
                <w:sz w:val="18"/>
                <w:szCs w:val="18"/>
              </w:rPr>
              <w:t>queryable</w:t>
            </w:r>
            <w:proofErr w:type="spellEnd"/>
            <w:r>
              <w:rPr>
                <w:sz w:val="18"/>
                <w:szCs w:val="18"/>
              </w:rPr>
              <w:t xml:space="preserve"> form.</w:t>
            </w:r>
          </w:p>
        </w:tc>
        <w:tc>
          <w:tcPr>
            <w:tcW w:w="3480" w:type="dxa"/>
            <w:tcBorders>
              <w:top w:val="single" w:sz="4" w:space="0" w:color="D5D0CA"/>
              <w:left w:val="single" w:sz="4" w:space="0" w:color="D5D0CA"/>
              <w:bottom w:val="single" w:sz="4" w:space="0" w:color="D5D0CA"/>
              <w:right w:val="single" w:sz="4" w:space="0" w:color="D5D0CA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602CD22" w14:textId="77777777" w:rsidR="007D0CE1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One source technology parsed to column-level lineage that client engineers accept as accurate.</w:t>
            </w:r>
          </w:p>
        </w:tc>
      </w:tr>
      <w:tr w:rsidR="007D0CE1" w14:paraId="65941E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D5D0CA"/>
              <w:left w:val="single" w:sz="4" w:space="0" w:color="D5D0CA"/>
              <w:bottom w:val="single" w:sz="4" w:space="0" w:color="D5D0CA"/>
              <w:right w:val="single" w:sz="4" w:space="0" w:color="D5D0CA"/>
            </w:tcBorders>
            <w:shd w:val="clear" w:color="auto" w:fill="F4F1EE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41FEA5B" w14:textId="77777777" w:rsidR="007D0CE1" w:rsidRDefault="00000000">
            <w:pPr>
              <w:spacing w:line="250" w:lineRule="auto"/>
            </w:pPr>
            <w:r>
              <w:rPr>
                <w:b/>
                <w:bCs/>
                <w:sz w:val="18"/>
                <w:szCs w:val="18"/>
              </w:rPr>
              <w:t>B. First conversion path with parity (M3, M4)</w:t>
            </w:r>
          </w:p>
        </w:tc>
        <w:tc>
          <w:tcPr>
            <w:tcW w:w="4100" w:type="dxa"/>
            <w:tcBorders>
              <w:top w:val="single" w:sz="4" w:space="0" w:color="D5D0CA"/>
              <w:left w:val="single" w:sz="4" w:space="0" w:color="D5D0CA"/>
              <w:bottom w:val="single" w:sz="4" w:space="0" w:color="D5D0CA"/>
              <w:right w:val="single" w:sz="4" w:space="0" w:color="D5D0CA"/>
            </w:tcBorders>
            <w:shd w:val="clear" w:color="auto" w:fill="F4F1EE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76E83FE" w14:textId="77777777" w:rsidR="007D0CE1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 xml:space="preserve">That conversion to Glue and </w:t>
            </w:r>
            <w:proofErr w:type="spellStart"/>
            <w:r>
              <w:rPr>
                <w:sz w:val="18"/>
                <w:szCs w:val="18"/>
              </w:rPr>
              <w:t>PySpark</w:t>
            </w:r>
            <w:proofErr w:type="spellEnd"/>
            <w:r>
              <w:rPr>
                <w:sz w:val="18"/>
                <w:szCs w:val="18"/>
              </w:rPr>
              <w:t xml:space="preserve"> can be gated on data parity.</w:t>
            </w:r>
          </w:p>
        </w:tc>
        <w:tc>
          <w:tcPr>
            <w:tcW w:w="3480" w:type="dxa"/>
            <w:tcBorders>
              <w:top w:val="single" w:sz="4" w:space="0" w:color="D5D0CA"/>
              <w:left w:val="single" w:sz="4" w:space="0" w:color="D5D0CA"/>
              <w:bottom w:val="single" w:sz="4" w:space="0" w:color="D5D0CA"/>
              <w:right w:val="single" w:sz="4" w:space="0" w:color="D5D0CA"/>
            </w:tcBorders>
            <w:shd w:val="clear" w:color="auto" w:fill="F4F1EE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5CA866F" w14:textId="77777777" w:rsidR="007D0CE1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A real workload passes agreed parity rules and the result is reproducible.</w:t>
            </w:r>
          </w:p>
        </w:tc>
      </w:tr>
      <w:tr w:rsidR="007D0CE1" w14:paraId="43BC37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D5D0CA"/>
              <w:left w:val="single" w:sz="4" w:space="0" w:color="D5D0CA"/>
              <w:bottom w:val="single" w:sz="4" w:space="0" w:color="D5D0CA"/>
              <w:right w:val="single" w:sz="4" w:space="0" w:color="D5D0CA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E50B3E1" w14:textId="77777777" w:rsidR="007D0CE1" w:rsidRDefault="00000000">
            <w:pPr>
              <w:spacing w:line="250" w:lineRule="auto"/>
            </w:pPr>
            <w:r>
              <w:rPr>
                <w:b/>
                <w:bCs/>
                <w:sz w:val="18"/>
                <w:szCs w:val="18"/>
              </w:rPr>
              <w:t>C. Lineage continuity (M5)</w:t>
            </w:r>
          </w:p>
        </w:tc>
        <w:tc>
          <w:tcPr>
            <w:tcW w:w="4100" w:type="dxa"/>
            <w:tcBorders>
              <w:top w:val="single" w:sz="4" w:space="0" w:color="D5D0CA"/>
              <w:left w:val="single" w:sz="4" w:space="0" w:color="D5D0CA"/>
              <w:bottom w:val="single" w:sz="4" w:space="0" w:color="D5D0CA"/>
              <w:right w:val="single" w:sz="4" w:space="0" w:color="D5D0CA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911A78F" w14:textId="77777777" w:rsidR="007D0CE1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That legacy and new lineage can be compared and differences resolved.</w:t>
            </w:r>
          </w:p>
        </w:tc>
        <w:tc>
          <w:tcPr>
            <w:tcW w:w="3480" w:type="dxa"/>
            <w:tcBorders>
              <w:top w:val="single" w:sz="4" w:space="0" w:color="D5D0CA"/>
              <w:left w:val="single" w:sz="4" w:space="0" w:color="D5D0CA"/>
              <w:bottom w:val="single" w:sz="4" w:space="0" w:color="D5D0CA"/>
              <w:right w:val="single" w:sz="4" w:space="0" w:color="D5D0CA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5561DA6" w14:textId="77777777" w:rsidR="007D0CE1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Matching accuracy that a risk or audit reviewer accepts.</w:t>
            </w:r>
          </w:p>
        </w:tc>
      </w:tr>
      <w:tr w:rsidR="007D0CE1" w14:paraId="76A467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D5D0CA"/>
              <w:left w:val="single" w:sz="4" w:space="0" w:color="D5D0CA"/>
              <w:bottom w:val="single" w:sz="4" w:space="0" w:color="D5D0CA"/>
              <w:right w:val="single" w:sz="4" w:space="0" w:color="D5D0CA"/>
            </w:tcBorders>
            <w:shd w:val="clear" w:color="auto" w:fill="F4F1EE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69CC8CF" w14:textId="77777777" w:rsidR="007D0CE1" w:rsidRDefault="00000000">
            <w:pPr>
              <w:spacing w:line="250" w:lineRule="auto"/>
            </w:pPr>
            <w:r>
              <w:rPr>
                <w:b/>
                <w:bCs/>
                <w:sz w:val="18"/>
                <w:szCs w:val="18"/>
              </w:rPr>
              <w:t>D. Breadth: further sources, targets, referee mode (P4)</w:t>
            </w:r>
          </w:p>
        </w:tc>
        <w:tc>
          <w:tcPr>
            <w:tcW w:w="4100" w:type="dxa"/>
            <w:tcBorders>
              <w:top w:val="single" w:sz="4" w:space="0" w:color="D5D0CA"/>
              <w:left w:val="single" w:sz="4" w:space="0" w:color="D5D0CA"/>
              <w:bottom w:val="single" w:sz="4" w:space="0" w:color="D5D0CA"/>
              <w:right w:val="single" w:sz="4" w:space="0" w:color="D5D0CA"/>
            </w:tcBorders>
            <w:shd w:val="clear" w:color="auto" w:fill="F4F1EE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7D0676B" w14:textId="77777777" w:rsidR="007D0CE1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That the IR generalizes.</w:t>
            </w:r>
          </w:p>
        </w:tc>
        <w:tc>
          <w:tcPr>
            <w:tcW w:w="3480" w:type="dxa"/>
            <w:tcBorders>
              <w:top w:val="single" w:sz="4" w:space="0" w:color="D5D0CA"/>
              <w:left w:val="single" w:sz="4" w:space="0" w:color="D5D0CA"/>
              <w:bottom w:val="single" w:sz="4" w:space="0" w:color="D5D0CA"/>
              <w:right w:val="single" w:sz="4" w:space="0" w:color="D5D0CA"/>
            </w:tcBorders>
            <w:shd w:val="clear" w:color="auto" w:fill="F4F1EE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11C52E1" w14:textId="77777777" w:rsidR="007D0CE1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A second source technology and a second target reuse the spine without redesign.</w:t>
            </w:r>
          </w:p>
        </w:tc>
      </w:tr>
      <w:tr w:rsidR="007D0CE1" w14:paraId="55726A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D5D0CA"/>
              <w:left w:val="single" w:sz="4" w:space="0" w:color="D5D0CA"/>
              <w:bottom w:val="single" w:sz="4" w:space="0" w:color="D5D0CA"/>
              <w:right w:val="single" w:sz="4" w:space="0" w:color="D5D0CA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C31793B" w14:textId="77777777" w:rsidR="007D0CE1" w:rsidRDefault="00000000">
            <w:pPr>
              <w:spacing w:line="250" w:lineRule="auto"/>
            </w:pPr>
            <w:r>
              <w:rPr>
                <w:b/>
                <w:bCs/>
                <w:sz w:val="18"/>
                <w:szCs w:val="18"/>
              </w:rPr>
              <w:t>E. Operate (M7)</w:t>
            </w:r>
          </w:p>
        </w:tc>
        <w:tc>
          <w:tcPr>
            <w:tcW w:w="4100" w:type="dxa"/>
            <w:tcBorders>
              <w:top w:val="single" w:sz="4" w:space="0" w:color="D5D0CA"/>
              <w:left w:val="single" w:sz="4" w:space="0" w:color="D5D0CA"/>
              <w:bottom w:val="single" w:sz="4" w:space="0" w:color="D5D0CA"/>
              <w:right w:val="single" w:sz="4" w:space="0" w:color="D5D0CA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1048E4C" w14:textId="77777777" w:rsidR="007D0CE1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That continuous assurance has a paying owner.</w:t>
            </w:r>
          </w:p>
        </w:tc>
        <w:tc>
          <w:tcPr>
            <w:tcW w:w="3480" w:type="dxa"/>
            <w:tcBorders>
              <w:top w:val="single" w:sz="4" w:space="0" w:color="D5D0CA"/>
              <w:left w:val="single" w:sz="4" w:space="0" w:color="D5D0CA"/>
              <w:bottom w:val="single" w:sz="4" w:space="0" w:color="D5D0CA"/>
              <w:right w:val="single" w:sz="4" w:space="0" w:color="D5D0CA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6D3C67D" w14:textId="77777777" w:rsidR="007D0CE1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A named client and funding owner.</w:t>
            </w:r>
          </w:p>
        </w:tc>
      </w:tr>
    </w:tbl>
    <w:p w14:paraId="2178EA16" w14:textId="77777777" w:rsidR="007D0CE1" w:rsidRDefault="007D0CE1">
      <w:pPr>
        <w:spacing w:after="100"/>
      </w:pPr>
    </w:p>
    <w:p w14:paraId="36B901C5" w14:textId="77777777" w:rsidR="007D0CE1" w:rsidRDefault="00000000">
      <w:pPr>
        <w:spacing w:after="120" w:line="276" w:lineRule="auto"/>
      </w:pPr>
      <w:r>
        <w:rPr>
          <w:b/>
          <w:bCs/>
        </w:rPr>
        <w:t>Choosing the first wedge.</w:t>
      </w:r>
      <w:r>
        <w:t xml:space="preserve"> Select the first source and target by three tests: urgency of the client's support position (PowerCenter is the clearest case [7]), alignment with our strongest platform relationships, and availability of a client willing to share representative workloads. This brief does not pick the wedge; it asks stakeholders to.</w:t>
      </w:r>
    </w:p>
    <w:p w14:paraId="7285A9BF" w14:textId="77777777" w:rsidR="007D0CE1" w:rsidRDefault="00000000">
      <w:pPr>
        <w:spacing w:after="120" w:line="276" w:lineRule="auto"/>
      </w:pPr>
      <w:r>
        <w:rPr>
          <w:b/>
          <w:bCs/>
        </w:rPr>
        <w:t>Stop rules.</w:t>
      </w:r>
      <w:r>
        <w:t xml:space="preserve"> Pause breadth work if the spine cannot reach column-level lineage accuracy that client engineers accept. Pause M5 if lineage identity matching cannot reach reviewer-acceptable accuracy. Pause commercial outcome terms if evidence generation cost per job is not understood.</w:t>
      </w:r>
    </w:p>
    <w:p w14:paraId="0CCDF3A9" w14:textId="77777777" w:rsidR="007D0CE1" w:rsidRDefault="00000000">
      <w:pPr>
        <w:pStyle w:val="Heading1"/>
        <w:spacing w:before="320" w:after="140"/>
      </w:pPr>
      <w:r>
        <w:t>7. Competitive risks and our response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3800"/>
        <w:gridCol w:w="3580"/>
      </w:tblGrid>
      <w:tr w:rsidR="007D0CE1" w14:paraId="280CFDC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tcBorders>
              <w:top w:val="single" w:sz="4" w:space="0" w:color="D5D0CA"/>
              <w:left w:val="single" w:sz="4" w:space="0" w:color="D5D0CA"/>
              <w:bottom w:val="single" w:sz="4" w:space="0" w:color="D5D0CA"/>
              <w:right w:val="single" w:sz="4" w:space="0" w:color="D5D0CA"/>
            </w:tcBorders>
            <w:shd w:val="clear" w:color="auto" w:fill="1F2A3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40943D4" w14:textId="77777777" w:rsidR="007D0CE1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Risk</w:t>
            </w:r>
          </w:p>
        </w:tc>
        <w:tc>
          <w:tcPr>
            <w:tcW w:w="3800" w:type="dxa"/>
            <w:tcBorders>
              <w:top w:val="single" w:sz="4" w:space="0" w:color="D5D0CA"/>
              <w:left w:val="single" w:sz="4" w:space="0" w:color="D5D0CA"/>
              <w:bottom w:val="single" w:sz="4" w:space="0" w:color="D5D0CA"/>
              <w:right w:val="single" w:sz="4" w:space="0" w:color="D5D0CA"/>
            </w:tcBorders>
            <w:shd w:val="clear" w:color="auto" w:fill="1F2A3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27C0704" w14:textId="77777777" w:rsidR="007D0CE1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Why it is credible</w:t>
            </w:r>
          </w:p>
        </w:tc>
        <w:tc>
          <w:tcPr>
            <w:tcW w:w="3580" w:type="dxa"/>
            <w:tcBorders>
              <w:top w:val="single" w:sz="4" w:space="0" w:color="D5D0CA"/>
              <w:left w:val="single" w:sz="4" w:space="0" w:color="D5D0CA"/>
              <w:bottom w:val="single" w:sz="4" w:space="0" w:color="D5D0CA"/>
              <w:right w:val="single" w:sz="4" w:space="0" w:color="D5D0CA"/>
            </w:tcBorders>
            <w:shd w:val="clear" w:color="auto" w:fill="1F2A3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B25E69D" w14:textId="77777777" w:rsidR="007D0CE1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Response</w:t>
            </w:r>
          </w:p>
        </w:tc>
      </w:tr>
      <w:tr w:rsidR="007D0CE1" w14:paraId="71D75C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D5D0CA"/>
              <w:left w:val="single" w:sz="4" w:space="0" w:color="D5D0CA"/>
              <w:bottom w:val="single" w:sz="4" w:space="0" w:color="D5D0CA"/>
              <w:right w:val="single" w:sz="4" w:space="0" w:color="D5D0CA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570F664" w14:textId="77777777" w:rsidR="007D0CE1" w:rsidRDefault="00000000">
            <w:pPr>
              <w:spacing w:line="250" w:lineRule="auto"/>
            </w:pPr>
            <w:r>
              <w:rPr>
                <w:b/>
                <w:bCs/>
                <w:sz w:val="18"/>
                <w:szCs w:val="18"/>
              </w:rPr>
              <w:t xml:space="preserve">Databricks widens </w:t>
            </w:r>
            <w:proofErr w:type="spellStart"/>
            <w:r>
              <w:rPr>
                <w:b/>
                <w:bCs/>
                <w:sz w:val="18"/>
                <w:szCs w:val="18"/>
              </w:rPr>
              <w:t>Lakebridge</w:t>
            </w:r>
            <w:proofErr w:type="spellEnd"/>
          </w:p>
        </w:tc>
        <w:tc>
          <w:tcPr>
            <w:tcW w:w="3800" w:type="dxa"/>
            <w:tcBorders>
              <w:top w:val="single" w:sz="4" w:space="0" w:color="D5D0CA"/>
              <w:left w:val="single" w:sz="4" w:space="0" w:color="D5D0CA"/>
              <w:bottom w:val="single" w:sz="4" w:space="0" w:color="D5D0CA"/>
              <w:right w:val="single" w:sz="4" w:space="0" w:color="D5D0CA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9A92329" w14:textId="77777777" w:rsidR="007D0CE1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Free, open, vendor-funded, already covers analysis, conversion and reconciliation [1].</w:t>
            </w:r>
          </w:p>
        </w:tc>
        <w:tc>
          <w:tcPr>
            <w:tcW w:w="3580" w:type="dxa"/>
            <w:tcBorders>
              <w:top w:val="single" w:sz="4" w:space="0" w:color="D5D0CA"/>
              <w:left w:val="single" w:sz="4" w:space="0" w:color="D5D0CA"/>
              <w:bottom w:val="single" w:sz="4" w:space="0" w:color="D5D0CA"/>
              <w:right w:val="single" w:sz="4" w:space="0" w:color="D5D0CA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8B6A4A6" w14:textId="77777777" w:rsidR="007D0CE1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 xml:space="preserve">Stay </w:t>
            </w:r>
            <w:proofErr w:type="gramStart"/>
            <w:r>
              <w:rPr>
                <w:sz w:val="18"/>
                <w:szCs w:val="18"/>
              </w:rPr>
              <w:t>target-neutral</w:t>
            </w:r>
            <w:proofErr w:type="gramEnd"/>
            <w:r>
              <w:rPr>
                <w:sz w:val="18"/>
                <w:szCs w:val="18"/>
              </w:rPr>
              <w:t>. Interoperate rather than compete on dialects.</w:t>
            </w:r>
          </w:p>
        </w:tc>
      </w:tr>
      <w:tr w:rsidR="007D0CE1" w14:paraId="60F5F7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D5D0CA"/>
              <w:left w:val="single" w:sz="4" w:space="0" w:color="D5D0CA"/>
              <w:bottom w:val="single" w:sz="4" w:space="0" w:color="D5D0CA"/>
              <w:right w:val="single" w:sz="4" w:space="0" w:color="D5D0CA"/>
            </w:tcBorders>
            <w:shd w:val="clear" w:color="auto" w:fill="F4F1EE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E02BA69" w14:textId="77777777" w:rsidR="007D0CE1" w:rsidRDefault="00000000">
            <w:pPr>
              <w:spacing w:line="250" w:lineRule="auto"/>
            </w:pPr>
            <w:r>
              <w:rPr>
                <w:b/>
                <w:bCs/>
                <w:sz w:val="18"/>
                <w:szCs w:val="18"/>
              </w:rPr>
              <w:t>AWS builds a Glue-target converter</w:t>
            </w:r>
          </w:p>
        </w:tc>
        <w:tc>
          <w:tcPr>
            <w:tcW w:w="3800" w:type="dxa"/>
            <w:tcBorders>
              <w:top w:val="single" w:sz="4" w:space="0" w:color="D5D0CA"/>
              <w:left w:val="single" w:sz="4" w:space="0" w:color="D5D0CA"/>
              <w:bottom w:val="single" w:sz="4" w:space="0" w:color="D5D0CA"/>
              <w:right w:val="single" w:sz="4" w:space="0" w:color="D5D0CA"/>
            </w:tcBorders>
            <w:shd w:val="clear" w:color="auto" w:fill="F4F1EE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9B63A1D" w14:textId="77777777" w:rsidR="007D0CE1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AWS already captures lineage on Glue and has migration tooling for mainframe [8][14].</w:t>
            </w:r>
          </w:p>
        </w:tc>
        <w:tc>
          <w:tcPr>
            <w:tcW w:w="3580" w:type="dxa"/>
            <w:tcBorders>
              <w:top w:val="single" w:sz="4" w:space="0" w:color="D5D0CA"/>
              <w:left w:val="single" w:sz="4" w:space="0" w:color="D5D0CA"/>
              <w:bottom w:val="single" w:sz="4" w:space="0" w:color="D5D0CA"/>
              <w:right w:val="single" w:sz="4" w:space="0" w:color="D5D0CA"/>
            </w:tcBorders>
            <w:shd w:val="clear" w:color="auto" w:fill="F4F1EE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EE060FF" w14:textId="77777777" w:rsidR="007D0CE1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Own the neutral evidence and continuity layer that a single cloud vendor cannot credibly referee.</w:t>
            </w:r>
          </w:p>
        </w:tc>
      </w:tr>
      <w:tr w:rsidR="007D0CE1" w14:paraId="4DAA6F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D5D0CA"/>
              <w:left w:val="single" w:sz="4" w:space="0" w:color="D5D0CA"/>
              <w:bottom w:val="single" w:sz="4" w:space="0" w:color="D5D0CA"/>
              <w:right w:val="single" w:sz="4" w:space="0" w:color="D5D0CA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719FE5A" w14:textId="77777777" w:rsidR="007D0CE1" w:rsidRDefault="00000000">
            <w:pPr>
              <w:spacing w:line="250" w:lineRule="auto"/>
            </w:pPr>
            <w:proofErr w:type="spellStart"/>
            <w:r>
              <w:rPr>
                <w:b/>
                <w:bCs/>
                <w:sz w:val="18"/>
                <w:szCs w:val="18"/>
              </w:rPr>
              <w:t>Datafold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or a rival adds lineage and governance</w:t>
            </w:r>
          </w:p>
        </w:tc>
        <w:tc>
          <w:tcPr>
            <w:tcW w:w="3800" w:type="dxa"/>
            <w:tcBorders>
              <w:top w:val="single" w:sz="4" w:space="0" w:color="D5D0CA"/>
              <w:left w:val="single" w:sz="4" w:space="0" w:color="D5D0CA"/>
              <w:bottom w:val="single" w:sz="4" w:space="0" w:color="D5D0CA"/>
              <w:right w:val="single" w:sz="4" w:space="0" w:color="D5D0CA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B3FA8D3" w14:textId="77777777" w:rsidR="007D0CE1" w:rsidRDefault="00000000">
            <w:pPr>
              <w:spacing w:line="250" w:lineRule="auto"/>
            </w:pPr>
            <w:proofErr w:type="spellStart"/>
            <w:r>
              <w:rPr>
                <w:sz w:val="18"/>
                <w:szCs w:val="18"/>
              </w:rPr>
              <w:t>Datafold</w:t>
            </w:r>
            <w:proofErr w:type="spellEnd"/>
            <w:r>
              <w:rPr>
                <w:sz w:val="18"/>
                <w:szCs w:val="18"/>
              </w:rPr>
              <w:t xml:space="preserve"> already has a knowledge graph and auditable diffs [3].</w:t>
            </w:r>
          </w:p>
        </w:tc>
        <w:tc>
          <w:tcPr>
            <w:tcW w:w="3580" w:type="dxa"/>
            <w:tcBorders>
              <w:top w:val="single" w:sz="4" w:space="0" w:color="D5D0CA"/>
              <w:left w:val="single" w:sz="4" w:space="0" w:color="D5D0CA"/>
              <w:bottom w:val="single" w:sz="4" w:space="0" w:color="D5D0CA"/>
              <w:right w:val="single" w:sz="4" w:space="0" w:color="D5D0CA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43C703B" w14:textId="77777777" w:rsidR="007D0CE1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Move first on lineage continuity and the evidence ledger; test their claims hands-on.</w:t>
            </w:r>
          </w:p>
        </w:tc>
      </w:tr>
      <w:tr w:rsidR="007D0CE1" w14:paraId="5FFD0B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D5D0CA"/>
              <w:left w:val="single" w:sz="4" w:space="0" w:color="D5D0CA"/>
              <w:bottom w:val="single" w:sz="4" w:space="0" w:color="D5D0CA"/>
              <w:right w:val="single" w:sz="4" w:space="0" w:color="D5D0CA"/>
            </w:tcBorders>
            <w:shd w:val="clear" w:color="auto" w:fill="F4F1EE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E84B39B" w14:textId="77777777" w:rsidR="007D0CE1" w:rsidRDefault="00000000">
            <w:pPr>
              <w:spacing w:line="250" w:lineRule="auto"/>
            </w:pPr>
            <w:r>
              <w:rPr>
                <w:b/>
                <w:bCs/>
                <w:sz w:val="18"/>
                <w:szCs w:val="18"/>
              </w:rPr>
              <w:t>Services firms bundle accelerators</w:t>
            </w:r>
          </w:p>
        </w:tc>
        <w:tc>
          <w:tcPr>
            <w:tcW w:w="3800" w:type="dxa"/>
            <w:tcBorders>
              <w:top w:val="single" w:sz="4" w:space="0" w:color="D5D0CA"/>
              <w:left w:val="single" w:sz="4" w:space="0" w:color="D5D0CA"/>
              <w:bottom w:val="single" w:sz="4" w:space="0" w:color="D5D0CA"/>
              <w:right w:val="single" w:sz="4" w:space="0" w:color="D5D0CA"/>
            </w:tcBorders>
            <w:shd w:val="clear" w:color="auto" w:fill="F4F1EE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3EB11EE" w14:textId="77777777" w:rsidR="007D0CE1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They are already selling Informatica to Glue accelerators with fixed terms [5][6].</w:t>
            </w:r>
          </w:p>
        </w:tc>
        <w:tc>
          <w:tcPr>
            <w:tcW w:w="3580" w:type="dxa"/>
            <w:tcBorders>
              <w:top w:val="single" w:sz="4" w:space="0" w:color="D5D0CA"/>
              <w:left w:val="single" w:sz="4" w:space="0" w:color="D5D0CA"/>
              <w:bottom w:val="single" w:sz="4" w:space="0" w:color="D5D0CA"/>
              <w:right w:val="single" w:sz="4" w:space="0" w:color="D5D0CA"/>
            </w:tcBorders>
            <w:shd w:val="clear" w:color="auto" w:fill="F4F1EE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C1BC262" w14:textId="77777777" w:rsidR="007D0CE1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Compete on measured parity and lineage evidence, not on speed claims.</w:t>
            </w:r>
          </w:p>
        </w:tc>
      </w:tr>
      <w:tr w:rsidR="007D0CE1" w14:paraId="339D3B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D5D0CA"/>
              <w:left w:val="single" w:sz="4" w:space="0" w:color="D5D0CA"/>
              <w:bottom w:val="single" w:sz="4" w:space="0" w:color="D5D0CA"/>
              <w:right w:val="single" w:sz="4" w:space="0" w:color="D5D0CA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9A1EA68" w14:textId="77777777" w:rsidR="007D0CE1" w:rsidRDefault="00000000">
            <w:pPr>
              <w:spacing w:line="250" w:lineRule="auto"/>
            </w:pPr>
            <w:r>
              <w:rPr>
                <w:b/>
                <w:bCs/>
                <w:sz w:val="18"/>
                <w:szCs w:val="18"/>
              </w:rPr>
              <w:t>Buyers choose Informatica IDMC</w:t>
            </w:r>
          </w:p>
        </w:tc>
        <w:tc>
          <w:tcPr>
            <w:tcW w:w="3800" w:type="dxa"/>
            <w:tcBorders>
              <w:top w:val="single" w:sz="4" w:space="0" w:color="D5D0CA"/>
              <w:left w:val="single" w:sz="4" w:space="0" w:color="D5D0CA"/>
              <w:bottom w:val="single" w:sz="4" w:space="0" w:color="D5D0CA"/>
              <w:right w:val="single" w:sz="4" w:space="0" w:color="D5D0CA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3AA4856" w14:textId="77777777" w:rsidR="007D0CE1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It is the vendor-endorsed path and avoids conversion [7].</w:t>
            </w:r>
          </w:p>
        </w:tc>
        <w:tc>
          <w:tcPr>
            <w:tcW w:w="3580" w:type="dxa"/>
            <w:tcBorders>
              <w:top w:val="single" w:sz="4" w:space="0" w:color="D5D0CA"/>
              <w:left w:val="single" w:sz="4" w:space="0" w:color="D5D0CA"/>
              <w:bottom w:val="single" w:sz="4" w:space="0" w:color="D5D0CA"/>
              <w:right w:val="single" w:sz="4" w:space="0" w:color="D5D0CA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6A5D9B1" w14:textId="77777777" w:rsidR="007D0CE1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Target clients that want to exit Informatica pricing and lock-in.</w:t>
            </w:r>
          </w:p>
        </w:tc>
      </w:tr>
    </w:tbl>
    <w:p w14:paraId="32120BFC" w14:textId="77777777" w:rsidR="007D0CE1" w:rsidRDefault="00000000">
      <w:pPr>
        <w:pStyle w:val="Heading1"/>
        <w:spacing w:before="320" w:after="140"/>
      </w:pPr>
      <w:r>
        <w:lastRenderedPageBreak/>
        <w:t xml:space="preserve">8. ML </w:t>
      </w:r>
      <w:proofErr w:type="spellStart"/>
      <w:r>
        <w:t>arteka's</w:t>
      </w:r>
      <w:proofErr w:type="spellEnd"/>
      <w:r>
        <w:t xml:space="preserve"> starting position, honestly assessed</w:t>
      </w:r>
    </w:p>
    <w:p w14:paraId="79627E30" w14:textId="77777777" w:rsidR="007D0CE1" w:rsidRDefault="00000000">
      <w:pPr>
        <w:spacing w:after="120" w:line="276" w:lineRule="auto"/>
      </w:pPr>
      <w:r>
        <w:t>Ratings use public information only and must be replaced with internal evidence.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1300"/>
        <w:gridCol w:w="6080"/>
      </w:tblGrid>
      <w:tr w:rsidR="007D0CE1" w14:paraId="6BB530D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tcBorders>
              <w:top w:val="single" w:sz="4" w:space="0" w:color="D5D0CA"/>
              <w:left w:val="single" w:sz="4" w:space="0" w:color="D5D0CA"/>
              <w:bottom w:val="single" w:sz="4" w:space="0" w:color="D5D0CA"/>
              <w:right w:val="single" w:sz="4" w:space="0" w:color="D5D0CA"/>
            </w:tcBorders>
            <w:shd w:val="clear" w:color="auto" w:fill="1F2A3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28FE7C1" w14:textId="77777777" w:rsidR="007D0CE1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Capability needed</w:t>
            </w:r>
          </w:p>
        </w:tc>
        <w:tc>
          <w:tcPr>
            <w:tcW w:w="1300" w:type="dxa"/>
            <w:tcBorders>
              <w:top w:val="single" w:sz="4" w:space="0" w:color="D5D0CA"/>
              <w:left w:val="single" w:sz="4" w:space="0" w:color="D5D0CA"/>
              <w:bottom w:val="single" w:sz="4" w:space="0" w:color="D5D0CA"/>
              <w:right w:val="single" w:sz="4" w:space="0" w:color="D5D0CA"/>
            </w:tcBorders>
            <w:shd w:val="clear" w:color="auto" w:fill="1F2A3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5BABBBD" w14:textId="77777777" w:rsidR="007D0CE1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6080" w:type="dxa"/>
            <w:tcBorders>
              <w:top w:val="single" w:sz="4" w:space="0" w:color="D5D0CA"/>
              <w:left w:val="single" w:sz="4" w:space="0" w:color="D5D0CA"/>
              <w:bottom w:val="single" w:sz="4" w:space="0" w:color="D5D0CA"/>
              <w:right w:val="single" w:sz="4" w:space="0" w:color="D5D0CA"/>
            </w:tcBorders>
            <w:shd w:val="clear" w:color="auto" w:fill="1F2A3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7C13FB1" w14:textId="77777777" w:rsidR="007D0CE1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Basis and what to validate</w:t>
            </w:r>
          </w:p>
        </w:tc>
      </w:tr>
      <w:tr w:rsidR="007D0CE1" w14:paraId="5F1328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D5D0CA"/>
              <w:left w:val="single" w:sz="4" w:space="0" w:color="D5D0CA"/>
              <w:bottom w:val="single" w:sz="4" w:space="0" w:color="D5D0CA"/>
              <w:right w:val="single" w:sz="4" w:space="0" w:color="D5D0CA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1202D4F" w14:textId="77777777" w:rsidR="007D0CE1" w:rsidRDefault="00000000">
            <w:pPr>
              <w:spacing w:line="250" w:lineRule="auto"/>
            </w:pPr>
            <w:r>
              <w:rPr>
                <w:b/>
                <w:bCs/>
                <w:sz w:val="18"/>
                <w:szCs w:val="18"/>
              </w:rPr>
              <w:t>Regulated financial-services access</w:t>
            </w:r>
          </w:p>
        </w:tc>
        <w:tc>
          <w:tcPr>
            <w:tcW w:w="1300" w:type="dxa"/>
            <w:tcBorders>
              <w:top w:val="single" w:sz="4" w:space="0" w:color="D5D0CA"/>
              <w:left w:val="single" w:sz="4" w:space="0" w:color="D5D0CA"/>
              <w:bottom w:val="single" w:sz="4" w:space="0" w:color="D5D0CA"/>
              <w:right w:val="single" w:sz="4" w:space="0" w:color="D5D0CA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A76EAF7" w14:textId="77777777" w:rsidR="007D0CE1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Present</w:t>
            </w:r>
          </w:p>
        </w:tc>
        <w:tc>
          <w:tcPr>
            <w:tcW w:w="6080" w:type="dxa"/>
            <w:tcBorders>
              <w:top w:val="single" w:sz="4" w:space="0" w:color="D5D0CA"/>
              <w:left w:val="single" w:sz="4" w:space="0" w:color="D5D0CA"/>
              <w:bottom w:val="single" w:sz="4" w:space="0" w:color="D5D0CA"/>
              <w:right w:val="single" w:sz="4" w:space="0" w:color="D5D0CA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F20F991" w14:textId="77777777" w:rsidR="007D0CE1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Banks, credit unions, insurance and telecom named as focus [16]. Validate: clients with large ETL estates and PowerCenter exposure.</w:t>
            </w:r>
          </w:p>
        </w:tc>
      </w:tr>
      <w:tr w:rsidR="007D0CE1" w14:paraId="101F27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D5D0CA"/>
              <w:left w:val="single" w:sz="4" w:space="0" w:color="D5D0CA"/>
              <w:bottom w:val="single" w:sz="4" w:space="0" w:color="D5D0CA"/>
              <w:right w:val="single" w:sz="4" w:space="0" w:color="D5D0CA"/>
            </w:tcBorders>
            <w:shd w:val="clear" w:color="auto" w:fill="F4F1EE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D1268A3" w14:textId="77777777" w:rsidR="007D0CE1" w:rsidRDefault="00000000">
            <w:pPr>
              <w:spacing w:line="250" w:lineRule="auto"/>
            </w:pPr>
            <w:r>
              <w:rPr>
                <w:b/>
                <w:bCs/>
                <w:sz w:val="18"/>
                <w:szCs w:val="18"/>
              </w:rPr>
              <w:t>Data and AI engineering</w:t>
            </w:r>
          </w:p>
        </w:tc>
        <w:tc>
          <w:tcPr>
            <w:tcW w:w="1300" w:type="dxa"/>
            <w:tcBorders>
              <w:top w:val="single" w:sz="4" w:space="0" w:color="D5D0CA"/>
              <w:left w:val="single" w:sz="4" w:space="0" w:color="D5D0CA"/>
              <w:bottom w:val="single" w:sz="4" w:space="0" w:color="D5D0CA"/>
              <w:right w:val="single" w:sz="4" w:space="0" w:color="D5D0CA"/>
            </w:tcBorders>
            <w:shd w:val="clear" w:color="auto" w:fill="F4F1EE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6453FAF" w14:textId="77777777" w:rsidR="007D0CE1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Partial</w:t>
            </w:r>
          </w:p>
        </w:tc>
        <w:tc>
          <w:tcPr>
            <w:tcW w:w="6080" w:type="dxa"/>
            <w:tcBorders>
              <w:top w:val="single" w:sz="4" w:space="0" w:color="D5D0CA"/>
              <w:left w:val="single" w:sz="4" w:space="0" w:color="D5D0CA"/>
              <w:bottom w:val="single" w:sz="4" w:space="0" w:color="D5D0CA"/>
              <w:right w:val="single" w:sz="4" w:space="0" w:color="D5D0CA"/>
            </w:tcBorders>
            <w:shd w:val="clear" w:color="auto" w:fill="F4F1EE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9A8E9D3" w14:textId="77777777" w:rsidR="007D0CE1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A Data &amp; AI practice and Databricks and AWS partnerships are listed [16]. Validate: Spark and Glue depth and migration delivery history.</w:t>
            </w:r>
          </w:p>
        </w:tc>
      </w:tr>
      <w:tr w:rsidR="007D0CE1" w14:paraId="26AE04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D5D0CA"/>
              <w:left w:val="single" w:sz="4" w:space="0" w:color="D5D0CA"/>
              <w:bottom w:val="single" w:sz="4" w:space="0" w:color="D5D0CA"/>
              <w:right w:val="single" w:sz="4" w:space="0" w:color="D5D0CA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64ACA79" w14:textId="77777777" w:rsidR="007D0CE1" w:rsidRDefault="00000000">
            <w:pPr>
              <w:spacing w:line="250" w:lineRule="auto"/>
            </w:pPr>
            <w:r>
              <w:rPr>
                <w:b/>
                <w:bCs/>
                <w:sz w:val="18"/>
                <w:szCs w:val="18"/>
              </w:rPr>
              <w:t>Compiler and parser engineering</w:t>
            </w:r>
          </w:p>
        </w:tc>
        <w:tc>
          <w:tcPr>
            <w:tcW w:w="1300" w:type="dxa"/>
            <w:tcBorders>
              <w:top w:val="single" w:sz="4" w:space="0" w:color="D5D0CA"/>
              <w:left w:val="single" w:sz="4" w:space="0" w:color="D5D0CA"/>
              <w:bottom w:val="single" w:sz="4" w:space="0" w:color="D5D0CA"/>
              <w:right w:val="single" w:sz="4" w:space="0" w:color="D5D0CA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E46399B" w14:textId="77777777" w:rsidR="007D0CE1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Unknown</w:t>
            </w:r>
          </w:p>
        </w:tc>
        <w:tc>
          <w:tcPr>
            <w:tcW w:w="6080" w:type="dxa"/>
            <w:tcBorders>
              <w:top w:val="single" w:sz="4" w:space="0" w:color="D5D0CA"/>
              <w:left w:val="single" w:sz="4" w:space="0" w:color="D5D0CA"/>
              <w:bottom w:val="single" w:sz="4" w:space="0" w:color="D5D0CA"/>
              <w:right w:val="single" w:sz="4" w:space="0" w:color="D5D0CA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71CCB3E" w14:textId="77777777" w:rsidR="007D0CE1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Not evidenced publicly. Needed for M2 and the IR. Validate or hire.</w:t>
            </w:r>
          </w:p>
        </w:tc>
      </w:tr>
      <w:tr w:rsidR="007D0CE1" w14:paraId="165BC6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D5D0CA"/>
              <w:left w:val="single" w:sz="4" w:space="0" w:color="D5D0CA"/>
              <w:bottom w:val="single" w:sz="4" w:space="0" w:color="D5D0CA"/>
              <w:right w:val="single" w:sz="4" w:space="0" w:color="D5D0CA"/>
            </w:tcBorders>
            <w:shd w:val="clear" w:color="auto" w:fill="F4F1EE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CFD1ECB" w14:textId="77777777" w:rsidR="007D0CE1" w:rsidRDefault="00000000">
            <w:pPr>
              <w:spacing w:line="250" w:lineRule="auto"/>
            </w:pPr>
            <w:r>
              <w:rPr>
                <w:b/>
                <w:bCs/>
                <w:sz w:val="18"/>
                <w:szCs w:val="18"/>
              </w:rPr>
              <w:t>Product management and platform engineering</w:t>
            </w:r>
          </w:p>
        </w:tc>
        <w:tc>
          <w:tcPr>
            <w:tcW w:w="1300" w:type="dxa"/>
            <w:tcBorders>
              <w:top w:val="single" w:sz="4" w:space="0" w:color="D5D0CA"/>
              <w:left w:val="single" w:sz="4" w:space="0" w:color="D5D0CA"/>
              <w:bottom w:val="single" w:sz="4" w:space="0" w:color="D5D0CA"/>
              <w:right w:val="single" w:sz="4" w:space="0" w:color="D5D0CA"/>
            </w:tcBorders>
            <w:shd w:val="clear" w:color="auto" w:fill="F4F1EE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5935EC4" w14:textId="77777777" w:rsidR="007D0CE1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Unknown</w:t>
            </w:r>
          </w:p>
        </w:tc>
        <w:tc>
          <w:tcPr>
            <w:tcW w:w="6080" w:type="dxa"/>
            <w:tcBorders>
              <w:top w:val="single" w:sz="4" w:space="0" w:color="D5D0CA"/>
              <w:left w:val="single" w:sz="4" w:space="0" w:color="D5D0CA"/>
              <w:bottom w:val="single" w:sz="4" w:space="0" w:color="D5D0CA"/>
              <w:right w:val="single" w:sz="4" w:space="0" w:color="D5D0CA"/>
            </w:tcBorders>
            <w:shd w:val="clear" w:color="auto" w:fill="F4F1EE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1A732FC" w14:textId="77777777" w:rsidR="007D0CE1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Services firms often lack product operating models. Validate ownership, funding and roadmap governance.</w:t>
            </w:r>
          </w:p>
        </w:tc>
      </w:tr>
      <w:tr w:rsidR="007D0CE1" w14:paraId="78B359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D5D0CA"/>
              <w:left w:val="single" w:sz="4" w:space="0" w:color="D5D0CA"/>
              <w:bottom w:val="single" w:sz="4" w:space="0" w:color="D5D0CA"/>
              <w:right w:val="single" w:sz="4" w:space="0" w:color="D5D0CA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9E313CD" w14:textId="77777777" w:rsidR="007D0CE1" w:rsidRDefault="00000000">
            <w:pPr>
              <w:spacing w:line="250" w:lineRule="auto"/>
            </w:pPr>
            <w:r>
              <w:rPr>
                <w:b/>
                <w:bCs/>
                <w:sz w:val="18"/>
                <w:szCs w:val="18"/>
              </w:rPr>
              <w:t>Test automation at scale</w:t>
            </w:r>
          </w:p>
        </w:tc>
        <w:tc>
          <w:tcPr>
            <w:tcW w:w="1300" w:type="dxa"/>
            <w:tcBorders>
              <w:top w:val="single" w:sz="4" w:space="0" w:color="D5D0CA"/>
              <w:left w:val="single" w:sz="4" w:space="0" w:color="D5D0CA"/>
              <w:bottom w:val="single" w:sz="4" w:space="0" w:color="D5D0CA"/>
              <w:right w:val="single" w:sz="4" w:space="0" w:color="D5D0CA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77B7796" w14:textId="77777777" w:rsidR="007D0CE1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Partial</w:t>
            </w:r>
          </w:p>
        </w:tc>
        <w:tc>
          <w:tcPr>
            <w:tcW w:w="6080" w:type="dxa"/>
            <w:tcBorders>
              <w:top w:val="single" w:sz="4" w:space="0" w:color="D5D0CA"/>
              <w:left w:val="single" w:sz="4" w:space="0" w:color="D5D0CA"/>
              <w:bottom w:val="single" w:sz="4" w:space="0" w:color="D5D0CA"/>
              <w:right w:val="single" w:sz="4" w:space="0" w:color="D5D0CA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6A7A6B5" w14:textId="77777777" w:rsidR="007D0CE1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Public case studies include large-scale test automation [16]. Validate transfer to data comparison.</w:t>
            </w:r>
          </w:p>
        </w:tc>
      </w:tr>
      <w:tr w:rsidR="007D0CE1" w14:paraId="445348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D5D0CA"/>
              <w:left w:val="single" w:sz="4" w:space="0" w:color="D5D0CA"/>
              <w:bottom w:val="single" w:sz="4" w:space="0" w:color="D5D0CA"/>
              <w:right w:val="single" w:sz="4" w:space="0" w:color="D5D0CA"/>
            </w:tcBorders>
            <w:shd w:val="clear" w:color="auto" w:fill="F4F1EE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374C55F" w14:textId="77777777" w:rsidR="007D0CE1" w:rsidRDefault="00000000">
            <w:pPr>
              <w:spacing w:line="250" w:lineRule="auto"/>
            </w:pPr>
            <w:r>
              <w:rPr>
                <w:b/>
                <w:bCs/>
                <w:sz w:val="18"/>
                <w:szCs w:val="18"/>
              </w:rPr>
              <w:t>Security and compliance posture</w:t>
            </w:r>
          </w:p>
        </w:tc>
        <w:tc>
          <w:tcPr>
            <w:tcW w:w="1300" w:type="dxa"/>
            <w:tcBorders>
              <w:top w:val="single" w:sz="4" w:space="0" w:color="D5D0CA"/>
              <w:left w:val="single" w:sz="4" w:space="0" w:color="D5D0CA"/>
              <w:bottom w:val="single" w:sz="4" w:space="0" w:color="D5D0CA"/>
              <w:right w:val="single" w:sz="4" w:space="0" w:color="D5D0CA"/>
            </w:tcBorders>
            <w:shd w:val="clear" w:color="auto" w:fill="F4F1EE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1C49991" w14:textId="77777777" w:rsidR="007D0CE1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Present</w:t>
            </w:r>
          </w:p>
        </w:tc>
        <w:tc>
          <w:tcPr>
            <w:tcW w:w="6080" w:type="dxa"/>
            <w:tcBorders>
              <w:top w:val="single" w:sz="4" w:space="0" w:color="D5D0CA"/>
              <w:left w:val="single" w:sz="4" w:space="0" w:color="D5D0CA"/>
              <w:bottom w:val="single" w:sz="4" w:space="0" w:color="D5D0CA"/>
              <w:right w:val="single" w:sz="4" w:space="0" w:color="D5D0CA"/>
            </w:tcBorders>
            <w:shd w:val="clear" w:color="auto" w:fill="F4F1EE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E441129" w14:textId="77777777" w:rsidR="007D0CE1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SOC 2 certification and Trust Center published [16]. Validate: handling of customer production data in parity runs.</w:t>
            </w:r>
          </w:p>
        </w:tc>
      </w:tr>
      <w:tr w:rsidR="007D0CE1" w14:paraId="475C91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D5D0CA"/>
              <w:left w:val="single" w:sz="4" w:space="0" w:color="D5D0CA"/>
              <w:bottom w:val="single" w:sz="4" w:space="0" w:color="D5D0CA"/>
              <w:right w:val="single" w:sz="4" w:space="0" w:color="D5D0CA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A17420D" w14:textId="77777777" w:rsidR="007D0CE1" w:rsidRDefault="00000000">
            <w:pPr>
              <w:spacing w:line="250" w:lineRule="auto"/>
            </w:pPr>
            <w:r>
              <w:rPr>
                <w:b/>
                <w:bCs/>
                <w:sz w:val="18"/>
                <w:szCs w:val="18"/>
              </w:rPr>
              <w:t>LLM provider relationships</w:t>
            </w:r>
          </w:p>
        </w:tc>
        <w:tc>
          <w:tcPr>
            <w:tcW w:w="1300" w:type="dxa"/>
            <w:tcBorders>
              <w:top w:val="single" w:sz="4" w:space="0" w:color="D5D0CA"/>
              <w:left w:val="single" w:sz="4" w:space="0" w:color="D5D0CA"/>
              <w:bottom w:val="single" w:sz="4" w:space="0" w:color="D5D0CA"/>
              <w:right w:val="single" w:sz="4" w:space="0" w:color="D5D0CA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94DD193" w14:textId="77777777" w:rsidR="007D0CE1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Present</w:t>
            </w:r>
          </w:p>
        </w:tc>
        <w:tc>
          <w:tcPr>
            <w:tcW w:w="6080" w:type="dxa"/>
            <w:tcBorders>
              <w:top w:val="single" w:sz="4" w:space="0" w:color="D5D0CA"/>
              <w:left w:val="single" w:sz="4" w:space="0" w:color="D5D0CA"/>
              <w:bottom w:val="single" w:sz="4" w:space="0" w:color="D5D0CA"/>
              <w:right w:val="single" w:sz="4" w:space="0" w:color="D5D0CA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96DE0F9" w14:textId="77777777" w:rsidR="007D0CE1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Partnerships with several model providers are listed [16]. Keep behind an abstraction to stay neutral.</w:t>
            </w:r>
          </w:p>
        </w:tc>
      </w:tr>
      <w:tr w:rsidR="007D0CE1" w14:paraId="521B9A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D5D0CA"/>
              <w:left w:val="single" w:sz="4" w:space="0" w:color="D5D0CA"/>
              <w:bottom w:val="single" w:sz="4" w:space="0" w:color="D5D0CA"/>
              <w:right w:val="single" w:sz="4" w:space="0" w:color="D5D0CA"/>
            </w:tcBorders>
            <w:shd w:val="clear" w:color="auto" w:fill="F4F1EE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5578A17" w14:textId="77777777" w:rsidR="007D0CE1" w:rsidRDefault="00000000">
            <w:pPr>
              <w:spacing w:line="250" w:lineRule="auto"/>
            </w:pPr>
            <w:r>
              <w:rPr>
                <w:b/>
                <w:bCs/>
                <w:sz w:val="18"/>
                <w:szCs w:val="18"/>
              </w:rPr>
              <w:t>IP ownership of accelerator assets</w:t>
            </w:r>
          </w:p>
        </w:tc>
        <w:tc>
          <w:tcPr>
            <w:tcW w:w="1300" w:type="dxa"/>
            <w:tcBorders>
              <w:top w:val="single" w:sz="4" w:space="0" w:color="D5D0CA"/>
              <w:left w:val="single" w:sz="4" w:space="0" w:color="D5D0CA"/>
              <w:bottom w:val="single" w:sz="4" w:space="0" w:color="D5D0CA"/>
              <w:right w:val="single" w:sz="4" w:space="0" w:color="D5D0CA"/>
            </w:tcBorders>
            <w:shd w:val="clear" w:color="auto" w:fill="F4F1EE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A596F65" w14:textId="77777777" w:rsidR="007D0CE1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Unknown</w:t>
            </w:r>
          </w:p>
        </w:tc>
        <w:tc>
          <w:tcPr>
            <w:tcW w:w="6080" w:type="dxa"/>
            <w:tcBorders>
              <w:top w:val="single" w:sz="4" w:space="0" w:color="D5D0CA"/>
              <w:left w:val="single" w:sz="4" w:space="0" w:color="D5D0CA"/>
              <w:bottom w:val="single" w:sz="4" w:space="0" w:color="D5D0CA"/>
              <w:right w:val="single" w:sz="4" w:space="0" w:color="D5D0CA"/>
            </w:tcBorders>
            <w:shd w:val="clear" w:color="auto" w:fill="F4F1EE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41343C4" w14:textId="77777777" w:rsidR="007D0CE1" w:rsidRDefault="00000000">
            <w:pPr>
              <w:spacing w:line="250" w:lineRule="auto"/>
            </w:pPr>
            <w:r>
              <w:rPr>
                <w:sz w:val="18"/>
                <w:szCs w:val="18"/>
              </w:rPr>
              <w:t>Needs legal confirmation, including treatment of client-specific logic.</w:t>
            </w:r>
          </w:p>
        </w:tc>
      </w:tr>
    </w:tbl>
    <w:p w14:paraId="07FE75D3" w14:textId="77777777" w:rsidR="007D0CE1" w:rsidRDefault="00000000">
      <w:pPr>
        <w:pStyle w:val="Heading1"/>
        <w:spacing w:before="320" w:after="140"/>
      </w:pPr>
      <w:r>
        <w:t>9. Risks, critique, and open questions</w:t>
      </w:r>
    </w:p>
    <w:p w14:paraId="47FAD96C" w14:textId="77777777" w:rsidR="007D0CE1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rPr>
          <w:b/>
          <w:bCs/>
        </w:rPr>
        <w:t>Breadth over depth.</w:t>
      </w:r>
      <w:r>
        <w:t xml:space="preserve"> Seven modules is a platform. Without strict gating, we risk a wide, shallow product that loses to focused rivals.</w:t>
      </w:r>
    </w:p>
    <w:p w14:paraId="7D73DFCB" w14:textId="77777777" w:rsidR="007D0CE1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rPr>
          <w:b/>
          <w:bCs/>
        </w:rPr>
        <w:t>Services firm to product firm.</w:t>
      </w:r>
      <w:r>
        <w:t xml:space="preserve"> Building and funding a product alongside delivery is a different operating model. This is a leadership decision, not an engineering one.</w:t>
      </w:r>
    </w:p>
    <w:p w14:paraId="615D6D99" w14:textId="77777777" w:rsidR="007D0CE1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rPr>
          <w:b/>
          <w:bCs/>
        </w:rPr>
        <w:t>Evidence quality.</w:t>
      </w:r>
      <w:r>
        <w:t xml:space="preserve"> Most tool strengths are vendor statements, and comparisons such as </w:t>
      </w:r>
      <w:proofErr w:type="spellStart"/>
      <w:r>
        <w:t>Datafold</w:t>
      </w:r>
      <w:proofErr w:type="spellEnd"/>
      <w:r>
        <w:t xml:space="preserve"> against </w:t>
      </w:r>
      <w:proofErr w:type="spellStart"/>
      <w:r>
        <w:t>Lakebridge</w:t>
      </w:r>
      <w:proofErr w:type="spellEnd"/>
      <w:r>
        <w:t xml:space="preserve"> come from a competitor [4]. A shared benchmark workload is needed.</w:t>
      </w:r>
    </w:p>
    <w:p w14:paraId="5842745A" w14:textId="77777777" w:rsidR="007D0CE1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rPr>
          <w:b/>
          <w:bCs/>
        </w:rPr>
        <w:t>Lineage continuity is a hypothesis.</w:t>
      </w:r>
      <w:r>
        <w:t xml:space="preserve"> We found no product doing it, which may mean a gap or may mean weak demand. Test with regulated buyers before committing.</w:t>
      </w:r>
    </w:p>
    <w:p w14:paraId="08767E82" w14:textId="77777777" w:rsidR="007D0CE1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rPr>
          <w:b/>
          <w:bCs/>
        </w:rPr>
        <w:t>Regulatory fit.</w:t>
      </w:r>
      <w:r>
        <w:t xml:space="preserve"> BCBS 239 supports demand for lineage [13], but how supervisors in Canada would view an automated continuity claim was not researched.</w:t>
      </w:r>
    </w:p>
    <w:p w14:paraId="44E00496" w14:textId="77777777" w:rsidR="007D0CE1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rPr>
          <w:b/>
          <w:bCs/>
        </w:rPr>
        <w:t>Coverage limits of this brief.</w:t>
      </w:r>
      <w:r>
        <w:t xml:space="preserve"> Several tools and the cloud-native validation features were not assessed (see note in section 2.2).</w:t>
      </w:r>
    </w:p>
    <w:p w14:paraId="611CD3A5" w14:textId="77777777" w:rsidR="007D0CE1" w:rsidRDefault="00000000">
      <w:pPr>
        <w:pStyle w:val="Heading2"/>
        <w:spacing w:before="200" w:after="80"/>
      </w:pPr>
      <w:r>
        <w:t>Decisions requested</w:t>
      </w:r>
    </w:p>
    <w:p w14:paraId="2C2074E6" w14:textId="77777777" w:rsidR="001E200E" w:rsidRDefault="001E200E" w:rsidP="001E200E">
      <w:pPr>
        <w:pStyle w:val="ListParagraph"/>
        <w:numPr>
          <w:ilvl w:val="0"/>
          <w:numId w:val="7"/>
        </w:numPr>
      </w:pPr>
      <w:r>
        <w:t>Confirm the strategic direction: a proprietary accelerator with the knowledge graph and evidence ledger as the core.</w:t>
      </w:r>
    </w:p>
    <w:p w14:paraId="743157DE" w14:textId="77777777" w:rsidR="001E200E" w:rsidRDefault="001E200E" w:rsidP="001E200E">
      <w:pPr>
        <w:pStyle w:val="ListParagraph"/>
        <w:numPr>
          <w:ilvl w:val="0"/>
          <w:numId w:val="7"/>
        </w:numPr>
      </w:pPr>
      <w:r>
        <w:t>Choose the first wedge (source technology and target) using the three tests in section 6.</w:t>
      </w:r>
    </w:p>
    <w:p w14:paraId="2404E852" w14:textId="77777777" w:rsidR="001E200E" w:rsidRDefault="001E200E" w:rsidP="001E200E">
      <w:pPr>
        <w:pStyle w:val="ListParagraph"/>
        <w:numPr>
          <w:ilvl w:val="0"/>
          <w:numId w:val="7"/>
        </w:numPr>
      </w:pPr>
      <w:r>
        <w:t>Name an accountable product owner and engineering lead.</w:t>
      </w:r>
    </w:p>
    <w:p w14:paraId="6B515140" w14:textId="77777777" w:rsidR="001E200E" w:rsidRDefault="001E200E" w:rsidP="001E200E">
      <w:pPr>
        <w:pStyle w:val="ListParagraph"/>
        <w:numPr>
          <w:ilvl w:val="0"/>
          <w:numId w:val="7"/>
        </w:numPr>
      </w:pPr>
      <w:r>
        <w:lastRenderedPageBreak/>
        <w:t xml:space="preserve">Approve a hands-on benchmark of </w:t>
      </w:r>
      <w:proofErr w:type="spellStart"/>
      <w:r>
        <w:t>Lakebridge</w:t>
      </w:r>
      <w:proofErr w:type="spellEnd"/>
      <w:r>
        <w:t xml:space="preserve">, </w:t>
      </w:r>
      <w:proofErr w:type="spellStart"/>
      <w:r>
        <w:t>Datafold</w:t>
      </w:r>
      <w:proofErr w:type="spellEnd"/>
      <w:r>
        <w:t>, and at least one services-firm accelerator against a shared sample workload.</w:t>
      </w:r>
    </w:p>
    <w:p w14:paraId="29A6FEAF" w14:textId="77777777" w:rsidR="001E200E" w:rsidRDefault="001E200E" w:rsidP="001E200E">
      <w:pPr>
        <w:pStyle w:val="ListParagraph"/>
        <w:numPr>
          <w:ilvl w:val="0"/>
          <w:numId w:val="7"/>
        </w:numPr>
      </w:pPr>
      <w:r>
        <w:t>Commission legal review of IP ownership and of data handling in parity runs.</w:t>
      </w:r>
    </w:p>
    <w:p w14:paraId="068551ED" w14:textId="77777777" w:rsidR="001E200E" w:rsidRDefault="001E200E" w:rsidP="001E200E">
      <w:pPr>
        <w:pStyle w:val="ListParagraph"/>
        <w:numPr>
          <w:ilvl w:val="0"/>
          <w:numId w:val="7"/>
        </w:numPr>
      </w:pPr>
      <w:r>
        <w:t>Agree the gate criteria in section 6 as the basis for go or stop decisions.</w:t>
      </w:r>
    </w:p>
    <w:p w14:paraId="28F3200A" w14:textId="77777777" w:rsidR="007D0CE1" w:rsidRDefault="00000000">
      <w:pPr>
        <w:pStyle w:val="Heading1"/>
        <w:spacing w:before="320" w:after="140"/>
      </w:pPr>
      <w:r>
        <w:t>Sources</w:t>
      </w:r>
    </w:p>
    <w:p w14:paraId="1220F461" w14:textId="77777777" w:rsidR="007D0CE1" w:rsidRDefault="00000000">
      <w:pPr>
        <w:spacing w:after="60" w:line="276" w:lineRule="auto"/>
      </w:pPr>
      <w:r>
        <w:rPr>
          <w:sz w:val="18"/>
          <w:szCs w:val="18"/>
        </w:rPr>
        <w:t xml:space="preserve">[1] Databricks Labs, </w:t>
      </w:r>
      <w:proofErr w:type="spellStart"/>
      <w:r>
        <w:rPr>
          <w:sz w:val="18"/>
          <w:szCs w:val="18"/>
        </w:rPr>
        <w:t>Lakebridge</w:t>
      </w:r>
      <w:proofErr w:type="spellEnd"/>
      <w:r>
        <w:rPr>
          <w:sz w:val="18"/>
          <w:szCs w:val="18"/>
        </w:rPr>
        <w:t xml:space="preserve"> documentation (overview and getting started); Databricks blog, "Introducing </w:t>
      </w:r>
      <w:proofErr w:type="spellStart"/>
      <w:r>
        <w:rPr>
          <w:sz w:val="18"/>
          <w:szCs w:val="18"/>
        </w:rPr>
        <w:t>Lakebridge</w:t>
      </w:r>
      <w:proofErr w:type="spellEnd"/>
      <w:r>
        <w:rPr>
          <w:sz w:val="18"/>
          <w:szCs w:val="18"/>
        </w:rPr>
        <w:t>."</w:t>
      </w:r>
    </w:p>
    <w:p w14:paraId="154BF16D" w14:textId="77777777" w:rsidR="007D0CE1" w:rsidRDefault="00000000">
      <w:pPr>
        <w:spacing w:after="60" w:line="276" w:lineRule="auto"/>
      </w:pPr>
      <w:r>
        <w:rPr>
          <w:sz w:val="18"/>
          <w:szCs w:val="18"/>
        </w:rPr>
        <w:t xml:space="preserve">[2] Coverage of Databricks' acquisition of </w:t>
      </w:r>
      <w:proofErr w:type="spellStart"/>
      <w:r>
        <w:rPr>
          <w:sz w:val="18"/>
          <w:szCs w:val="18"/>
        </w:rPr>
        <w:t>BladeBridge</w:t>
      </w:r>
      <w:proofErr w:type="spellEnd"/>
      <w:r>
        <w:rPr>
          <w:sz w:val="18"/>
          <w:szCs w:val="18"/>
        </w:rPr>
        <w:t xml:space="preserve"> (Gilbane, February 2025; CB Insights).</w:t>
      </w:r>
    </w:p>
    <w:p w14:paraId="1D79A151" w14:textId="77777777" w:rsidR="007D0CE1" w:rsidRDefault="00000000">
      <w:pPr>
        <w:spacing w:after="60" w:line="276" w:lineRule="auto"/>
      </w:pPr>
      <w:r>
        <w:rPr>
          <w:sz w:val="18"/>
          <w:szCs w:val="18"/>
        </w:rPr>
        <w:t xml:space="preserve">[3] </w:t>
      </w:r>
      <w:proofErr w:type="spellStart"/>
      <w:r>
        <w:rPr>
          <w:sz w:val="18"/>
          <w:szCs w:val="18"/>
        </w:rPr>
        <w:t>Datafold</w:t>
      </w:r>
      <w:proofErr w:type="spellEnd"/>
      <w:r>
        <w:rPr>
          <w:sz w:val="18"/>
          <w:szCs w:val="18"/>
        </w:rPr>
        <w:t xml:space="preserve"> documentation: Data Migration Agent and migration FAQ; </w:t>
      </w:r>
      <w:proofErr w:type="spellStart"/>
      <w:r>
        <w:rPr>
          <w:sz w:val="18"/>
          <w:szCs w:val="18"/>
        </w:rPr>
        <w:t>Datafold</w:t>
      </w:r>
      <w:proofErr w:type="spellEnd"/>
      <w:r>
        <w:rPr>
          <w:sz w:val="18"/>
          <w:szCs w:val="18"/>
        </w:rPr>
        <w:t xml:space="preserve"> blog, "Introducing the AI-powered </w:t>
      </w:r>
      <w:proofErr w:type="spellStart"/>
      <w:r>
        <w:rPr>
          <w:sz w:val="18"/>
          <w:szCs w:val="18"/>
        </w:rPr>
        <w:t>Datafold</w:t>
      </w:r>
      <w:proofErr w:type="spellEnd"/>
      <w:r>
        <w:rPr>
          <w:sz w:val="18"/>
          <w:szCs w:val="18"/>
        </w:rPr>
        <w:t xml:space="preserve"> Migration Agent."</w:t>
      </w:r>
    </w:p>
    <w:p w14:paraId="5E2E552C" w14:textId="77777777" w:rsidR="007D0CE1" w:rsidRDefault="00000000">
      <w:pPr>
        <w:spacing w:after="60" w:line="276" w:lineRule="auto"/>
      </w:pPr>
      <w:r>
        <w:rPr>
          <w:sz w:val="18"/>
          <w:szCs w:val="18"/>
        </w:rPr>
        <w:t xml:space="preserve">[4] </w:t>
      </w:r>
      <w:proofErr w:type="spellStart"/>
      <w:r>
        <w:rPr>
          <w:sz w:val="18"/>
          <w:szCs w:val="18"/>
        </w:rPr>
        <w:t>Datafold</w:t>
      </w:r>
      <w:proofErr w:type="spellEnd"/>
      <w:r>
        <w:rPr>
          <w:sz w:val="18"/>
          <w:szCs w:val="18"/>
        </w:rPr>
        <w:t xml:space="preserve"> comparison pages (vs </w:t>
      </w:r>
      <w:proofErr w:type="spellStart"/>
      <w:r>
        <w:rPr>
          <w:sz w:val="18"/>
          <w:szCs w:val="18"/>
        </w:rPr>
        <w:t>Lakebridge</w:t>
      </w:r>
      <w:proofErr w:type="spellEnd"/>
      <w:r>
        <w:rPr>
          <w:sz w:val="18"/>
          <w:szCs w:val="18"/>
        </w:rPr>
        <w:t xml:space="preserve">, </w:t>
      </w:r>
      <w:proofErr w:type="spellStart"/>
      <w:r>
        <w:rPr>
          <w:sz w:val="18"/>
          <w:szCs w:val="18"/>
        </w:rPr>
        <w:t>BladeBridge</w:t>
      </w:r>
      <w:proofErr w:type="spellEnd"/>
      <w:r>
        <w:rPr>
          <w:sz w:val="18"/>
          <w:szCs w:val="18"/>
        </w:rPr>
        <w:t xml:space="preserve">, </w:t>
      </w:r>
      <w:proofErr w:type="spellStart"/>
      <w:r>
        <w:rPr>
          <w:sz w:val="18"/>
          <w:szCs w:val="18"/>
        </w:rPr>
        <w:t>LeapLogic</w:t>
      </w:r>
      <w:proofErr w:type="spellEnd"/>
      <w:r>
        <w:rPr>
          <w:sz w:val="18"/>
          <w:szCs w:val="18"/>
        </w:rPr>
        <w:t>). Competitor-authored.</w:t>
      </w:r>
    </w:p>
    <w:p w14:paraId="32867464" w14:textId="77777777" w:rsidR="007D0CE1" w:rsidRDefault="00000000">
      <w:pPr>
        <w:spacing w:after="60" w:line="276" w:lineRule="auto"/>
      </w:pPr>
      <w:r>
        <w:rPr>
          <w:sz w:val="18"/>
          <w:szCs w:val="18"/>
        </w:rPr>
        <w:t xml:space="preserve">[5] Bitwise, Informatica ETL Migration to AWS Glue (AWS Marketplace listing) and </w:t>
      </w:r>
      <w:proofErr w:type="spellStart"/>
      <w:r>
        <w:rPr>
          <w:sz w:val="18"/>
          <w:szCs w:val="18"/>
        </w:rPr>
        <w:t>FulkrumCloud</w:t>
      </w:r>
      <w:proofErr w:type="spellEnd"/>
      <w:r>
        <w:rPr>
          <w:sz w:val="18"/>
          <w:szCs w:val="18"/>
        </w:rPr>
        <w:t xml:space="preserve"> demo pages.</w:t>
      </w:r>
    </w:p>
    <w:p w14:paraId="6B2C0062" w14:textId="77777777" w:rsidR="007D0CE1" w:rsidRDefault="00000000">
      <w:pPr>
        <w:spacing w:after="60" w:line="276" w:lineRule="auto"/>
      </w:pPr>
      <w:r>
        <w:rPr>
          <w:sz w:val="18"/>
          <w:szCs w:val="18"/>
        </w:rPr>
        <w:t xml:space="preserve">[6] </w:t>
      </w:r>
      <w:proofErr w:type="spellStart"/>
      <w:r>
        <w:rPr>
          <w:sz w:val="18"/>
          <w:szCs w:val="18"/>
        </w:rPr>
        <w:t>LTIMindtree</w:t>
      </w:r>
      <w:proofErr w:type="spellEnd"/>
      <w:r>
        <w:rPr>
          <w:sz w:val="18"/>
          <w:szCs w:val="18"/>
        </w:rPr>
        <w:t xml:space="preserve"> case study, Informatica ETL jobs to AWS Glue for a US insurer.</w:t>
      </w:r>
    </w:p>
    <w:p w14:paraId="1217AA90" w14:textId="77777777" w:rsidR="007D0CE1" w:rsidRDefault="00000000">
      <w:pPr>
        <w:spacing w:after="60" w:line="276" w:lineRule="auto"/>
      </w:pPr>
      <w:r>
        <w:rPr>
          <w:sz w:val="18"/>
          <w:szCs w:val="18"/>
        </w:rPr>
        <w:t xml:space="preserve">[7] Informatica PowerCenter cloud migration page; support-timeline commentary from Integrate.io, </w:t>
      </w:r>
      <w:proofErr w:type="spellStart"/>
      <w:r>
        <w:rPr>
          <w:sz w:val="18"/>
          <w:szCs w:val="18"/>
        </w:rPr>
        <w:t>DataLadder</w:t>
      </w:r>
      <w:proofErr w:type="spellEnd"/>
      <w:r>
        <w:rPr>
          <w:sz w:val="18"/>
          <w:szCs w:val="18"/>
        </w:rPr>
        <w:t xml:space="preserve"> and </w:t>
      </w:r>
      <w:proofErr w:type="spellStart"/>
      <w:r>
        <w:rPr>
          <w:sz w:val="18"/>
          <w:szCs w:val="18"/>
        </w:rPr>
        <w:t>Tarento</w:t>
      </w:r>
      <w:proofErr w:type="spellEnd"/>
      <w:r>
        <w:rPr>
          <w:sz w:val="18"/>
          <w:szCs w:val="18"/>
        </w:rPr>
        <w:t>.</w:t>
      </w:r>
    </w:p>
    <w:p w14:paraId="30F70CA3" w14:textId="77777777" w:rsidR="007D0CE1" w:rsidRDefault="00000000">
      <w:pPr>
        <w:spacing w:after="60" w:line="276" w:lineRule="auto"/>
      </w:pPr>
      <w:r>
        <w:rPr>
          <w:sz w:val="18"/>
          <w:szCs w:val="18"/>
        </w:rPr>
        <w:t xml:space="preserve">[8] AWS, Data Lineage generally available in Amazon </w:t>
      </w:r>
      <w:proofErr w:type="spellStart"/>
      <w:r>
        <w:rPr>
          <w:sz w:val="18"/>
          <w:szCs w:val="18"/>
        </w:rPr>
        <w:t>DataZone</w:t>
      </w:r>
      <w:proofErr w:type="spellEnd"/>
      <w:r>
        <w:rPr>
          <w:sz w:val="18"/>
          <w:szCs w:val="18"/>
        </w:rPr>
        <w:t xml:space="preserve"> and SageMaker (Dec 2024); SageMaker Unified Studio lineage documentation; July 2026 IAM-domain update coverage.</w:t>
      </w:r>
    </w:p>
    <w:p w14:paraId="10AC9725" w14:textId="77777777" w:rsidR="007D0CE1" w:rsidRDefault="00000000">
      <w:pPr>
        <w:spacing w:after="60" w:line="276" w:lineRule="auto"/>
      </w:pPr>
      <w:r>
        <w:rPr>
          <w:sz w:val="18"/>
          <w:szCs w:val="18"/>
        </w:rPr>
        <w:t>[9] Atlan documentation, "Capture, read, and troubleshoot lineage."</w:t>
      </w:r>
    </w:p>
    <w:p w14:paraId="482F1652" w14:textId="77777777" w:rsidR="007D0CE1" w:rsidRDefault="00000000">
      <w:pPr>
        <w:spacing w:after="60" w:line="276" w:lineRule="auto"/>
      </w:pPr>
      <w:r>
        <w:rPr>
          <w:sz w:val="18"/>
          <w:szCs w:val="18"/>
        </w:rPr>
        <w:t>[10] Collibra documentation, supported transformations for technical lineage.</w:t>
      </w:r>
    </w:p>
    <w:p w14:paraId="51782440" w14:textId="77777777" w:rsidR="007D0CE1" w:rsidRDefault="00000000">
      <w:pPr>
        <w:spacing w:after="60" w:line="276" w:lineRule="auto"/>
      </w:pPr>
      <w:r>
        <w:rPr>
          <w:sz w:val="18"/>
          <w:szCs w:val="18"/>
        </w:rPr>
        <w:t>[11] IBM Newsroom, "IBM acquires Manta Software Inc." (October 2023); Constellation Research coverage.</w:t>
      </w:r>
    </w:p>
    <w:p w14:paraId="09138AA3" w14:textId="77777777" w:rsidR="007D0CE1" w:rsidRDefault="00000000">
      <w:pPr>
        <w:spacing w:after="60" w:line="276" w:lineRule="auto"/>
      </w:pPr>
      <w:r>
        <w:rPr>
          <w:sz w:val="18"/>
          <w:szCs w:val="18"/>
        </w:rPr>
        <w:t>[12] Secondary lineage-tool comparisons (</w:t>
      </w:r>
      <w:proofErr w:type="spellStart"/>
      <w:r>
        <w:rPr>
          <w:sz w:val="18"/>
          <w:szCs w:val="18"/>
        </w:rPr>
        <w:t>Decube</w:t>
      </w:r>
      <w:proofErr w:type="spellEnd"/>
      <w:r>
        <w:rPr>
          <w:sz w:val="18"/>
          <w:szCs w:val="18"/>
        </w:rPr>
        <w:t>, Data Driven Daily, checkthat.ai, datadriven.io). Used for Unity Catalog scope and general positioning; one contains an error on Manta ownership.</w:t>
      </w:r>
    </w:p>
    <w:p w14:paraId="4DBA4B75" w14:textId="77777777" w:rsidR="007D0CE1" w:rsidRDefault="00000000">
      <w:pPr>
        <w:spacing w:after="60" w:line="276" w:lineRule="auto"/>
      </w:pPr>
      <w:r>
        <w:rPr>
          <w:sz w:val="18"/>
          <w:szCs w:val="18"/>
        </w:rPr>
        <w:t xml:space="preserve">[13] Basel Committee, BCBS 239 principles (2013) and implementation newsletter (January 2026), via secondary summaries (Collibra, </w:t>
      </w:r>
      <w:proofErr w:type="spellStart"/>
      <w:r>
        <w:rPr>
          <w:sz w:val="18"/>
          <w:szCs w:val="18"/>
        </w:rPr>
        <w:t>Solidatus</w:t>
      </w:r>
      <w:proofErr w:type="spellEnd"/>
      <w:r>
        <w:rPr>
          <w:sz w:val="18"/>
          <w:szCs w:val="18"/>
        </w:rPr>
        <w:t>).</w:t>
      </w:r>
    </w:p>
    <w:p w14:paraId="7EEDA2D7" w14:textId="77777777" w:rsidR="007D0CE1" w:rsidRDefault="00000000">
      <w:pPr>
        <w:spacing w:after="60" w:line="276" w:lineRule="auto"/>
      </w:pPr>
      <w:r>
        <w:rPr>
          <w:sz w:val="18"/>
          <w:szCs w:val="18"/>
        </w:rPr>
        <w:t>[14] AWS News Blog and Migration &amp; Modernization blog on AWS Transform for mainframe and testing.</w:t>
      </w:r>
    </w:p>
    <w:p w14:paraId="7D8CFC0D" w14:textId="77777777" w:rsidR="007D0CE1" w:rsidRDefault="00000000">
      <w:pPr>
        <w:spacing w:after="60" w:line="276" w:lineRule="auto"/>
      </w:pPr>
      <w:r>
        <w:rPr>
          <w:sz w:val="18"/>
          <w:szCs w:val="18"/>
        </w:rPr>
        <w:t>[15] Mechanical Orchard, Imogen platform and Summer 2026 release.</w:t>
      </w:r>
    </w:p>
    <w:p w14:paraId="24AE78EF" w14:textId="77777777" w:rsidR="007D0CE1" w:rsidRDefault="00000000">
      <w:pPr>
        <w:spacing w:after="60" w:line="276" w:lineRule="auto"/>
      </w:pPr>
      <w:r>
        <w:rPr>
          <w:sz w:val="18"/>
          <w:szCs w:val="18"/>
        </w:rPr>
        <w:t xml:space="preserve">[16] ML </w:t>
      </w:r>
      <w:proofErr w:type="spellStart"/>
      <w:r>
        <w:rPr>
          <w:sz w:val="18"/>
          <w:szCs w:val="18"/>
        </w:rPr>
        <w:t>arteka</w:t>
      </w:r>
      <w:proofErr w:type="spellEnd"/>
      <w:r>
        <w:rPr>
          <w:sz w:val="18"/>
          <w:szCs w:val="18"/>
        </w:rPr>
        <w:t xml:space="preserve"> website and published articles (mlarteka.com), accessed October 2026.</w:t>
      </w:r>
    </w:p>
    <w:sectPr w:rsidR="007D0CE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200" w:right="1080" w:bottom="110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DE345A" w14:textId="77777777" w:rsidR="00347994" w:rsidRDefault="00347994">
      <w:r>
        <w:separator/>
      </w:r>
    </w:p>
  </w:endnote>
  <w:endnote w:type="continuationSeparator" w:id="0">
    <w:p w14:paraId="39D06848" w14:textId="77777777" w:rsidR="00347994" w:rsidRDefault="003479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F47711" w14:textId="77777777" w:rsidR="001E200E" w:rsidRDefault="001E200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EFB218" w14:textId="105C8EDC" w:rsidR="004D1244" w:rsidRDefault="004D1244">
    <w:pPr>
      <w:spacing w:before="100" w:beforeAutospacing="1" w:after="100" w:afterAutospacing="1"/>
      <w:jc w:val="center"/>
      <w:rPr>
        <w:sz w:val="24"/>
        <w:szCs w:val="24"/>
      </w:rPr>
    </w:pPr>
    <w:r>
      <w:rPr>
        <w:color w:val="5B6573"/>
        <w:sz w:val="17"/>
        <w:szCs w:val="17"/>
      </w:rPr>
      <w:t xml:space="preserve">Internal and </w:t>
    </w:r>
    <w:proofErr w:type="gramStart"/>
    <w:r>
      <w:rPr>
        <w:color w:val="5B6573"/>
        <w:sz w:val="17"/>
        <w:szCs w:val="17"/>
      </w:rPr>
      <w:t>confidential  |</w:t>
    </w:r>
    <w:proofErr w:type="gramEnd"/>
    <w:r>
      <w:rPr>
        <w:color w:val="5B6573"/>
        <w:sz w:val="17"/>
        <w:szCs w:val="17"/>
      </w:rPr>
      <w:t xml:space="preserve">  Page </w:t>
    </w:r>
    <w:r>
      <w:rPr>
        <w:color w:val="5B6573"/>
        <w:sz w:val="17"/>
        <w:szCs w:val="17"/>
      </w:rPr>
      <w:fldChar w:fldCharType="begin"/>
    </w:r>
    <w:r>
      <w:rPr>
        <w:color w:val="5B6573"/>
        <w:sz w:val="17"/>
        <w:szCs w:val="17"/>
      </w:rPr>
      <w:instrText>PAGE</w:instrText>
    </w:r>
    <w:r>
      <w:rPr>
        <w:color w:val="5B6573"/>
        <w:sz w:val="17"/>
        <w:szCs w:val="17"/>
      </w:rPr>
      <w:fldChar w:fldCharType="separate"/>
    </w:r>
    <w:r>
      <w:rPr>
        <w:noProof/>
        <w:color w:val="5B6573"/>
        <w:sz w:val="17"/>
        <w:szCs w:val="17"/>
      </w:rPr>
      <w:t>1</w:t>
    </w:r>
    <w:r>
      <w:rPr>
        <w:color w:val="5B6573"/>
        <w:sz w:val="17"/>
        <w:szCs w:val="17"/>
      </w:rPr>
      <w:fldChar w:fldCharType="end"/>
    </w:r>
  </w:p>
  <w:p w14:paraId="253076DD" w14:textId="01901AB0" w:rsidR="007D0CE1" w:rsidRDefault="004D1244">
    <w:pPr>
      <w:jc w:val="center"/>
    </w:pPr>
    <w:r>
      <w:t> 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DBA39C" w14:textId="77777777" w:rsidR="001E200E" w:rsidRDefault="001E200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C69C00" w14:textId="77777777" w:rsidR="00347994" w:rsidRDefault="00347994">
      <w:r>
        <w:separator/>
      </w:r>
    </w:p>
  </w:footnote>
  <w:footnote w:type="continuationSeparator" w:id="0">
    <w:p w14:paraId="24E70D42" w14:textId="77777777" w:rsidR="00347994" w:rsidRDefault="0034799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1E94B6" w14:textId="77777777" w:rsidR="001E200E" w:rsidRDefault="001E200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67BDE6" w14:textId="77777777" w:rsidR="004D1244" w:rsidRDefault="004D1244">
    <w:pPr>
      <w:spacing w:before="100" w:beforeAutospacing="1" w:after="100" w:afterAutospacing="1"/>
      <w:jc w:val="right"/>
      <w:rPr>
        <w:sz w:val="24"/>
        <w:szCs w:val="24"/>
      </w:rPr>
    </w:pPr>
    <w:r>
      <w:rPr>
        <w:color w:val="5B6573"/>
        <w:sz w:val="17"/>
        <w:szCs w:val="17"/>
      </w:rPr>
      <w:t xml:space="preserve">ML </w:t>
    </w:r>
    <w:proofErr w:type="spellStart"/>
    <w:proofErr w:type="gramStart"/>
    <w:r>
      <w:rPr>
        <w:color w:val="5B6573"/>
        <w:sz w:val="17"/>
        <w:szCs w:val="17"/>
      </w:rPr>
      <w:t>arteka</w:t>
    </w:r>
    <w:proofErr w:type="spellEnd"/>
    <w:r>
      <w:rPr>
        <w:color w:val="5B6573"/>
        <w:sz w:val="17"/>
        <w:szCs w:val="17"/>
      </w:rPr>
      <w:t>  |</w:t>
    </w:r>
    <w:proofErr w:type="gramEnd"/>
    <w:r>
      <w:rPr>
        <w:color w:val="5B6573"/>
        <w:sz w:val="17"/>
        <w:szCs w:val="17"/>
      </w:rPr>
      <w:t>  Internal technical brief</w:t>
    </w:r>
  </w:p>
  <w:p w14:paraId="2C59047C" w14:textId="5EECD9E0" w:rsidR="007D0CE1" w:rsidRDefault="004D1244">
    <w:pPr>
      <w:jc w:val="right"/>
    </w:pPr>
    <w:r>
      <w:t> 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2D933A" w14:textId="77777777" w:rsidR="001E200E" w:rsidRDefault="001E200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90F46"/>
    <w:multiLevelType w:val="hybridMultilevel"/>
    <w:tmpl w:val="3E5CA968"/>
    <w:lvl w:ilvl="0" w:tplc="7042F578">
      <w:start w:val="1"/>
      <w:numFmt w:val="bullet"/>
      <w:lvlText w:val="●"/>
      <w:lvlJc w:val="left"/>
      <w:pPr>
        <w:ind w:left="720" w:hanging="360"/>
      </w:pPr>
    </w:lvl>
    <w:lvl w:ilvl="1" w:tplc="9B3CB938">
      <w:start w:val="1"/>
      <w:numFmt w:val="bullet"/>
      <w:lvlText w:val="○"/>
      <w:lvlJc w:val="left"/>
      <w:pPr>
        <w:ind w:left="1440" w:hanging="360"/>
      </w:pPr>
    </w:lvl>
    <w:lvl w:ilvl="2" w:tplc="4A04123A">
      <w:start w:val="1"/>
      <w:numFmt w:val="bullet"/>
      <w:lvlText w:val="■"/>
      <w:lvlJc w:val="left"/>
      <w:pPr>
        <w:ind w:left="2160" w:hanging="360"/>
      </w:pPr>
    </w:lvl>
    <w:lvl w:ilvl="3" w:tplc="7E6A1FBC">
      <w:start w:val="1"/>
      <w:numFmt w:val="bullet"/>
      <w:lvlText w:val="●"/>
      <w:lvlJc w:val="left"/>
      <w:pPr>
        <w:ind w:left="2880" w:hanging="360"/>
      </w:pPr>
    </w:lvl>
    <w:lvl w:ilvl="4" w:tplc="B590DFF8">
      <w:start w:val="1"/>
      <w:numFmt w:val="bullet"/>
      <w:lvlText w:val="○"/>
      <w:lvlJc w:val="left"/>
      <w:pPr>
        <w:ind w:left="3600" w:hanging="360"/>
      </w:pPr>
    </w:lvl>
    <w:lvl w:ilvl="5" w:tplc="B0040778">
      <w:start w:val="1"/>
      <w:numFmt w:val="bullet"/>
      <w:lvlText w:val="■"/>
      <w:lvlJc w:val="left"/>
      <w:pPr>
        <w:ind w:left="4320" w:hanging="360"/>
      </w:pPr>
    </w:lvl>
    <w:lvl w:ilvl="6" w:tplc="DC0C446E">
      <w:start w:val="1"/>
      <w:numFmt w:val="bullet"/>
      <w:lvlText w:val="●"/>
      <w:lvlJc w:val="left"/>
      <w:pPr>
        <w:ind w:left="5040" w:hanging="360"/>
      </w:pPr>
    </w:lvl>
    <w:lvl w:ilvl="7" w:tplc="A9EE910A">
      <w:start w:val="1"/>
      <w:numFmt w:val="bullet"/>
      <w:lvlText w:val="●"/>
      <w:lvlJc w:val="left"/>
      <w:pPr>
        <w:ind w:left="5760" w:hanging="360"/>
      </w:pPr>
    </w:lvl>
    <w:lvl w:ilvl="8" w:tplc="D17AC41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AE34799"/>
    <w:multiLevelType w:val="multilevel"/>
    <w:tmpl w:val="F7041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B37FD3"/>
    <w:multiLevelType w:val="hybridMultilevel"/>
    <w:tmpl w:val="15A84852"/>
    <w:lvl w:ilvl="0" w:tplc="0040FE4A">
      <w:start w:val="1"/>
      <w:numFmt w:val="bullet"/>
      <w:lvlText w:val="•"/>
      <w:lvlJc w:val="left"/>
      <w:pPr>
        <w:ind w:left="540" w:hanging="270"/>
      </w:pPr>
    </w:lvl>
    <w:lvl w:ilvl="1" w:tplc="10060C26">
      <w:numFmt w:val="decimal"/>
      <w:lvlText w:val=""/>
      <w:lvlJc w:val="left"/>
    </w:lvl>
    <w:lvl w:ilvl="2" w:tplc="58C864C4">
      <w:numFmt w:val="decimal"/>
      <w:lvlText w:val=""/>
      <w:lvlJc w:val="left"/>
    </w:lvl>
    <w:lvl w:ilvl="3" w:tplc="34C001AC">
      <w:numFmt w:val="decimal"/>
      <w:lvlText w:val=""/>
      <w:lvlJc w:val="left"/>
    </w:lvl>
    <w:lvl w:ilvl="4" w:tplc="6FDA6FFE">
      <w:numFmt w:val="decimal"/>
      <w:lvlText w:val=""/>
      <w:lvlJc w:val="left"/>
    </w:lvl>
    <w:lvl w:ilvl="5" w:tplc="FDBCB0A4">
      <w:numFmt w:val="decimal"/>
      <w:lvlText w:val=""/>
      <w:lvlJc w:val="left"/>
    </w:lvl>
    <w:lvl w:ilvl="6" w:tplc="02861246">
      <w:numFmt w:val="decimal"/>
      <w:lvlText w:val=""/>
      <w:lvlJc w:val="left"/>
    </w:lvl>
    <w:lvl w:ilvl="7" w:tplc="6DC8099E">
      <w:numFmt w:val="decimal"/>
      <w:lvlText w:val=""/>
      <w:lvlJc w:val="left"/>
    </w:lvl>
    <w:lvl w:ilvl="8" w:tplc="5C9ADB72">
      <w:numFmt w:val="decimal"/>
      <w:lvlText w:val=""/>
      <w:lvlJc w:val="left"/>
    </w:lvl>
  </w:abstractNum>
  <w:abstractNum w:abstractNumId="3" w15:restartNumberingAfterBreak="0">
    <w:nsid w:val="463A7221"/>
    <w:multiLevelType w:val="hybridMultilevel"/>
    <w:tmpl w:val="83C801C8"/>
    <w:lvl w:ilvl="0" w:tplc="0409001B">
      <w:start w:val="1"/>
      <w:numFmt w:val="lowerRoman"/>
      <w:lvlText w:val="%1."/>
      <w:lvlJc w:val="right"/>
      <w:pPr>
        <w:ind w:left="54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502C7B55"/>
    <w:multiLevelType w:val="hybridMultilevel"/>
    <w:tmpl w:val="5D8AFBEE"/>
    <w:lvl w:ilvl="0" w:tplc="729EBB7C">
      <w:start w:val="1"/>
      <w:numFmt w:val="decimal"/>
      <w:lvlText w:val="%1."/>
      <w:lvlJc w:val="left"/>
      <w:pPr>
        <w:ind w:left="540" w:hanging="360"/>
      </w:pPr>
    </w:lvl>
    <w:lvl w:ilvl="1" w:tplc="FCDC0A94">
      <w:numFmt w:val="decimal"/>
      <w:lvlText w:val=""/>
      <w:lvlJc w:val="left"/>
    </w:lvl>
    <w:lvl w:ilvl="2" w:tplc="37DC75CC">
      <w:numFmt w:val="decimal"/>
      <w:lvlText w:val=""/>
      <w:lvlJc w:val="left"/>
    </w:lvl>
    <w:lvl w:ilvl="3" w:tplc="954AB498">
      <w:numFmt w:val="decimal"/>
      <w:lvlText w:val=""/>
      <w:lvlJc w:val="left"/>
    </w:lvl>
    <w:lvl w:ilvl="4" w:tplc="9D507CCE">
      <w:numFmt w:val="decimal"/>
      <w:lvlText w:val=""/>
      <w:lvlJc w:val="left"/>
    </w:lvl>
    <w:lvl w:ilvl="5" w:tplc="46940BDA">
      <w:numFmt w:val="decimal"/>
      <w:lvlText w:val=""/>
      <w:lvlJc w:val="left"/>
    </w:lvl>
    <w:lvl w:ilvl="6" w:tplc="03D2CD2C">
      <w:numFmt w:val="decimal"/>
      <w:lvlText w:val=""/>
      <w:lvlJc w:val="left"/>
    </w:lvl>
    <w:lvl w:ilvl="7" w:tplc="9A7ABEB6">
      <w:numFmt w:val="decimal"/>
      <w:lvlText w:val=""/>
      <w:lvlJc w:val="left"/>
    </w:lvl>
    <w:lvl w:ilvl="8" w:tplc="DBC815E8">
      <w:numFmt w:val="decimal"/>
      <w:lvlText w:val=""/>
      <w:lvlJc w:val="left"/>
    </w:lvl>
  </w:abstractNum>
  <w:abstractNum w:abstractNumId="5" w15:restartNumberingAfterBreak="0">
    <w:nsid w:val="52BE0BF6"/>
    <w:multiLevelType w:val="multilevel"/>
    <w:tmpl w:val="37BC93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01458598">
    <w:abstractNumId w:val="0"/>
    <w:lvlOverride w:ilvl="0">
      <w:startOverride w:val="1"/>
    </w:lvlOverride>
  </w:num>
  <w:num w:numId="2" w16cid:durableId="462425536">
    <w:abstractNumId w:val="2"/>
    <w:lvlOverride w:ilvl="0">
      <w:startOverride w:val="1"/>
    </w:lvlOverride>
  </w:num>
  <w:num w:numId="3" w16cid:durableId="2122845333">
    <w:abstractNumId w:val="4"/>
    <w:lvlOverride w:ilvl="0">
      <w:startOverride w:val="1"/>
    </w:lvlOverride>
  </w:num>
  <w:num w:numId="4" w16cid:durableId="258218979">
    <w:abstractNumId w:val="5"/>
  </w:num>
  <w:num w:numId="5" w16cid:durableId="588778661">
    <w:abstractNumId w:val="1"/>
  </w:num>
  <w:num w:numId="6" w16cid:durableId="605234830">
    <w:abstractNumId w:val="4"/>
  </w:num>
  <w:num w:numId="7" w16cid:durableId="104826293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0CE1"/>
    <w:rsid w:val="00052F26"/>
    <w:rsid w:val="001E200E"/>
    <w:rsid w:val="00347994"/>
    <w:rsid w:val="004D1244"/>
    <w:rsid w:val="00726D1E"/>
    <w:rsid w:val="007D0CE1"/>
    <w:rsid w:val="00B077AF"/>
    <w:rsid w:val="00CF21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DF2BE6E"/>
  <w15:docId w15:val="{498A2AB8-CE10-6644-88B7-56F2FCEE6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B2F36"/>
        <w:sz w:val="22"/>
        <w:szCs w:val="22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outlineLvl w:val="0"/>
    </w:pPr>
    <w:rPr>
      <w:b/>
      <w:bCs/>
      <w:color w:val="1F2A37"/>
      <w:sz w:val="32"/>
      <w:szCs w:val="32"/>
    </w:rPr>
  </w:style>
  <w:style w:type="paragraph" w:styleId="Heading2">
    <w:name w:val="heading 2"/>
    <w:uiPriority w:val="9"/>
    <w:unhideWhenUsed/>
    <w:qFormat/>
    <w:pPr>
      <w:keepNext/>
      <w:outlineLvl w:val="1"/>
    </w:pPr>
    <w:rPr>
      <w:b/>
      <w:bCs/>
      <w:color w:val="E4572E"/>
      <w:sz w:val="25"/>
      <w:szCs w:val="25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200E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200E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200E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uiPriority w:val="34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E200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E200E"/>
  </w:style>
  <w:style w:type="paragraph" w:styleId="Footer">
    <w:name w:val="footer"/>
    <w:basedOn w:val="Normal"/>
    <w:link w:val="FooterChar"/>
    <w:uiPriority w:val="99"/>
    <w:unhideWhenUsed/>
    <w:rsid w:val="001E200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E200E"/>
  </w:style>
  <w:style w:type="character" w:styleId="BookTitle">
    <w:name w:val="Book Title"/>
    <w:basedOn w:val="DefaultParagraphFont"/>
    <w:uiPriority w:val="33"/>
    <w:qFormat/>
    <w:rsid w:val="001E200E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E200E"/>
    <w:pPr>
      <w:spacing w:after="200"/>
    </w:pPr>
    <w:rPr>
      <w:i/>
      <w:iCs/>
      <w:color w:val="0E2841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1E200E"/>
    <w:rPr>
      <w:i/>
      <w:i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200E"/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200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200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IntenseEmphasis">
    <w:name w:val="Intense Emphasis"/>
    <w:basedOn w:val="DefaultParagraphFont"/>
    <w:uiPriority w:val="21"/>
    <w:qFormat/>
    <w:rsid w:val="001E200E"/>
    <w:rPr>
      <w:i/>
      <w:iCs/>
      <w:color w:val="156082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200E"/>
    <w:pPr>
      <w:pBdr>
        <w:top w:val="single" w:sz="4" w:space="10" w:color="156082" w:themeColor="accent1"/>
        <w:bottom w:val="single" w:sz="4" w:space="10" w:color="156082" w:themeColor="accent1"/>
      </w:pBdr>
      <w:spacing w:before="360" w:after="360"/>
      <w:ind w:left="864" w:right="864"/>
      <w:jc w:val="center"/>
    </w:pPr>
    <w:rPr>
      <w:i/>
      <w:iCs/>
      <w:color w:val="156082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200E"/>
    <w:rPr>
      <w:i/>
      <w:iCs/>
      <w:color w:val="156082" w:themeColor="accent1"/>
    </w:rPr>
  </w:style>
  <w:style w:type="character" w:styleId="IntenseReference">
    <w:name w:val="Intense Reference"/>
    <w:basedOn w:val="DefaultParagraphFont"/>
    <w:uiPriority w:val="32"/>
    <w:qFormat/>
    <w:rsid w:val="001E200E"/>
    <w:rPr>
      <w:b/>
      <w:bCs/>
      <w:smallCaps/>
      <w:color w:val="156082" w:themeColor="accent1"/>
      <w:spacing w:val="5"/>
    </w:rPr>
  </w:style>
  <w:style w:type="paragraph" w:styleId="NoSpacing">
    <w:name w:val="No Spacing"/>
    <w:uiPriority w:val="1"/>
    <w:qFormat/>
    <w:rsid w:val="001E200E"/>
  </w:style>
  <w:style w:type="paragraph" w:styleId="Quote">
    <w:name w:val="Quote"/>
    <w:basedOn w:val="Normal"/>
    <w:next w:val="Normal"/>
    <w:link w:val="QuoteChar"/>
    <w:uiPriority w:val="29"/>
    <w:qFormat/>
    <w:rsid w:val="001E200E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200E"/>
    <w:rPr>
      <w:i/>
      <w:iCs/>
      <w:color w:val="404040" w:themeColor="text1" w:themeTint="BF"/>
    </w:rPr>
  </w:style>
  <w:style w:type="character" w:styleId="Strong">
    <w:name w:val="Strong"/>
    <w:basedOn w:val="DefaultParagraphFont"/>
    <w:uiPriority w:val="22"/>
    <w:qFormat/>
    <w:rsid w:val="001E200E"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sid w:val="001E200E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1E200E"/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sid w:val="001E200E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1E200E"/>
    <w:rPr>
      <w:smallCaps/>
      <w:color w:val="5A5A5A" w:themeColor="text1" w:themeTint="A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E200E"/>
    <w:pPr>
      <w:keepLines/>
      <w:spacing w:before="240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10</Pages>
  <Words>3705</Words>
  <Characters>21706</Characters>
  <Application>Microsoft Office Word</Application>
  <DocSecurity>0</DocSecurity>
  <Lines>663</Lines>
  <Paragraphs>380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Data and ETL Modernization: Tool Landscape and the Case for a Proprietary Accelerator</vt:lpstr>
    </vt:vector>
  </TitlesOfParts>
  <Company/>
  <LinksUpToDate>false</LinksUpToDate>
  <CharactersWithSpaces>25055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and ETL Modernization: Tool Landscape and the Case for a Proprietary Accelerator</dc:title>
  <dc:creator>ML arteka</dc:creator>
  <cp:lastModifiedBy>Freeman Goja</cp:lastModifiedBy>
  <cp:revision>7</cp:revision>
  <dcterms:created xsi:type="dcterms:W3CDTF">2026-10-06T14:34:00Z</dcterms:created>
  <dcterms:modified xsi:type="dcterms:W3CDTF">2026-10-06T16:36:00Z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2026-10-06T14:43:17Z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31273f09-fee3-4bb9-aabb-d1d1458755b3</vt:lpwstr>
  </property>
  <property fmtid="{D5CDD505-2E9C-101B-9397-08002B2CF9AE}" pid="7" name="MSIP_Label_defa4170-0d19-0005-0004-bc88714345d2_ActionId">
    <vt:lpwstr>9717cc90-2191-4b38-b498-9f5637aefb7a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50, 3, 0, 1</vt:lpwstr>
  </property>
</Properties>
</file>