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2F6E" w14:textId="70E6A08D" w:rsidR="00532C44" w:rsidRPr="003C53C2" w:rsidRDefault="004B5DE9" w:rsidP="00532C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B5DE9">
        <w:rPr>
          <w:b/>
          <w:bCs/>
          <w:u w:val="single"/>
        </w:rPr>
        <w:t>Charlotte</w:t>
      </w:r>
    </w:p>
    <w:p w14:paraId="736E94AD" w14:textId="43F645D3" w:rsidR="007D39A1" w:rsidRDefault="00532C44" w:rsidP="00532C44">
      <w:r>
        <w:t xml:space="preserve">Further to the </w:t>
      </w:r>
      <w:r w:rsidR="003F01A8">
        <w:t>contravention of the data subject’s right to erasure</w:t>
      </w:r>
      <w:r>
        <w:t>, V</w:t>
      </w:r>
      <w:r w:rsidR="000E5A0B">
        <w:t xml:space="preserve">irgin Media Ireland Limited </w:t>
      </w:r>
      <w:r>
        <w:t xml:space="preserve">had no justification for utilising the </w:t>
      </w:r>
      <w:r w:rsidR="003F01A8">
        <w:t>complainant’s</w:t>
      </w:r>
      <w:r>
        <w:t xml:space="preserve"> personal data</w:t>
      </w:r>
      <w:r w:rsidR="000E5A0B">
        <w:t xml:space="preserve"> for continued marketing</w:t>
      </w:r>
      <w:r>
        <w:t xml:space="preserve"> as consent had been withdrawn</w:t>
      </w:r>
      <w:r w:rsidR="003C53C2">
        <w:t xml:space="preserve"> (Data Protection Commission, 2020)</w:t>
      </w:r>
      <w:r>
        <w:t xml:space="preserve">. </w:t>
      </w:r>
      <w:r w:rsidR="007D39A1">
        <w:t xml:space="preserve">Whilst it is clear in the case of </w:t>
      </w:r>
      <w:r w:rsidR="000E5A0B">
        <w:t>Virgin Media Ireland Limited</w:t>
      </w:r>
      <w:r w:rsidR="007D39A1">
        <w:t xml:space="preserve"> that appropriate processes were not in place or followed to make the withdrawal of consent available to the complainant, sometimes the availability of these mechanisms does not translate to usability </w:t>
      </w:r>
      <w:r w:rsidR="000E50BE">
        <w:t>(Habib et al., 2020)</w:t>
      </w:r>
      <w:r w:rsidR="007D39A1">
        <w:t xml:space="preserve">. </w:t>
      </w:r>
      <w:r w:rsidR="00E97BF5">
        <w:t xml:space="preserve">This ultimately leads to the same outcome of rights of the data subject not being exercised in line with the GDPR. </w:t>
      </w:r>
    </w:p>
    <w:p w14:paraId="1E9027BE" w14:textId="01C302BE" w:rsidR="007D39A1" w:rsidRDefault="00E97BF5" w:rsidP="00532C44">
      <w:r>
        <w:t xml:space="preserve">The GDPR focusses on usability and states that “it </w:t>
      </w:r>
      <w:r w:rsidRPr="00E97BF5">
        <w:t>shall be as easy to withdraw as to give consent</w:t>
      </w:r>
      <w:r>
        <w:t xml:space="preserve">” </w:t>
      </w:r>
      <w:r w:rsidR="00636AF7">
        <w:t>(EUR-Lex, 2016</w:t>
      </w:r>
      <w:r w:rsidR="000E5A0B">
        <w:t>: Article 7</w:t>
      </w:r>
      <w:r w:rsidR="00636AF7">
        <w:t>)</w:t>
      </w:r>
      <w:r>
        <w:t>. However, in practice opt-out options can be difficult to access and confusing for consumers. This not only breaches Article 7 but it can also lead to reputational damage for the company by frustrating consumers and leading them to report marketing as spam.</w:t>
      </w:r>
    </w:p>
    <w:p w14:paraId="2AB8D10B" w14:textId="77777777" w:rsidR="00E97BF5" w:rsidRDefault="00E97BF5" w:rsidP="00532C44"/>
    <w:p w14:paraId="5E4C1EBB" w14:textId="24D6E593" w:rsidR="007D39A1" w:rsidRPr="00636AF7" w:rsidRDefault="007D39A1" w:rsidP="00532C44">
      <w:pPr>
        <w:rPr>
          <w:u w:val="single"/>
        </w:rPr>
      </w:pPr>
      <w:r w:rsidRPr="007D39A1">
        <w:rPr>
          <w:u w:val="single"/>
        </w:rPr>
        <w:t>References</w:t>
      </w:r>
    </w:p>
    <w:p w14:paraId="45525BA5" w14:textId="28A744EC" w:rsidR="003C53C2" w:rsidRDefault="003C53C2" w:rsidP="00532C44">
      <w:r w:rsidRPr="000124C9">
        <w:t xml:space="preserve">Data Protection Commission (2020) </w:t>
      </w:r>
      <w:r>
        <w:t xml:space="preserve">Pre-GDPR Case Studies. Available from: </w:t>
      </w:r>
      <w:hyperlink r:id="rId5" w:anchor="201705" w:history="1">
        <w:r w:rsidRPr="005439BF">
          <w:rPr>
            <w:rStyle w:val="Hyperlink"/>
          </w:rPr>
          <w:t>https://www.dataprotection.ie/en/pre-gdpr/case-studies#201705</w:t>
        </w:r>
      </w:hyperlink>
      <w:r>
        <w:t xml:space="preserve"> [Accessed 28 June 2021].</w:t>
      </w:r>
    </w:p>
    <w:p w14:paraId="41EE123B" w14:textId="31347AA8" w:rsidR="00E97BF5" w:rsidRDefault="00E97BF5" w:rsidP="00532C44">
      <w:r>
        <w:t xml:space="preserve">EUR-Lex (2016) </w:t>
      </w:r>
      <w:r w:rsidRPr="00B965CF">
        <w:t>R</w:t>
      </w:r>
      <w:r>
        <w:t>egulation</w:t>
      </w:r>
      <w:r w:rsidRPr="00B965CF">
        <w:t xml:space="preserve"> (EU) 2016/679 </w:t>
      </w:r>
      <w:r>
        <w:t xml:space="preserve">of the European Parliament and of the Council. Available from: </w:t>
      </w:r>
      <w:hyperlink r:id="rId6" w:history="1">
        <w:r w:rsidRPr="00F57D32">
          <w:rPr>
            <w:rStyle w:val="Hyperlink"/>
          </w:rPr>
          <w:t>https://eur-lex.europa.eu/legal-content/EN/TXT/?uri=CELEX%3A02016R0679-20160504&amp;qid=1532348683434</w:t>
        </w:r>
      </w:hyperlink>
      <w:r>
        <w:t xml:space="preserve"> [Accessed 28 June 2021].</w:t>
      </w:r>
    </w:p>
    <w:p w14:paraId="05CB8FB6" w14:textId="2E8A84A7" w:rsidR="00573501" w:rsidRDefault="008A3ACD" w:rsidP="004B5DE9">
      <w:r w:rsidRPr="008A3ACD">
        <w:t>Habib,</w:t>
      </w:r>
      <w:r>
        <w:t xml:space="preserve"> H. et al</w:t>
      </w:r>
      <w:r w:rsidRPr="008A3ACD">
        <w:t xml:space="preserve">. </w:t>
      </w:r>
      <w:r>
        <w:t>(</w:t>
      </w:r>
      <w:r w:rsidRPr="008A3ACD">
        <w:t>2020</w:t>
      </w:r>
      <w:r>
        <w:t>)</w:t>
      </w:r>
      <w:r w:rsidRPr="008A3ACD">
        <w:t xml:space="preserve"> </w:t>
      </w:r>
      <w:r w:rsidR="00573501">
        <w:t>‘</w:t>
      </w:r>
      <w:r w:rsidRPr="008A3ACD">
        <w:t>It's a scavenger hunt: Usability of Websites' Opt-Out and Data Deletion Choices</w:t>
      </w:r>
      <w:r w:rsidR="00573501">
        <w:t>’</w:t>
      </w:r>
      <w:r w:rsidR="00E95EB5">
        <w:t>,</w:t>
      </w:r>
      <w:r w:rsidRPr="008A3ACD">
        <w:t xml:space="preserve"> </w:t>
      </w:r>
      <w:r w:rsidRPr="00E95EB5">
        <w:rPr>
          <w:i/>
          <w:iCs/>
        </w:rPr>
        <w:t>CHI Conference on Human Factors in Computing Systems</w:t>
      </w:r>
      <w:r w:rsidRPr="008A3ACD">
        <w:t xml:space="preserve">. </w:t>
      </w:r>
      <w:r w:rsidR="00573501">
        <w:t xml:space="preserve">New York, USA, 25-30 April. </w:t>
      </w:r>
      <w:r w:rsidRPr="008A3ACD">
        <w:t>Association for Computing Machinery</w:t>
      </w:r>
      <w:r w:rsidR="00573501">
        <w:t>. 1-12.</w:t>
      </w:r>
    </w:p>
    <w:p w14:paraId="3D987A3B" w14:textId="77777777" w:rsidR="008A3ACD" w:rsidRDefault="008A3ACD" w:rsidP="004B5DE9"/>
    <w:p w14:paraId="7DD8F965" w14:textId="77777777" w:rsidR="00186BA1" w:rsidRDefault="00186BA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A7A2FEC" w14:textId="42136A12" w:rsidR="002E5740" w:rsidRPr="000D1941" w:rsidRDefault="00CF555B" w:rsidP="00CF55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F555B">
        <w:rPr>
          <w:b/>
          <w:bCs/>
          <w:u w:val="single"/>
        </w:rPr>
        <w:lastRenderedPageBreak/>
        <w:t>Jan</w:t>
      </w:r>
    </w:p>
    <w:p w14:paraId="72FF966B" w14:textId="3F6699E6" w:rsidR="00FC62A2" w:rsidRDefault="00686EA1" w:rsidP="00FC62A2">
      <w:r>
        <w:t xml:space="preserve">Further to Jan’s </w:t>
      </w:r>
      <w:r w:rsidR="007165F4">
        <w:t xml:space="preserve">recommendations </w:t>
      </w:r>
      <w:r w:rsidR="000D1941">
        <w:t>and as per Article 12</w:t>
      </w:r>
      <w:r>
        <w:t>, processes should be implemented for staff to record and appropriately action a</w:t>
      </w:r>
      <w:r w:rsidR="000D1941">
        <w:t>ny</w:t>
      </w:r>
      <w:r>
        <w:t xml:space="preserve"> data subject access request (DSAR) to ensure none are missed</w:t>
      </w:r>
      <w:r w:rsidR="000D1941">
        <w:t xml:space="preserve"> (</w:t>
      </w:r>
      <w:r w:rsidR="002A266C">
        <w:t>EUR-Lex, 2016</w:t>
      </w:r>
      <w:r w:rsidR="000D1941">
        <w:t>)</w:t>
      </w:r>
      <w:r>
        <w:t>.</w:t>
      </w:r>
      <w:r w:rsidR="000D1941">
        <w:t xml:space="preserve"> This is particularly important where the data is only available for a set amount of time, as can be seen in this case study (Data Protection Commission, 2020).</w:t>
      </w:r>
      <w:r>
        <w:t xml:space="preserve"> </w:t>
      </w:r>
      <w:r w:rsidR="000D1941">
        <w:t>Furthermore, t</w:t>
      </w:r>
      <w:r>
        <w:t xml:space="preserve">raining regarding DSARs should be completed </w:t>
      </w:r>
      <w:r w:rsidR="000D1941">
        <w:t>by</w:t>
      </w:r>
      <w:r>
        <w:t xml:space="preserve"> all staff as a business has only one month to provide a response to the initial </w:t>
      </w:r>
      <w:r w:rsidR="000D1941">
        <w:t>request</w:t>
      </w:r>
      <w:r>
        <w:t xml:space="preserve"> under the GDPR and this </w:t>
      </w:r>
      <w:r w:rsidR="000D1941">
        <w:t xml:space="preserve">request </w:t>
      </w:r>
      <w:r>
        <w:t>could go to any member of staff, either verbally or in writing</w:t>
      </w:r>
      <w:r w:rsidR="000D1941">
        <w:t>, and they must therefore be able to recognise this type of request</w:t>
      </w:r>
      <w:r w:rsidR="002A266C">
        <w:t xml:space="preserve"> (ICO, N.D.)</w:t>
      </w:r>
      <w:r w:rsidR="000D1941">
        <w:t>.</w:t>
      </w:r>
    </w:p>
    <w:p w14:paraId="7B6978CD" w14:textId="0974082E" w:rsidR="00686EA1" w:rsidRDefault="00686EA1" w:rsidP="00FC62A2">
      <w:r>
        <w:t>Under the GDPR, businesses can no longer charge for processing DSARs as was common practice before</w:t>
      </w:r>
      <w:r w:rsidR="000D1941">
        <w:t xml:space="preserve"> the directive</w:t>
      </w:r>
      <w:r>
        <w:t xml:space="preserve">, therefore Jan’s point on funding is particularly poignant and businesses must set aside appropriate funding to conduct this duty under GDPR. Funding should also </w:t>
      </w:r>
      <w:r w:rsidR="000D1941">
        <w:t>consider</w:t>
      </w:r>
      <w:r>
        <w:t xml:space="preserve"> methods for providing the data as this should match the way the data is requested. </w:t>
      </w:r>
      <w:r w:rsidR="000D1941">
        <w:t>I</w:t>
      </w:r>
      <w:r>
        <w:t>f it was requested electronically, over email</w:t>
      </w:r>
      <w:r w:rsidR="000D1941">
        <w:t xml:space="preserve"> for example</w:t>
      </w:r>
      <w:r>
        <w:t>, then the data should be provided electronically</w:t>
      </w:r>
      <w:r w:rsidR="000D1941">
        <w:t xml:space="preserve"> to ensure that the data subject can access it. </w:t>
      </w:r>
      <w:r w:rsidR="002A266C">
        <w:t xml:space="preserve">With personal data taking many forms, businesses should ensure they have </w:t>
      </w:r>
      <w:r w:rsidR="000D1941">
        <w:t xml:space="preserve">suitably secure </w:t>
      </w:r>
      <w:r w:rsidR="002A266C">
        <w:t>mechanisms</w:t>
      </w:r>
      <w:r w:rsidR="00BC6449">
        <w:t xml:space="preserve"> in place</w:t>
      </w:r>
      <w:r w:rsidR="000D1941">
        <w:t xml:space="preserve"> for </w:t>
      </w:r>
      <w:r w:rsidR="002A266C">
        <w:t xml:space="preserve">sharing these different formats with due consideration </w:t>
      </w:r>
      <w:r w:rsidR="007165F4">
        <w:t>for</w:t>
      </w:r>
      <w:r w:rsidR="002A266C">
        <w:t xml:space="preserve"> accessibility</w:t>
      </w:r>
      <w:r w:rsidR="007165F4">
        <w:t>.</w:t>
      </w:r>
    </w:p>
    <w:p w14:paraId="11BF7B9D" w14:textId="5EF264E7" w:rsidR="002E5740" w:rsidRDefault="002E5740" w:rsidP="002E5740"/>
    <w:p w14:paraId="1415ECBA" w14:textId="38CF1025" w:rsidR="002E5740" w:rsidRPr="000D1941" w:rsidRDefault="002E5740" w:rsidP="002E5740">
      <w:pPr>
        <w:rPr>
          <w:u w:val="single"/>
        </w:rPr>
      </w:pPr>
      <w:r w:rsidRPr="000D1941">
        <w:rPr>
          <w:u w:val="single"/>
        </w:rPr>
        <w:t>References</w:t>
      </w:r>
    </w:p>
    <w:p w14:paraId="40DDEF02" w14:textId="03D1B6A9" w:rsidR="000D1941" w:rsidRDefault="000D1941" w:rsidP="000D1941">
      <w:r w:rsidRPr="000124C9">
        <w:t xml:space="preserve">Data Protection Commission (2020) </w:t>
      </w:r>
      <w:r>
        <w:t xml:space="preserve">Pre-GDPR Case Studies. Available from: </w:t>
      </w:r>
      <w:hyperlink r:id="rId7" w:anchor="201705" w:history="1">
        <w:r w:rsidRPr="005439BF">
          <w:rPr>
            <w:rStyle w:val="Hyperlink"/>
          </w:rPr>
          <w:t>https://www.dataprotection.ie/en/pre-gdpr/case-studies#201705</w:t>
        </w:r>
      </w:hyperlink>
      <w:r>
        <w:t xml:space="preserve"> [Accessed 2</w:t>
      </w:r>
      <w:r w:rsidR="002A266C">
        <w:t>8</w:t>
      </w:r>
      <w:r>
        <w:t xml:space="preserve"> June 2021].</w:t>
      </w:r>
    </w:p>
    <w:p w14:paraId="01F805F5" w14:textId="45697F8E" w:rsidR="002E5740" w:rsidRDefault="000D1941" w:rsidP="000D1941">
      <w:r>
        <w:t xml:space="preserve">EUR-Lex (2016) </w:t>
      </w:r>
      <w:r w:rsidRPr="00B965CF">
        <w:t>R</w:t>
      </w:r>
      <w:r>
        <w:t>egulation</w:t>
      </w:r>
      <w:r w:rsidRPr="00B965CF">
        <w:t xml:space="preserve"> (EU) 2016/679 </w:t>
      </w:r>
      <w:r>
        <w:t xml:space="preserve">of the European Parliament and of the Council. Available from: </w:t>
      </w:r>
      <w:hyperlink r:id="rId8" w:history="1">
        <w:r w:rsidRPr="00F57D32">
          <w:rPr>
            <w:rStyle w:val="Hyperlink"/>
          </w:rPr>
          <w:t>https://eur-lex.europa.eu/legal-content/EN/TXT/?uri=CELEX%3A02016R0679-20160504&amp;qid=1532348683434</w:t>
        </w:r>
      </w:hyperlink>
      <w:r>
        <w:t xml:space="preserve"> [Accessed 2</w:t>
      </w:r>
      <w:r w:rsidR="002A266C">
        <w:t>8</w:t>
      </w:r>
      <w:r>
        <w:t xml:space="preserve"> June 2021].</w:t>
      </w:r>
    </w:p>
    <w:p w14:paraId="7B4F3E0E" w14:textId="3D8796D3" w:rsidR="002A266C" w:rsidRDefault="002A266C" w:rsidP="000D1941">
      <w:r>
        <w:t xml:space="preserve">ICO (N.D.) Right of Access. Available from: </w:t>
      </w:r>
      <w:hyperlink r:id="rId9" w:history="1">
        <w:r w:rsidRPr="001D748E">
          <w:rPr>
            <w:rStyle w:val="Hyperlink"/>
          </w:rPr>
          <w:t>https://ico.org.uk/for-organisations/guide-to-data-protection/guide-to-the-general-data-protection-regulation-gdpr/individual-rights/right-of-access/</w:t>
        </w:r>
      </w:hyperlink>
      <w:r>
        <w:t xml:space="preserve"> [Accessed 28 June 2021].</w:t>
      </w:r>
    </w:p>
    <w:sectPr w:rsidR="002A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3411"/>
    <w:multiLevelType w:val="hybridMultilevel"/>
    <w:tmpl w:val="EAC89B70"/>
    <w:lvl w:ilvl="0" w:tplc="F9583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D5572"/>
    <w:multiLevelType w:val="hybridMultilevel"/>
    <w:tmpl w:val="17CE8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AE"/>
    <w:rsid w:val="000D1941"/>
    <w:rsid w:val="000E50BE"/>
    <w:rsid w:val="000E5A0B"/>
    <w:rsid w:val="00144C50"/>
    <w:rsid w:val="00186BA1"/>
    <w:rsid w:val="002A266C"/>
    <w:rsid w:val="002E5740"/>
    <w:rsid w:val="003C53C2"/>
    <w:rsid w:val="003C6661"/>
    <w:rsid w:val="003F01A8"/>
    <w:rsid w:val="004B5DE9"/>
    <w:rsid w:val="00524F3D"/>
    <w:rsid w:val="00532C44"/>
    <w:rsid w:val="00573501"/>
    <w:rsid w:val="00636AF7"/>
    <w:rsid w:val="00686EA1"/>
    <w:rsid w:val="007165F4"/>
    <w:rsid w:val="007D39A1"/>
    <w:rsid w:val="008A3ACD"/>
    <w:rsid w:val="00BC6449"/>
    <w:rsid w:val="00CF555B"/>
    <w:rsid w:val="00E05C24"/>
    <w:rsid w:val="00E95EB5"/>
    <w:rsid w:val="00E97BF5"/>
    <w:rsid w:val="00F927AE"/>
    <w:rsid w:val="00FB76B5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679"/>
  <w15:chartTrackingRefBased/>
  <w15:docId w15:val="{9F6BF6CE-8E30-41BA-ABC4-A66F174C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legal-content/EN/TXT/?uri=CELEX%3A02016R0679-20160504&amp;qid=15323486834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protection.ie/en/pre-gdpr/case-stud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-lex.europa.eu/legal-content/EN/TXT/?uri=CELEX%3A02016R0679-20160504&amp;qid=15323486834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protection.ie/en/pre-gdpr/case-stud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o.org.uk/for-organisations/guide-to-data-protection/guide-to-the-general-data-protection-regulation-gdpr/individual-rights/right-of-ac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22</cp:revision>
  <dcterms:created xsi:type="dcterms:W3CDTF">2021-06-26T12:42:00Z</dcterms:created>
  <dcterms:modified xsi:type="dcterms:W3CDTF">2021-06-28T09:34:00Z</dcterms:modified>
</cp:coreProperties>
</file>