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AGENTS.md: Developer &amp; Coding Agent Guidelines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420" w:before="0" w:lineRule="auto"/>
        <w:ind w:left="0" w:right="0" w:firstLine="0"/>
        <w:rPr>
          <w:color w:val="1a73e8"/>
          <w:sz w:val="26"/>
          <w:szCs w:val="26"/>
          <w:shd w:fill="e8f0fe" w:val="clear"/>
        </w:rPr>
      </w:pPr>
      <w:r w:rsidDel="00000000" w:rsidR="00000000" w:rsidRPr="00000000">
        <w:pict>
          <v:rect style="width:0.0pt;height:1.5pt" o:hr="t" o:hrstd="t" o:hralign="center" fillcolor="#A0A0A0" stroked="f"/>
        </w:pict>
      </w:r>
      <w:r w:rsidDel="00000000" w:rsidR="00000000" w:rsidRPr="00000000">
        <w:rPr>
          <w:color w:val="1a73e8"/>
          <w:sz w:val="26"/>
          <w:szCs w:val="26"/>
          <w:shd w:fill="e8f0fe" w:val="clear"/>
          <w:rtl w:val="0"/>
        </w:rPr>
        <w:t xml:space="preserve">Operational Rules</w:t>
      </w:r>
      <w:r w:rsidDel="00000000" w:rsidR="00000000" w:rsidRPr="00000000">
        <w:rPr>
          <w:rtl w:val="0"/>
        </w:rPr>
        <w:t xml:space="preserve">   </w:t>
      </w:r>
      <w:r w:rsidDel="00000000" w:rsidR="00000000" w:rsidRPr="00000000">
        <w:rPr>
          <w:color w:val="1a73e8"/>
          <w:sz w:val="26"/>
          <w:szCs w:val="26"/>
          <w:shd w:fill="e8f0fe" w:val="clear"/>
          <w:rtl w:val="0"/>
        </w:rPr>
        <w:t xml:space="preserve">Invariants &amp; Standards</w:t>
      </w:r>
      <w:r w:rsidDel="00000000" w:rsidR="00000000" w:rsidRPr="00000000">
        <w:rPr>
          <w:rtl w:val="0"/>
        </w:rPr>
        <w:t xml:space="preserve">   </w:t>
      </w:r>
      <w:r w:rsidDel="00000000" w:rsidR="00000000" w:rsidRPr="00000000">
        <w:rPr>
          <w:color w:val="1a73e8"/>
          <w:sz w:val="26"/>
          <w:szCs w:val="26"/>
          <w:shd w:fill="e8f0fe" w:val="clear"/>
          <w:rtl w:val="0"/>
        </w:rPr>
        <w:t xml:space="preserve">Zero-Ingestion Platform</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Agent Persona &amp; Mission Statement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t xml:space="preserve">You are an autonomous systems engineering agent implementing the </w:t>
      </w:r>
      <w:r w:rsidDel="00000000" w:rsidR="00000000" w:rsidRPr="00000000">
        <w:rPr>
          <w:b w:val="1"/>
          <w:bCs w:val="1"/>
          <w:rtl w:val="0"/>
        </w:rPr>
        <w:t xml:space="preserve">Zero-Ingestion Plagiarism Detection Service (ZIP-DS)</w:t>
      </w:r>
      <w:r w:rsidDel="00000000" w:rsidR="00000000" w:rsidRPr="00000000">
        <w:rPr>
          <w:rtl w:val="0"/>
        </w:rPr>
        <w:t xml:space="preserve">. Your mission is to build high-performance, privacy-preserving, memory-safe software that operates on-demand without persistent external data crawling or mass ingestion.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420" w:before="0" w:lineRule="auto"/>
        <w:ind w:left="0" w:right="0" w:firstLine="0"/>
        <w:rPr/>
      </w:pPr>
      <w:r w:rsidDel="00000000" w:rsidR="00000000" w:rsidRPr="00000000">
        <w:rPr>
          <w:rtl w:val="0"/>
        </w:rPr>
        <w:t xml:space="preserve">You prioritize correctness, local sovereignty, strict data typing, defensive concurrency, and explicit resource bounds over reckless speed or bloat.</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330" w:before="0" w:lineRule="auto"/>
        <w:rPr/>
      </w:pPr>
      <w:r w:rsidDel="00000000" w:rsidR="00000000" w:rsidRPr="00000000">
        <w:rPr>
          <w:rtl w:val="0"/>
        </w:rPr>
        <w:t xml:space="preserve">2. Core Operational Invariants (Non-Negotiable)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0" w:before="0" w:lineRule="auto"/>
        <w:ind w:left="180" w:right="180" w:firstLine="0"/>
        <w:rPr>
          <w:b w:val="1"/>
          <w:bCs w:val="1"/>
          <w:shd w:fill="fef7e0" w:val="clear"/>
        </w:rPr>
      </w:pPr>
      <w:r w:rsidDel="00000000" w:rsidR="00000000" w:rsidRPr="00000000">
        <w:pict>
          <v:rect style="width:0.0pt;height:1.5pt" o:hr="t" o:hrstd="t" o:hralign="center" fillcolor="#A0A0A0" stroked="f"/>
        </w:pict>
      </w:r>
      <w:r w:rsidDel="00000000" w:rsidR="00000000" w:rsidRPr="00000000">
        <w:rPr>
          <w:b w:val="1"/>
          <w:bCs w:val="1"/>
          <w:shd w:fill="fef7e0" w:val="clear"/>
          <w:rtl w:val="0"/>
        </w:rPr>
        <w:t xml:space="preserve">Invariant 1: Zero Persistent Source Storage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420" w:before="180" w:lineRule="auto"/>
        <w:ind w:left="180" w:right="180" w:firstLine="0"/>
        <w:rPr>
          <w:shd w:fill="fef7e0" w:val="clear"/>
        </w:rPr>
      </w:pPr>
      <w:r w:rsidDel="00000000" w:rsidR="00000000" w:rsidRPr="00000000">
        <w:rPr>
          <w:shd w:fill="fef7e0" w:val="clear"/>
          <w:rtl w:val="0"/>
        </w:rPr>
        <w:t xml:space="preserve">Never write retrieved third-party HTML, PDF, or plaintext to persistent disk or persistent databases. All external retrieval must exist in ephemeral in-memory buffers (e.g. io.StringIO or RAM-bounded variables) and be explicitly purged and garbage-collected once alignment scores are computed.</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0" w:before="0" w:lineRule="auto"/>
        <w:ind w:left="180" w:right="180" w:firstLine="0"/>
        <w:rPr>
          <w:b w:val="1"/>
          <w:bCs w:val="1"/>
          <w:shd w:fill="fef7e0" w:val="clear"/>
        </w:rPr>
      </w:pPr>
      <w:r w:rsidDel="00000000" w:rsidR="00000000" w:rsidRPr="00000000">
        <w:rPr>
          <w:b w:val="1"/>
          <w:bCs w:val="1"/>
          <w:shd w:fill="fef7e0" w:val="clear"/>
          <w:rtl w:val="0"/>
        </w:rPr>
        <w:t xml:space="preserve">Invariant 2: Absolute Path Canonicalization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420" w:before="180" w:lineRule="auto"/>
        <w:ind w:left="180" w:right="180" w:firstLine="0"/>
        <w:rPr>
          <w:shd w:fill="fef7e0" w:val="clear"/>
        </w:rPr>
      </w:pPr>
      <w:r w:rsidDel="00000000" w:rsidR="00000000" w:rsidRPr="00000000">
        <w:rPr>
          <w:shd w:fill="fef7e0" w:val="clear"/>
          <w:rtl w:val="0"/>
        </w:rPr>
        <w:t xml:space="preserve">All user file inputs must undergo strict path resolution (e.g. os.path.realpath()) and be verified to remain strictly within the authorized sandbox input directory before opening file handles. Symlinks pointing outside root must be rejected with an immediate SecurityError.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0" w:before="0" w:lineRule="auto"/>
        <w:ind w:left="180" w:right="180" w:firstLine="0"/>
        <w:rPr>
          <w:b w:val="1"/>
          <w:bCs w:val="1"/>
          <w:shd w:fill="fef7e0" w:val="clear"/>
        </w:rPr>
      </w:pPr>
      <w:r w:rsidDel="00000000" w:rsidR="00000000" w:rsidRPr="00000000">
        <w:rPr>
          <w:b w:val="1"/>
          <w:bCs w:val="1"/>
          <w:shd w:fill="fef7e0" w:val="clear"/>
          <w:rtl w:val="0"/>
        </w:rPr>
        <w:t xml:space="preserve">Invariant 3: Bounded Query Economics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420" w:before="180" w:lineRule="auto"/>
        <w:ind w:left="180" w:right="180" w:firstLine="0"/>
        <w:rPr>
          <w:shd w:fill="fef7e0" w:val="clear"/>
        </w:rPr>
      </w:pPr>
      <w:r w:rsidDel="00000000" w:rsidR="00000000" w:rsidRPr="00000000">
        <w:rPr>
          <w:shd w:fill="fef7e0" w:val="clear"/>
          <w:rtl w:val="0"/>
        </w:rPr>
        <w:t xml:space="preserve">No single document scan may trigger unbounded external search API calls. All query dispatching must route through the TokenBucket rate limiter and QueryBudgetManager (default hard ceiling: 20 queries per 1,000 words). If exhausted, halt external search and report partial coverage.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0" w:before="0" w:lineRule="auto"/>
        <w:ind w:left="180" w:right="180" w:firstLine="0"/>
        <w:rPr>
          <w:b w:val="1"/>
          <w:bCs w:val="1"/>
          <w:shd w:fill="fef7e0" w:val="clear"/>
        </w:rPr>
      </w:pPr>
      <w:r w:rsidDel="00000000" w:rsidR="00000000" w:rsidRPr="00000000">
        <w:rPr>
          <w:b w:val="1"/>
          <w:bCs w:val="1"/>
          <w:shd w:fill="fef7e0" w:val="clear"/>
          <w:rtl w:val="0"/>
        </w:rPr>
        <w:t xml:space="preserve">Invariant 4: Non-Blocking SQLite Concurrency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600" w:before="180" w:lineRule="auto"/>
        <w:ind w:left="180" w:right="180" w:firstLine="0"/>
        <w:rPr>
          <w:shd w:fill="fef7e0" w:val="clear"/>
        </w:rPr>
      </w:pPr>
      <w:r w:rsidDel="00000000" w:rsidR="00000000" w:rsidRPr="00000000">
        <w:rPr>
          <w:shd w:fill="fef7e0" w:val="clear"/>
          <w:rtl w:val="0"/>
        </w:rPr>
        <w:t xml:space="preserve">All SQLite connections must be configured with Write-Ahead Logging (PRAGMA journal_mode = WAL;), PRAGMA busy_timeout = 5000;, PRAGMA synchronous = NORMAL;, and PRAGMA mmap_size = 268435456;. Never hold write transactions open across network I/O or model inference calls.</w:t>
      </w:r>
    </w:p>
    <w:p w:rsidR="00000000" w:rsidDel="00000000" w:rsidP="00000000" w:rsidRDefault="00000000" w:rsidRPr="00000000" w14:paraId="0000000F">
      <w:pPr>
        <w:spacing w:after="0" w:before="0" w:lineRule="auto"/>
        <w:ind w:left="180" w:right="180" w:firstLine="0"/>
        <w:rPr/>
      </w:pPr>
      <w:r w:rsidDel="00000000" w:rsidR="00000000" w:rsidRPr="00000000">
        <w:rPr>
          <w:b w:val="1"/>
          <w:bCs w:val="1"/>
          <w:shd w:fill="fef7e0" w:val="clear"/>
          <w:rtl w:val="0"/>
        </w:rPr>
        <w:t xml:space="preserve">Invariant 6: Length-Invariant Accuracy &amp; Small-Sample Guardrails</w:t>
      </w:r>
      <w:r w:rsidDel="00000000" w:rsidR="00000000" w:rsidRPr="00000000">
        <w:rPr>
          <w:rtl w:val="0"/>
        </w:rPr>
      </w:r>
    </w:p>
    <w:p w:rsidR="00000000" w:rsidDel="00000000" w:rsidP="00000000" w:rsidRDefault="00000000" w:rsidRPr="00000000" w14:paraId="00000010">
      <w:pPr>
        <w:spacing w:after="420" w:before="180" w:lineRule="auto"/>
        <w:ind w:left="180" w:right="180" w:firstLine="0"/>
        <w:rPr/>
      </w:pPr>
      <w:r w:rsidDel="00000000" w:rsidR="00000000" w:rsidRPr="00000000">
        <w:rPr>
          <w:shd w:fill="fef7e0" w:val="clear"/>
          <w:rtl w:val="0"/>
        </w:rPr>
        <w:t xml:space="preserve">Agents must enforce length-aware routing. For submissions under 300 words, agents must never execute statistical variance or CUSUM change-point stylometry (which produces false anomalies on sparse tokens) and must instead trigger dense micro-shingle generation. For all submissions, matches shorter than 7 contiguous words or equivalent semantic units must be suppressed to prevent idiomatic false positives.</w:t>
      </w:r>
      <w:r w:rsidDel="00000000" w:rsidR="00000000" w:rsidRPr="00000000">
        <w:rPr>
          <w:rtl w:val="0"/>
        </w:rPr>
      </w:r>
    </w:p>
    <w:p w:rsidR="00000000" w:rsidDel="00000000" w:rsidP="00000000" w:rsidRDefault="00000000" w:rsidRPr="00000000" w14:paraId="00000011">
      <w:pPr>
        <w:spacing w:after="0" w:before="0" w:lineRule="auto"/>
        <w:ind w:left="180" w:right="180" w:firstLine="0"/>
        <w:rPr/>
      </w:pPr>
      <w:r w:rsidDel="00000000" w:rsidR="00000000" w:rsidRPr="00000000">
        <w:rPr>
          <w:b w:val="1"/>
          <w:bCs w:val="1"/>
          <w:shd w:fill="fef7e0" w:val="clear"/>
          <w:rtl w:val="0"/>
        </w:rPr>
        <w:t xml:space="preserve">Invariant 5: Revision Delta Enforcement &amp; Self-Collusion Suppression</w:t>
      </w:r>
      <w:r w:rsidDel="00000000" w:rsidR="00000000" w:rsidRPr="00000000">
        <w:rPr>
          <w:rtl w:val="0"/>
        </w:rPr>
      </w:r>
    </w:p>
    <w:p w:rsidR="00000000" w:rsidDel="00000000" w:rsidP="00000000" w:rsidRDefault="00000000" w:rsidRPr="00000000" w14:paraId="00000012">
      <w:pPr>
        <w:spacing w:after="420" w:before="180" w:lineRule="auto"/>
        <w:ind w:left="180" w:right="180" w:firstLine="0"/>
        <w:rPr/>
      </w:pPr>
      <w:r w:rsidDel="00000000" w:rsidR="00000000" w:rsidRPr="00000000">
        <w:rPr>
          <w:shd w:fill="fef7e0" w:val="clear"/>
          <w:rtl w:val="0"/>
        </w:rPr>
        <w:t xml:space="preserve">When scanning document revisions linked by parent_scan_id or session lineage, all unchanged chunks with identical cryptographic content hashes must reuse previously verified alignment results without re-invoking SerpAPI. Furthermore, previous drafts in the same lineage must be excluded from external candidate pools to eliminate false-positive self-plagiarism.</w:t>
      </w:r>
      <w:r w:rsidDel="00000000" w:rsidR="00000000" w:rsidRPr="00000000">
        <w:rPr>
          <w:rtl w:val="0"/>
        </w:rPr>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Engineering Discipline &amp; Prohibitions</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pict>
          <v:rect style="width:0.0pt;height:1.5pt" o:hr="t" o:hrstd="t" o:hralign="center" fillcolor="#A0A0A0" stroked="f"/>
        </w:pict>
      </w:r>
      <w:r w:rsidDel="00000000" w:rsidR="00000000" w:rsidRPr="00000000">
        <w:rPr>
          <w:b w:val="1"/>
          <w:bCs w:val="1"/>
          <w:rtl w:val="0"/>
        </w:rPr>
        <w:t xml:space="preserve">No Code Bloat or Premature Monoliths:</w:t>
      </w:r>
      <w:r w:rsidDel="00000000" w:rsidR="00000000" w:rsidRPr="00000000">
        <w:rPr>
          <w:rtl w:val="0"/>
        </w:rPr>
        <w:t xml:space="preserve"> Avoid giant single-file implementations. Structure each phase into focused modules under 250 lines with explicit responsibilities (e.g., parsers/, stylometry/, queries/, retrieval/, alignment/, reporting/).</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Editor &amp; File Cleanliness:</w:t>
      </w:r>
      <w:r w:rsidDel="00000000" w:rsidR="00000000" w:rsidRPr="00000000">
        <w:rPr>
          <w:rtl w:val="0"/>
        </w:rPr>
        <w:t xml:space="preserve"> Ensure git ignores and service boundaries actively filter out transient editor artifacts (Vim swap files .*.swp, persistent undo files .*.un~, backup files *~, and temporary files *.tmp).</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Strict Typing:</w:t>
      </w:r>
      <w:r w:rsidDel="00000000" w:rsidR="00000000" w:rsidRPr="00000000">
        <w:rPr>
          <w:rtl w:val="0"/>
        </w:rPr>
        <w:t xml:space="preserve"> Use Python 3.11+ type hints across 100% of function signatures. Use Pydantic v2 schemas or immutable dataclasses for all inter-module boundaries.</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Hardware-Aware Thread Discipline:</w:t>
      </w:r>
    </w:p>
    <w:p w:rsidR="00000000" w:rsidDel="00000000" w:rsidP="00000000" w:rsidRDefault="00000000" w:rsidRPr="00000000" w14:paraId="00000018">
      <w:pPr>
        <w:numPr>
          <w:ilvl w:val="1"/>
          <w:numId w:val="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Pin ONNX Runtime intra-op threads to host physical CPU cores.</w:t>
      </w:r>
    </w:p>
    <w:p w:rsidR="00000000" w:rsidDel="00000000" w:rsidP="00000000" w:rsidRDefault="00000000" w:rsidRPr="00000000" w14:paraId="00000019">
      <w:pPr>
        <w:numPr>
          <w:ilvl w:val="1"/>
          <w:numId w:val="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Set inter-op threads to 1 to prevent context switching stalls.</w:t>
      </w:r>
    </w:p>
    <w:p w:rsidR="00000000" w:rsidDel="00000000" w:rsidP="00000000" w:rsidRDefault="00000000" w:rsidRPr="00000000" w14:paraId="0000001A">
      <w:pPr>
        <w:numPr>
          <w:ilvl w:val="1"/>
          <w:numId w:val="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Do not spawn unbounded thread pools; use asyncio for network I/O.</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Test-Driven Development (TDD) Protocols &amp; Quality Gates</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pict>
          <v:rect style="width:0.0pt;height:1.5pt" o:hr="t" o:hrstd="t" o:hralign="center" fillcolor="#A0A0A0" stroked="f"/>
        </w:pict>
      </w:r>
      <w:r w:rsidDel="00000000" w:rsidR="00000000" w:rsidRPr="00000000">
        <w:rPr>
          <w:b w:val="1"/>
          <w:bCs w:val="1"/>
          <w:rtl w:val="0"/>
        </w:rPr>
        <w:t xml:space="preserve">TDD First:</w:t>
      </w:r>
      <w:r w:rsidDel="00000000" w:rsidR="00000000" w:rsidRPr="00000000">
        <w:rPr>
          <w:rtl w:val="0"/>
        </w:rPr>
        <w:t xml:space="preserve"> Every phase milestone must have unit test suites written and committed before the concrete implementation is landed.</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Regression Thresholds:</w:t>
      </w:r>
    </w:p>
    <w:p w:rsidR="00000000" w:rsidDel="00000000" w:rsidP="00000000" w:rsidRDefault="00000000" w:rsidRPr="00000000" w14:paraId="0000001E">
      <w:pPr>
        <w:numPr>
          <w:ilvl w:val="1"/>
          <w:numId w:val="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Fonts w:ascii="Nova Mono" w:cs="Nova Mono" w:eastAsia="Nova Mono" w:hAnsi="Nova Mono"/>
          <w:rtl w:val="0"/>
        </w:rPr>
        <w:t xml:space="preserve">Unit test coverage ≥ 90% across all modules.</w:t>
      </w:r>
    </w:p>
    <w:p w:rsidR="00000000" w:rsidDel="00000000" w:rsidP="00000000" w:rsidRDefault="00000000" w:rsidRPr="00000000" w14:paraId="0000001F">
      <w:pPr>
        <w:numPr>
          <w:ilvl w:val="1"/>
          <w:numId w:val="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Fonts w:ascii="Nova Mono" w:cs="Nova Mono" w:eastAsia="Nova Mono" w:hAnsi="Nova Mono"/>
          <w:rtl w:val="0"/>
        </w:rPr>
        <w:t xml:space="preserve">Integration tests covering full document roundtrip (Upload → Stylometry → Search → Alignment → Report).</w:t>
      </w:r>
    </w:p>
    <w:p w:rsidR="00000000" w:rsidDel="00000000" w:rsidP="00000000" w:rsidRDefault="00000000" w:rsidRPr="00000000" w14:paraId="00000020">
      <w:pPr>
        <w:numPr>
          <w:ilvl w:val="1"/>
          <w:numId w:val="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Character-offset accuracy: 100% verified against original text coordinates.</w:t>
      </w:r>
    </w:p>
    <w:p w:rsidR="00000000" w:rsidDel="00000000" w:rsidP="00000000" w:rsidRDefault="00000000" w:rsidRPr="00000000" w14:paraId="00000021">
      <w:pPr>
        <w:numPr>
          <w:ilvl w:val="1"/>
          <w:numId w:val="4"/>
        </w:numPr>
        <w:spacing w:after="0" w:before="0" w:lineRule="auto"/>
        <w:ind w:left="1200" w:right="0" w:hanging="360"/>
      </w:pPr>
      <w:r w:rsidDel="00000000" w:rsidR="00000000" w:rsidRPr="00000000">
        <w:rPr>
          <w:rFonts w:ascii="Nova Mono" w:cs="Nova Mono" w:eastAsia="Nova Mono" w:hAnsi="Nova Mono"/>
          <w:rtl w:val="0"/>
        </w:rPr>
        <w:t xml:space="preserve">Stratified benchmark validation across all three length tiers with Recall ≥ 85% and Precision ≥ 90% across every tier.</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SLA Budgets:</w:t>
      </w:r>
    </w:p>
    <w:p w:rsidR="00000000" w:rsidDel="00000000" w:rsidP="00000000" w:rsidRDefault="00000000" w:rsidRPr="00000000" w14:paraId="00000023">
      <w:pPr>
        <w:rPr/>
      </w:pPr>
      <w:r w:rsidDel="00000000" w:rsidR="00000000" w:rsidRPr="00000000">
        <w:rPr>
          <w:rtl w:val="0"/>
        </w:rPr>
      </w:r>
    </w:p>
    <w:tbl>
      <w:tblPr>
        <w:tblStyle w:val="Table1"/>
        <w:tblW w:w="8760.0" w:type="dxa"/>
        <w:jc w:val="left"/>
        <w:tblInd w:w="600.0" w:type="dxa"/>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2920"/>
        <w:gridCol w:w="2920"/>
        <w:gridCol w:w="2920"/>
        <w:tblGridChange w:id="0">
          <w:tblGrid>
            <w:gridCol w:w="2920"/>
            <w:gridCol w:w="2920"/>
            <w:gridCol w:w="2920"/>
          </w:tblGrid>
        </w:tblGridChange>
      </w:tblGrid>
      <w:tr>
        <w:trPr>
          <w:cantSplit w:val="0"/>
          <w:tblHeader w:val="1"/>
        </w:trPr>
        <w:tc>
          <w:tcPr>
            <w:tcBorders>
              <w:top w:color="dadce0" w:space="0" w:sz="6" w:val="single"/>
              <w:left w:color="dadce0" w:space="0" w:sz="6" w:val="single"/>
              <w:bottom w:color="dadce0" w:space="0" w:sz="6" w:val="single"/>
              <w:right w:color="dadce0" w:space="0" w:sz="6" w:val="single"/>
            </w:tcBorders>
            <w:shd w:fill="f8f9fa" w:val="clear"/>
            <w:tcMar>
              <w:top w:w="150.0" w:type="dxa"/>
              <w:left w:w="180.0" w:type="dxa"/>
              <w:bottom w:w="150.0" w:type="dxa"/>
              <w:right w:w="180.0" w:type="dxa"/>
            </w:tcMar>
          </w:tcPr>
          <w:p w:rsidR="00000000" w:rsidDel="00000000" w:rsidP="00000000" w:rsidRDefault="00000000" w:rsidRPr="00000000" w14:paraId="00000024">
            <w:pPr>
              <w:spacing w:after="150" w:before="150" w:lineRule="auto"/>
              <w:ind w:left="0" w:right="0" w:firstLine="0"/>
              <w:rPr/>
            </w:pPr>
            <w:r w:rsidDel="00000000" w:rsidR="00000000" w:rsidRPr="00000000">
              <w:rPr>
                <w:rtl w:val="0"/>
              </w:rPr>
              <w:t xml:space="preserve">Operation</w:t>
            </w:r>
          </w:p>
        </w:tc>
        <w:tc>
          <w:tcPr>
            <w:tcBorders>
              <w:top w:color="dadce0" w:space="0" w:sz="6" w:val="single"/>
              <w:left w:color="dadce0" w:space="0" w:sz="6" w:val="single"/>
              <w:bottom w:color="dadce0" w:space="0" w:sz="6" w:val="single"/>
              <w:right w:color="dadce0" w:space="0" w:sz="6" w:val="single"/>
            </w:tcBorders>
            <w:shd w:fill="f8f9fa" w:val="clear"/>
            <w:tcMar>
              <w:top w:w="150.0" w:type="dxa"/>
              <w:left w:w="180.0" w:type="dxa"/>
              <w:bottom w:w="150.0" w:type="dxa"/>
              <w:right w:w="180.0" w:type="dxa"/>
            </w:tcMar>
          </w:tcPr>
          <w:p w:rsidR="00000000" w:rsidDel="00000000" w:rsidP="00000000" w:rsidRDefault="00000000" w:rsidRPr="00000000" w14:paraId="00000025">
            <w:pPr>
              <w:spacing w:after="150" w:before="150" w:lineRule="auto"/>
              <w:ind w:left="0" w:right="0" w:firstLine="0"/>
              <w:rPr/>
            </w:pPr>
            <w:r w:rsidDel="00000000" w:rsidR="00000000" w:rsidRPr="00000000">
              <w:rPr>
                <w:rtl w:val="0"/>
              </w:rPr>
              <w:t xml:space="preserve">Target Latency SLA</w:t>
            </w:r>
          </w:p>
        </w:tc>
        <w:tc>
          <w:tcPr>
            <w:tcBorders>
              <w:top w:color="dadce0" w:space="0" w:sz="6" w:val="single"/>
              <w:left w:color="dadce0" w:space="0" w:sz="6" w:val="single"/>
              <w:bottom w:color="dadce0" w:space="0" w:sz="6" w:val="single"/>
              <w:right w:color="dadce0" w:space="0" w:sz="6" w:val="single"/>
            </w:tcBorders>
            <w:shd w:fill="f8f9fa" w:val="clear"/>
            <w:tcMar>
              <w:top w:w="150.0" w:type="dxa"/>
              <w:left w:w="180.0" w:type="dxa"/>
              <w:bottom w:w="150.0" w:type="dxa"/>
              <w:right w:w="180.0" w:type="dxa"/>
            </w:tcMar>
          </w:tcPr>
          <w:p w:rsidR="00000000" w:rsidDel="00000000" w:rsidP="00000000" w:rsidRDefault="00000000" w:rsidRPr="00000000" w14:paraId="00000026">
            <w:pPr>
              <w:spacing w:after="150" w:before="150" w:lineRule="auto"/>
              <w:ind w:left="0" w:right="0" w:firstLine="0"/>
              <w:rPr/>
            </w:pPr>
            <w:r w:rsidDel="00000000" w:rsidR="00000000" w:rsidRPr="00000000">
              <w:rPr>
                <w:rtl w:val="0"/>
              </w:rPr>
              <w:t xml:space="preserve">Hard Timeout</w:t>
            </w:r>
          </w:p>
        </w:tc>
      </w:tr>
      <w:tr>
        <w:trPr>
          <w:cantSplit w:val="0"/>
          <w:tblHeader w:val="0"/>
        </w:trPr>
        <w:tc>
          <w:tcPr>
            <w:tcBorders>
              <w:top w:color="dadce0" w:space="0" w:sz="6" w:val="single"/>
              <w:left w:color="dadce0" w:space="0" w:sz="6" w:val="single"/>
              <w:bottom w:color="dadce0" w:space="0" w:sz="6" w:val="single"/>
              <w:right w:color="dadce0" w:space="0" w:sz="6" w:val="single"/>
            </w:tcBorders>
            <w:tcMar>
              <w:top w:w="150.0" w:type="dxa"/>
              <w:left w:w="180.0" w:type="dxa"/>
              <w:bottom w:w="150.0" w:type="dxa"/>
              <w:right w:w="180.0" w:type="dxa"/>
            </w:tcMar>
          </w:tcPr>
          <w:p w:rsidR="00000000" w:rsidDel="00000000" w:rsidP="00000000" w:rsidRDefault="00000000" w:rsidRPr="00000000" w14:paraId="00000027">
            <w:pPr>
              <w:spacing w:after="150" w:before="150" w:lineRule="auto"/>
              <w:ind w:left="0" w:right="0" w:firstLine="0"/>
              <w:rPr/>
            </w:pPr>
            <w:r w:rsidDel="00000000" w:rsidR="00000000" w:rsidRPr="00000000">
              <w:rPr>
                <w:rtl w:val="0"/>
              </w:rPr>
              <w:t xml:space="preserve">Document Parsing &amp; Sanitization</w:t>
            </w:r>
          </w:p>
        </w:tc>
        <w:tc>
          <w:tcPr>
            <w:tcBorders>
              <w:top w:color="dadce0" w:space="0" w:sz="6" w:val="single"/>
              <w:left w:color="dadce0" w:space="0" w:sz="6" w:val="single"/>
              <w:bottom w:color="dadce0" w:space="0" w:sz="6" w:val="single"/>
              <w:right w:color="dadce0" w:space="0" w:sz="6" w:val="single"/>
            </w:tcBorders>
            <w:tcMar>
              <w:top w:w="150.0" w:type="dxa"/>
              <w:left w:w="180.0" w:type="dxa"/>
              <w:bottom w:w="150.0" w:type="dxa"/>
              <w:right w:w="180.0" w:type="dxa"/>
            </w:tcMar>
          </w:tcPr>
          <w:p w:rsidR="00000000" w:rsidDel="00000000" w:rsidP="00000000" w:rsidRDefault="00000000" w:rsidRPr="00000000" w14:paraId="00000028">
            <w:pPr>
              <w:spacing w:after="150" w:before="150" w:lineRule="auto"/>
              <w:ind w:left="0" w:right="0" w:firstLine="0"/>
              <w:rPr/>
            </w:pPr>
            <w:r w:rsidDel="00000000" w:rsidR="00000000" w:rsidRPr="00000000">
              <w:rPr>
                <w:rtl w:val="0"/>
              </w:rPr>
              <w:t xml:space="preserve">&lt; 200 ms / 1,000 words</w:t>
            </w:r>
          </w:p>
        </w:tc>
        <w:tc>
          <w:tcPr>
            <w:tcBorders>
              <w:top w:color="dadce0" w:space="0" w:sz="6" w:val="single"/>
              <w:left w:color="dadce0" w:space="0" w:sz="6" w:val="single"/>
              <w:bottom w:color="dadce0" w:space="0" w:sz="6" w:val="single"/>
              <w:right w:color="dadce0" w:space="0" w:sz="6" w:val="single"/>
            </w:tcBorders>
            <w:tcMar>
              <w:top w:w="150.0" w:type="dxa"/>
              <w:left w:w="180.0" w:type="dxa"/>
              <w:bottom w:w="150.0" w:type="dxa"/>
              <w:right w:w="180.0" w:type="dxa"/>
            </w:tcMar>
          </w:tcPr>
          <w:p w:rsidR="00000000" w:rsidDel="00000000" w:rsidP="00000000" w:rsidRDefault="00000000" w:rsidRPr="00000000" w14:paraId="00000029">
            <w:pPr>
              <w:spacing w:after="150" w:before="150" w:lineRule="auto"/>
              <w:ind w:left="0" w:right="0" w:firstLine="0"/>
              <w:rPr/>
            </w:pPr>
            <w:r w:rsidDel="00000000" w:rsidR="00000000" w:rsidRPr="00000000">
              <w:rPr>
                <w:rtl w:val="0"/>
              </w:rPr>
              <w:t xml:space="preserve">2.0 s</w:t>
            </w:r>
          </w:p>
        </w:tc>
      </w:tr>
      <w:tr>
        <w:trPr>
          <w:cantSplit w:val="0"/>
          <w:tblHeader w:val="0"/>
        </w:trPr>
        <w:tc>
          <w:tcPr>
            <w:tcBorders>
              <w:top w:color="dadce0" w:space="0" w:sz="6" w:val="single"/>
              <w:left w:color="dadce0" w:space="0" w:sz="6" w:val="single"/>
              <w:bottom w:color="dadce0" w:space="0" w:sz="6" w:val="single"/>
              <w:right w:color="dadce0" w:space="0" w:sz="6" w:val="single"/>
            </w:tcBorders>
            <w:tcMar>
              <w:top w:w="150.0" w:type="dxa"/>
              <w:left w:w="180.0" w:type="dxa"/>
              <w:bottom w:w="150.0" w:type="dxa"/>
              <w:right w:w="180.0" w:type="dxa"/>
            </w:tcMar>
          </w:tcPr>
          <w:p w:rsidR="00000000" w:rsidDel="00000000" w:rsidP="00000000" w:rsidRDefault="00000000" w:rsidRPr="00000000" w14:paraId="0000002A">
            <w:pPr>
              <w:spacing w:after="150" w:before="150" w:lineRule="auto"/>
              <w:ind w:left="0" w:right="0" w:firstLine="0"/>
              <w:rPr/>
            </w:pPr>
            <w:r w:rsidDel="00000000" w:rsidR="00000000" w:rsidRPr="00000000">
              <w:rPr>
                <w:rtl w:val="0"/>
              </w:rPr>
              <w:t xml:space="preserve">Intrinsic Stylometry Sliding Window</w:t>
            </w:r>
          </w:p>
        </w:tc>
        <w:tc>
          <w:tcPr>
            <w:tcBorders>
              <w:top w:color="dadce0" w:space="0" w:sz="6" w:val="single"/>
              <w:left w:color="dadce0" w:space="0" w:sz="6" w:val="single"/>
              <w:bottom w:color="dadce0" w:space="0" w:sz="6" w:val="single"/>
              <w:right w:color="dadce0" w:space="0" w:sz="6" w:val="single"/>
            </w:tcBorders>
            <w:tcMar>
              <w:top w:w="150.0" w:type="dxa"/>
              <w:left w:w="180.0" w:type="dxa"/>
              <w:bottom w:w="150.0" w:type="dxa"/>
              <w:right w:w="180.0" w:type="dxa"/>
            </w:tcMar>
          </w:tcPr>
          <w:p w:rsidR="00000000" w:rsidDel="00000000" w:rsidP="00000000" w:rsidRDefault="00000000" w:rsidRPr="00000000" w14:paraId="0000002B">
            <w:pPr>
              <w:spacing w:after="150" w:before="150" w:lineRule="auto"/>
              <w:ind w:left="0" w:right="0" w:firstLine="0"/>
              <w:rPr/>
            </w:pPr>
            <w:r w:rsidDel="00000000" w:rsidR="00000000" w:rsidRPr="00000000">
              <w:rPr>
                <w:rtl w:val="0"/>
              </w:rPr>
              <w:t xml:space="preserve">&lt; 100 ms / 1,000 words</w:t>
            </w:r>
          </w:p>
        </w:tc>
        <w:tc>
          <w:tcPr>
            <w:tcBorders>
              <w:top w:color="dadce0" w:space="0" w:sz="6" w:val="single"/>
              <w:left w:color="dadce0" w:space="0" w:sz="6" w:val="single"/>
              <w:bottom w:color="dadce0" w:space="0" w:sz="6" w:val="single"/>
              <w:right w:color="dadce0" w:space="0" w:sz="6" w:val="single"/>
            </w:tcBorders>
            <w:tcMar>
              <w:top w:w="150.0" w:type="dxa"/>
              <w:left w:w="180.0" w:type="dxa"/>
              <w:bottom w:w="150.0" w:type="dxa"/>
              <w:right w:w="180.0" w:type="dxa"/>
            </w:tcMar>
          </w:tcPr>
          <w:p w:rsidR="00000000" w:rsidDel="00000000" w:rsidP="00000000" w:rsidRDefault="00000000" w:rsidRPr="00000000" w14:paraId="0000002C">
            <w:pPr>
              <w:spacing w:after="150" w:before="150" w:lineRule="auto"/>
              <w:ind w:left="0" w:right="0" w:firstLine="0"/>
              <w:rPr/>
            </w:pPr>
            <w:r w:rsidDel="00000000" w:rsidR="00000000" w:rsidRPr="00000000">
              <w:rPr>
                <w:rtl w:val="0"/>
              </w:rPr>
              <w:t xml:space="preserve">1.0 s</w:t>
            </w:r>
          </w:p>
        </w:tc>
      </w:tr>
      <w:tr>
        <w:trPr>
          <w:cantSplit w:val="0"/>
          <w:tblHeader w:val="0"/>
        </w:trPr>
        <w:tc>
          <w:tcPr>
            <w:tcBorders>
              <w:top w:color="dadce0" w:space="0" w:sz="6" w:val="single"/>
              <w:left w:color="dadce0" w:space="0" w:sz="6" w:val="single"/>
              <w:bottom w:color="dadce0" w:space="0" w:sz="6" w:val="single"/>
              <w:right w:color="dadce0" w:space="0" w:sz="6" w:val="single"/>
            </w:tcBorders>
            <w:tcMar>
              <w:top w:w="150.0" w:type="dxa"/>
              <w:left w:w="180.0" w:type="dxa"/>
              <w:bottom w:w="150.0" w:type="dxa"/>
              <w:right w:w="180.0" w:type="dxa"/>
            </w:tcMar>
          </w:tcPr>
          <w:p w:rsidR="00000000" w:rsidDel="00000000" w:rsidP="00000000" w:rsidRDefault="00000000" w:rsidRPr="00000000" w14:paraId="0000002D">
            <w:pPr>
              <w:spacing w:after="150" w:before="150" w:lineRule="auto"/>
              <w:ind w:left="0" w:right="0" w:firstLine="0"/>
              <w:rPr/>
            </w:pPr>
            <w:r w:rsidDel="00000000" w:rsidR="00000000" w:rsidRPr="00000000">
              <w:rPr>
                <w:rtl w:val="0"/>
              </w:rPr>
              <w:t xml:space="preserve">Query Formulation &amp; Deduplication</w:t>
            </w:r>
          </w:p>
        </w:tc>
        <w:tc>
          <w:tcPr>
            <w:tcBorders>
              <w:top w:color="dadce0" w:space="0" w:sz="6" w:val="single"/>
              <w:left w:color="dadce0" w:space="0" w:sz="6" w:val="single"/>
              <w:bottom w:color="dadce0" w:space="0" w:sz="6" w:val="single"/>
              <w:right w:color="dadce0" w:space="0" w:sz="6" w:val="single"/>
            </w:tcBorders>
            <w:tcMar>
              <w:top w:w="150.0" w:type="dxa"/>
              <w:left w:w="180.0" w:type="dxa"/>
              <w:bottom w:w="150.0" w:type="dxa"/>
              <w:right w:w="180.0" w:type="dxa"/>
            </w:tcMar>
          </w:tcPr>
          <w:p w:rsidR="00000000" w:rsidDel="00000000" w:rsidP="00000000" w:rsidRDefault="00000000" w:rsidRPr="00000000" w14:paraId="0000002E">
            <w:pPr>
              <w:spacing w:after="150" w:before="150" w:lineRule="auto"/>
              <w:ind w:left="0" w:right="0" w:firstLine="0"/>
              <w:rPr/>
            </w:pPr>
            <w:r w:rsidDel="00000000" w:rsidR="00000000" w:rsidRPr="00000000">
              <w:rPr>
                <w:rtl w:val="0"/>
              </w:rPr>
              <w:t xml:space="preserve">&lt; 50 ms / document</w:t>
            </w:r>
          </w:p>
        </w:tc>
        <w:tc>
          <w:tcPr>
            <w:tcBorders>
              <w:top w:color="dadce0" w:space="0" w:sz="6" w:val="single"/>
              <w:left w:color="dadce0" w:space="0" w:sz="6" w:val="single"/>
              <w:bottom w:color="dadce0" w:space="0" w:sz="6" w:val="single"/>
              <w:right w:color="dadce0" w:space="0" w:sz="6" w:val="single"/>
            </w:tcBorders>
            <w:tcMar>
              <w:top w:w="150.0" w:type="dxa"/>
              <w:left w:w="180.0" w:type="dxa"/>
              <w:bottom w:w="150.0" w:type="dxa"/>
              <w:right w:w="180.0" w:type="dxa"/>
            </w:tcMar>
          </w:tcPr>
          <w:p w:rsidR="00000000" w:rsidDel="00000000" w:rsidP="00000000" w:rsidRDefault="00000000" w:rsidRPr="00000000" w14:paraId="0000002F">
            <w:pPr>
              <w:spacing w:after="150" w:before="150" w:lineRule="auto"/>
              <w:ind w:left="0" w:right="0" w:firstLine="0"/>
              <w:rPr/>
            </w:pPr>
            <w:r w:rsidDel="00000000" w:rsidR="00000000" w:rsidRPr="00000000">
              <w:rPr>
                <w:rtl w:val="0"/>
              </w:rPr>
              <w:t xml:space="preserve">500 ms</w:t>
            </w:r>
          </w:p>
        </w:tc>
      </w:tr>
      <w:tr>
        <w:trPr>
          <w:cantSplit w:val="0"/>
          <w:tblHeader w:val="0"/>
        </w:trPr>
        <w:tc>
          <w:tcPr>
            <w:tcBorders>
              <w:top w:color="dadce0" w:space="0" w:sz="6" w:val="single"/>
              <w:left w:color="dadce0" w:space="0" w:sz="6" w:val="single"/>
              <w:bottom w:color="dadce0" w:space="0" w:sz="6" w:val="single"/>
              <w:right w:color="dadce0" w:space="0" w:sz="6" w:val="single"/>
            </w:tcBorders>
            <w:tcMar>
              <w:top w:w="150.0" w:type="dxa"/>
              <w:left w:w="180.0" w:type="dxa"/>
              <w:bottom w:w="150.0" w:type="dxa"/>
              <w:right w:w="180.0" w:type="dxa"/>
            </w:tcMar>
          </w:tcPr>
          <w:p w:rsidR="00000000" w:rsidDel="00000000" w:rsidP="00000000" w:rsidRDefault="00000000" w:rsidRPr="00000000" w14:paraId="00000030">
            <w:pPr>
              <w:spacing w:after="150" w:before="150" w:lineRule="auto"/>
              <w:ind w:left="0" w:right="0" w:firstLine="0"/>
              <w:rPr/>
            </w:pPr>
            <w:r w:rsidDel="00000000" w:rsidR="00000000" w:rsidRPr="00000000">
              <w:rPr>
                <w:rtl w:val="0"/>
              </w:rPr>
              <w:t xml:space="preserve">Search API Call &amp; Snippet Triage</w:t>
            </w:r>
          </w:p>
        </w:tc>
        <w:tc>
          <w:tcPr>
            <w:tcBorders>
              <w:top w:color="dadce0" w:space="0" w:sz="6" w:val="single"/>
              <w:left w:color="dadce0" w:space="0" w:sz="6" w:val="single"/>
              <w:bottom w:color="dadce0" w:space="0" w:sz="6" w:val="single"/>
              <w:right w:color="dadce0" w:space="0" w:sz="6" w:val="single"/>
            </w:tcBorders>
            <w:tcMar>
              <w:top w:w="150.0" w:type="dxa"/>
              <w:left w:w="180.0" w:type="dxa"/>
              <w:bottom w:w="150.0" w:type="dxa"/>
              <w:right w:w="180.0" w:type="dxa"/>
            </w:tcMar>
          </w:tcPr>
          <w:p w:rsidR="00000000" w:rsidDel="00000000" w:rsidP="00000000" w:rsidRDefault="00000000" w:rsidRPr="00000000" w14:paraId="00000031">
            <w:pPr>
              <w:spacing w:after="150" w:before="150" w:lineRule="auto"/>
              <w:ind w:left="0" w:right="0" w:firstLine="0"/>
              <w:rPr/>
            </w:pPr>
            <w:r w:rsidDel="00000000" w:rsidR="00000000" w:rsidRPr="00000000">
              <w:rPr>
                <w:rtl w:val="0"/>
              </w:rPr>
              <w:t xml:space="preserve">&lt; 800 ms / query</w:t>
            </w:r>
          </w:p>
        </w:tc>
        <w:tc>
          <w:tcPr>
            <w:tcBorders>
              <w:top w:color="dadce0" w:space="0" w:sz="6" w:val="single"/>
              <w:left w:color="dadce0" w:space="0" w:sz="6" w:val="single"/>
              <w:bottom w:color="dadce0" w:space="0" w:sz="6" w:val="single"/>
              <w:right w:color="dadce0" w:space="0" w:sz="6" w:val="single"/>
            </w:tcBorders>
            <w:tcMar>
              <w:top w:w="150.0" w:type="dxa"/>
              <w:left w:w="180.0" w:type="dxa"/>
              <w:bottom w:w="150.0" w:type="dxa"/>
              <w:right w:w="180.0" w:type="dxa"/>
            </w:tcMar>
          </w:tcPr>
          <w:p w:rsidR="00000000" w:rsidDel="00000000" w:rsidP="00000000" w:rsidRDefault="00000000" w:rsidRPr="00000000" w14:paraId="00000032">
            <w:pPr>
              <w:spacing w:after="150" w:before="150" w:lineRule="auto"/>
              <w:ind w:left="0" w:right="0" w:firstLine="0"/>
              <w:rPr/>
            </w:pPr>
            <w:r w:rsidDel="00000000" w:rsidR="00000000" w:rsidRPr="00000000">
              <w:rPr>
                <w:rtl w:val="0"/>
              </w:rPr>
              <w:t xml:space="preserve">3.0 s</w:t>
            </w:r>
          </w:p>
        </w:tc>
      </w:tr>
      <w:tr>
        <w:trPr>
          <w:cantSplit w:val="0"/>
          <w:tblHeader w:val="0"/>
        </w:trPr>
        <w:tc>
          <w:tcPr>
            <w:tcBorders>
              <w:top w:color="dadce0" w:space="0" w:sz="6" w:val="single"/>
              <w:left w:color="dadce0" w:space="0" w:sz="6" w:val="single"/>
              <w:bottom w:color="dadce0" w:space="0" w:sz="6" w:val="single"/>
              <w:right w:color="dadce0" w:space="0" w:sz="6" w:val="single"/>
            </w:tcBorders>
            <w:tcMar>
              <w:top w:w="150.0" w:type="dxa"/>
              <w:left w:w="180.0" w:type="dxa"/>
              <w:bottom w:w="150.0" w:type="dxa"/>
              <w:right w:w="180.0" w:type="dxa"/>
            </w:tcMar>
          </w:tcPr>
          <w:p w:rsidR="00000000" w:rsidDel="00000000" w:rsidP="00000000" w:rsidRDefault="00000000" w:rsidRPr="00000000" w14:paraId="00000033">
            <w:pPr>
              <w:spacing w:after="150" w:before="150" w:lineRule="auto"/>
              <w:ind w:left="0" w:right="0" w:firstLine="0"/>
              <w:rPr/>
            </w:pPr>
            <w:r w:rsidDel="00000000" w:rsidR="00000000" w:rsidRPr="00000000">
              <w:rPr>
                <w:rtl w:val="0"/>
              </w:rPr>
              <w:t xml:space="preserve">Candidate Ephemeral Fetch &amp; Extraction</w:t>
            </w:r>
          </w:p>
        </w:tc>
        <w:tc>
          <w:tcPr>
            <w:tcBorders>
              <w:top w:color="dadce0" w:space="0" w:sz="6" w:val="single"/>
              <w:left w:color="dadce0" w:space="0" w:sz="6" w:val="single"/>
              <w:bottom w:color="dadce0" w:space="0" w:sz="6" w:val="single"/>
              <w:right w:color="dadce0" w:space="0" w:sz="6" w:val="single"/>
            </w:tcBorders>
            <w:tcMar>
              <w:top w:w="150.0" w:type="dxa"/>
              <w:left w:w="180.0" w:type="dxa"/>
              <w:bottom w:w="150.0" w:type="dxa"/>
              <w:right w:w="180.0" w:type="dxa"/>
            </w:tcMar>
          </w:tcPr>
          <w:p w:rsidR="00000000" w:rsidDel="00000000" w:rsidP="00000000" w:rsidRDefault="00000000" w:rsidRPr="00000000" w14:paraId="00000034">
            <w:pPr>
              <w:spacing w:after="150" w:before="150" w:lineRule="auto"/>
              <w:ind w:left="0" w:right="0" w:firstLine="0"/>
              <w:rPr/>
            </w:pPr>
            <w:r w:rsidDel="00000000" w:rsidR="00000000" w:rsidRPr="00000000">
              <w:rPr>
                <w:rtl w:val="0"/>
              </w:rPr>
              <w:t xml:space="preserve">&lt; 1.5 s / URL</w:t>
            </w:r>
          </w:p>
        </w:tc>
        <w:tc>
          <w:tcPr>
            <w:tcBorders>
              <w:top w:color="dadce0" w:space="0" w:sz="6" w:val="single"/>
              <w:left w:color="dadce0" w:space="0" w:sz="6" w:val="single"/>
              <w:bottom w:color="dadce0" w:space="0" w:sz="6" w:val="single"/>
              <w:right w:color="dadce0" w:space="0" w:sz="6" w:val="single"/>
            </w:tcBorders>
            <w:tcMar>
              <w:top w:w="150.0" w:type="dxa"/>
              <w:left w:w="180.0" w:type="dxa"/>
              <w:bottom w:w="150.0" w:type="dxa"/>
              <w:right w:w="180.0" w:type="dxa"/>
            </w:tcMar>
          </w:tcPr>
          <w:p w:rsidR="00000000" w:rsidDel="00000000" w:rsidP="00000000" w:rsidRDefault="00000000" w:rsidRPr="00000000" w14:paraId="00000035">
            <w:pPr>
              <w:spacing w:after="150" w:before="150" w:lineRule="auto"/>
              <w:ind w:left="0" w:right="0" w:firstLine="0"/>
              <w:rPr/>
            </w:pPr>
            <w:r w:rsidDel="00000000" w:rsidR="00000000" w:rsidRPr="00000000">
              <w:rPr>
                <w:rtl w:val="0"/>
              </w:rPr>
              <w:t xml:space="preserve">5.0 s</w:t>
            </w:r>
          </w:p>
        </w:tc>
      </w:tr>
      <w:tr>
        <w:trPr>
          <w:cantSplit w:val="0"/>
          <w:tblHeader w:val="0"/>
        </w:trPr>
        <w:tc>
          <w:tcPr>
            <w:tcBorders>
              <w:top w:color="dadce0" w:space="0" w:sz="6" w:val="single"/>
              <w:left w:color="dadce0" w:space="0" w:sz="6" w:val="single"/>
              <w:bottom w:color="dadce0" w:space="0" w:sz="6" w:val="single"/>
              <w:right w:color="dadce0" w:space="0" w:sz="6" w:val="single"/>
            </w:tcBorders>
            <w:tcMar>
              <w:top w:w="150.0" w:type="dxa"/>
              <w:left w:w="180.0" w:type="dxa"/>
              <w:bottom w:w="150.0" w:type="dxa"/>
              <w:right w:w="180.0" w:type="dxa"/>
            </w:tcMar>
          </w:tcPr>
          <w:p w:rsidR="00000000" w:rsidDel="00000000" w:rsidP="00000000" w:rsidRDefault="00000000" w:rsidRPr="00000000" w14:paraId="00000036">
            <w:pPr>
              <w:spacing w:after="150" w:before="150" w:lineRule="auto"/>
              <w:ind w:left="0" w:right="0" w:firstLine="0"/>
              <w:rPr/>
            </w:pPr>
            <w:r w:rsidDel="00000000" w:rsidR="00000000" w:rsidRPr="00000000">
              <w:rPr>
                <w:rtl w:val="0"/>
              </w:rPr>
              <w:t xml:space="preserve">Tier 1 Winnowing Alignment</w:t>
            </w:r>
          </w:p>
        </w:tc>
        <w:tc>
          <w:tcPr>
            <w:tcBorders>
              <w:top w:color="dadce0" w:space="0" w:sz="6" w:val="single"/>
              <w:left w:color="dadce0" w:space="0" w:sz="6" w:val="single"/>
              <w:bottom w:color="dadce0" w:space="0" w:sz="6" w:val="single"/>
              <w:right w:color="dadce0" w:space="0" w:sz="6" w:val="single"/>
            </w:tcBorders>
            <w:tcMar>
              <w:top w:w="150.0" w:type="dxa"/>
              <w:left w:w="180.0" w:type="dxa"/>
              <w:bottom w:w="150.0" w:type="dxa"/>
              <w:right w:w="180.0" w:type="dxa"/>
            </w:tcMar>
          </w:tcPr>
          <w:p w:rsidR="00000000" w:rsidDel="00000000" w:rsidP="00000000" w:rsidRDefault="00000000" w:rsidRPr="00000000" w14:paraId="00000037">
            <w:pPr>
              <w:spacing w:after="150" w:before="150" w:lineRule="auto"/>
              <w:ind w:left="0" w:right="0" w:firstLine="0"/>
              <w:rPr/>
            </w:pPr>
            <w:r w:rsidDel="00000000" w:rsidR="00000000" w:rsidRPr="00000000">
              <w:rPr>
                <w:rtl w:val="0"/>
              </w:rPr>
              <w:t xml:space="preserve">&lt; 50 ms / candidate</w:t>
            </w:r>
          </w:p>
        </w:tc>
        <w:tc>
          <w:tcPr>
            <w:tcBorders>
              <w:top w:color="dadce0" w:space="0" w:sz="6" w:val="single"/>
              <w:left w:color="dadce0" w:space="0" w:sz="6" w:val="single"/>
              <w:bottom w:color="dadce0" w:space="0" w:sz="6" w:val="single"/>
              <w:right w:color="dadce0" w:space="0" w:sz="6" w:val="single"/>
            </w:tcBorders>
            <w:tcMar>
              <w:top w:w="150.0" w:type="dxa"/>
              <w:left w:w="180.0" w:type="dxa"/>
              <w:bottom w:w="150.0" w:type="dxa"/>
              <w:right w:w="180.0" w:type="dxa"/>
            </w:tcMar>
          </w:tcPr>
          <w:p w:rsidR="00000000" w:rsidDel="00000000" w:rsidP="00000000" w:rsidRDefault="00000000" w:rsidRPr="00000000" w14:paraId="00000038">
            <w:pPr>
              <w:spacing w:after="150" w:before="150" w:lineRule="auto"/>
              <w:ind w:left="0" w:right="0" w:firstLine="0"/>
              <w:rPr/>
            </w:pPr>
            <w:r w:rsidDel="00000000" w:rsidR="00000000" w:rsidRPr="00000000">
              <w:rPr>
                <w:rtl w:val="0"/>
              </w:rPr>
              <w:t xml:space="preserve">500 ms</w:t>
            </w:r>
          </w:p>
        </w:tc>
      </w:tr>
      <w:tr>
        <w:trPr>
          <w:cantSplit w:val="0"/>
          <w:tblHeader w:val="0"/>
        </w:trPr>
        <w:tc>
          <w:tcPr>
            <w:tcBorders>
              <w:top w:color="dadce0" w:space="0" w:sz="6" w:val="single"/>
              <w:left w:color="dadce0" w:space="0" w:sz="6" w:val="single"/>
              <w:bottom w:color="dadce0" w:space="0" w:sz="6" w:val="single"/>
              <w:right w:color="dadce0" w:space="0" w:sz="6" w:val="single"/>
            </w:tcBorders>
            <w:tcMar>
              <w:top w:w="150.0" w:type="dxa"/>
              <w:left w:w="180.0" w:type="dxa"/>
              <w:bottom w:w="150.0" w:type="dxa"/>
              <w:right w:w="180.0" w:type="dxa"/>
            </w:tcMar>
          </w:tcPr>
          <w:p w:rsidR="00000000" w:rsidDel="00000000" w:rsidP="00000000" w:rsidRDefault="00000000" w:rsidRPr="00000000" w14:paraId="00000039">
            <w:pPr>
              <w:spacing w:after="150" w:before="150" w:lineRule="auto"/>
              <w:ind w:left="0" w:right="0" w:firstLine="0"/>
              <w:rPr/>
            </w:pPr>
            <w:r w:rsidDel="00000000" w:rsidR="00000000" w:rsidRPr="00000000">
              <w:rPr>
                <w:rtl w:val="0"/>
              </w:rPr>
              <w:t xml:space="preserve">Tier 2 Dense Semantic Alignment</w:t>
            </w:r>
          </w:p>
        </w:tc>
        <w:tc>
          <w:tcPr>
            <w:tcBorders>
              <w:top w:color="dadce0" w:space="0" w:sz="6" w:val="single"/>
              <w:left w:color="dadce0" w:space="0" w:sz="6" w:val="single"/>
              <w:bottom w:color="dadce0" w:space="0" w:sz="6" w:val="single"/>
              <w:right w:color="dadce0" w:space="0" w:sz="6" w:val="single"/>
            </w:tcBorders>
            <w:tcMar>
              <w:top w:w="150.0" w:type="dxa"/>
              <w:left w:w="180.0" w:type="dxa"/>
              <w:bottom w:w="150.0" w:type="dxa"/>
              <w:right w:w="180.0" w:type="dxa"/>
            </w:tcMar>
          </w:tcPr>
          <w:p w:rsidR="00000000" w:rsidDel="00000000" w:rsidP="00000000" w:rsidRDefault="00000000" w:rsidRPr="00000000" w14:paraId="0000003A">
            <w:pPr>
              <w:spacing w:after="150" w:before="150" w:lineRule="auto"/>
              <w:ind w:left="0" w:right="0" w:firstLine="0"/>
              <w:rPr/>
            </w:pPr>
            <w:r w:rsidDel="00000000" w:rsidR="00000000" w:rsidRPr="00000000">
              <w:rPr>
                <w:rtl w:val="0"/>
              </w:rPr>
              <w:t xml:space="preserve">&lt; 300 ms / 50 sentences</w:t>
            </w:r>
          </w:p>
        </w:tc>
        <w:tc>
          <w:tcPr>
            <w:tcBorders>
              <w:top w:color="dadce0" w:space="0" w:sz="6" w:val="single"/>
              <w:left w:color="dadce0" w:space="0" w:sz="6" w:val="single"/>
              <w:bottom w:color="dadce0" w:space="0" w:sz="6" w:val="single"/>
              <w:right w:color="dadce0" w:space="0" w:sz="6" w:val="single"/>
            </w:tcBorders>
            <w:tcMar>
              <w:top w:w="150.0" w:type="dxa"/>
              <w:left w:w="180.0" w:type="dxa"/>
              <w:bottom w:w="150.0" w:type="dxa"/>
              <w:right w:w="180.0" w:type="dxa"/>
            </w:tcMar>
          </w:tcPr>
          <w:p w:rsidR="00000000" w:rsidDel="00000000" w:rsidP="00000000" w:rsidRDefault="00000000" w:rsidRPr="00000000" w14:paraId="0000003B">
            <w:pPr>
              <w:spacing w:after="150" w:before="150" w:lineRule="auto"/>
              <w:ind w:left="0" w:right="0" w:firstLine="0"/>
              <w:rPr/>
            </w:pPr>
            <w:r w:rsidDel="00000000" w:rsidR="00000000" w:rsidRPr="00000000">
              <w:rPr>
                <w:rtl w:val="0"/>
              </w:rPr>
              <w:t xml:space="preserve">2.0 s</w:t>
            </w:r>
          </w:p>
        </w:tc>
      </w:tr>
      <w:tr>
        <w:trPr>
          <w:cantSplit w:val="0"/>
          <w:tblHeader w:val="0"/>
        </w:trPr>
        <w:tc>
          <w:tcPr>
            <w:tcBorders>
              <w:top w:color="dadce0" w:space="0" w:sz="6" w:val="single"/>
              <w:left w:color="dadce0" w:space="0" w:sz="6" w:val="single"/>
              <w:bottom w:color="dadce0" w:space="0" w:sz="6" w:val="single"/>
              <w:right w:color="dadce0" w:space="0" w:sz="6" w:val="single"/>
            </w:tcBorders>
            <w:tcMar>
              <w:top w:w="150.0" w:type="dxa"/>
              <w:left w:w="180.0" w:type="dxa"/>
              <w:bottom w:w="150.0" w:type="dxa"/>
              <w:right w:w="180.0" w:type="dxa"/>
            </w:tcMar>
          </w:tcPr>
          <w:p w:rsidR="00000000" w:rsidDel="00000000" w:rsidP="00000000" w:rsidRDefault="00000000" w:rsidRPr="00000000" w14:paraId="0000003C">
            <w:pPr>
              <w:spacing w:after="150" w:before="150" w:lineRule="auto"/>
              <w:ind w:left="0" w:right="0" w:firstLine="0"/>
              <w:rPr/>
            </w:pPr>
            <w:r w:rsidDel="00000000" w:rsidR="00000000" w:rsidRPr="00000000">
              <w:rPr>
                <w:rtl w:val="0"/>
              </w:rPr>
              <w:t xml:space="preserve">Micro Scan (50 - 300 words)</w:t>
            </w:r>
          </w:p>
        </w:tc>
        <w:tc>
          <w:tcPr>
            <w:tcBorders>
              <w:top w:color="dadce0" w:space="0" w:sz="6" w:val="single"/>
              <w:left w:color="dadce0" w:space="0" w:sz="6" w:val="single"/>
              <w:bottom w:color="dadce0" w:space="0" w:sz="6" w:val="single"/>
              <w:right w:color="dadce0" w:space="0" w:sz="6" w:val="single"/>
            </w:tcBorders>
            <w:tcMar>
              <w:top w:w="150.0" w:type="dxa"/>
              <w:left w:w="180.0" w:type="dxa"/>
              <w:bottom w:w="150.0" w:type="dxa"/>
              <w:right w:w="180.0" w:type="dxa"/>
            </w:tcMar>
          </w:tcPr>
          <w:p w:rsidR="00000000" w:rsidDel="00000000" w:rsidP="00000000" w:rsidRDefault="00000000" w:rsidRPr="00000000" w14:paraId="0000003D">
            <w:pPr>
              <w:spacing w:after="150" w:before="150" w:lineRule="auto"/>
              <w:ind w:left="0" w:right="0" w:firstLine="0"/>
              <w:rPr/>
            </w:pPr>
            <w:r w:rsidDel="00000000" w:rsidR="00000000" w:rsidRPr="00000000">
              <w:rPr>
                <w:rtl w:val="0"/>
              </w:rPr>
              <w:t xml:space="preserve">&lt; 3.0 s</w:t>
            </w:r>
          </w:p>
        </w:tc>
        <w:tc>
          <w:tcPr>
            <w:tcBorders>
              <w:top w:color="dadce0" w:space="0" w:sz="6" w:val="single"/>
              <w:left w:color="dadce0" w:space="0" w:sz="6" w:val="single"/>
              <w:bottom w:color="dadce0" w:space="0" w:sz="6" w:val="single"/>
              <w:right w:color="dadce0" w:space="0" w:sz="6" w:val="single"/>
            </w:tcBorders>
            <w:tcMar>
              <w:top w:w="150.0" w:type="dxa"/>
              <w:left w:w="180.0" w:type="dxa"/>
              <w:bottom w:w="150.0" w:type="dxa"/>
              <w:right w:w="180.0" w:type="dxa"/>
            </w:tcMar>
          </w:tcPr>
          <w:p w:rsidR="00000000" w:rsidDel="00000000" w:rsidP="00000000" w:rsidRDefault="00000000" w:rsidRPr="00000000" w14:paraId="0000003E">
            <w:pPr>
              <w:spacing w:after="150" w:before="150" w:lineRule="auto"/>
              <w:ind w:left="0" w:right="0" w:firstLine="0"/>
              <w:rPr/>
            </w:pPr>
            <w:r w:rsidDel="00000000" w:rsidR="00000000" w:rsidRPr="00000000">
              <w:rPr>
                <w:rtl w:val="0"/>
              </w:rPr>
              <w:t xml:space="preserve">6.0 s</w:t>
            </w:r>
          </w:p>
        </w:tc>
      </w:tr>
      <w:tr>
        <w:trPr>
          <w:cantSplit w:val="0"/>
          <w:tblHeader w:val="0"/>
        </w:trPr>
        <w:tc>
          <w:tcPr>
            <w:tcBorders>
              <w:top w:color="dadce0" w:space="0" w:sz="6" w:val="single"/>
              <w:left w:color="dadce0" w:space="0" w:sz="6" w:val="single"/>
              <w:bottom w:color="dadce0" w:space="0" w:sz="6" w:val="single"/>
              <w:right w:color="dadce0" w:space="0" w:sz="6" w:val="single"/>
            </w:tcBorders>
            <w:tcMar>
              <w:top w:w="150.0" w:type="dxa"/>
              <w:left w:w="180.0" w:type="dxa"/>
              <w:bottom w:w="150.0" w:type="dxa"/>
              <w:right w:w="180.0" w:type="dxa"/>
            </w:tcMar>
          </w:tcPr>
          <w:p w:rsidR="00000000" w:rsidDel="00000000" w:rsidP="00000000" w:rsidRDefault="00000000" w:rsidRPr="00000000" w14:paraId="0000003F">
            <w:pPr>
              <w:spacing w:after="150" w:before="150" w:lineRule="auto"/>
              <w:ind w:left="0" w:right="0" w:firstLine="0"/>
              <w:rPr/>
            </w:pPr>
            <w:r w:rsidDel="00000000" w:rsidR="00000000" w:rsidRPr="00000000">
              <w:rPr>
                <w:rtl w:val="0"/>
              </w:rPr>
              <w:t xml:space="preserve">Standard Scan (301 - 1,500 words)</w:t>
            </w:r>
          </w:p>
        </w:tc>
        <w:tc>
          <w:tcPr>
            <w:tcBorders>
              <w:top w:color="dadce0" w:space="0" w:sz="6" w:val="single"/>
              <w:left w:color="dadce0" w:space="0" w:sz="6" w:val="single"/>
              <w:bottom w:color="dadce0" w:space="0" w:sz="6" w:val="single"/>
              <w:right w:color="dadce0" w:space="0" w:sz="6" w:val="single"/>
            </w:tcBorders>
            <w:tcMar>
              <w:top w:w="150.0" w:type="dxa"/>
              <w:left w:w="180.0" w:type="dxa"/>
              <w:bottom w:w="150.0" w:type="dxa"/>
              <w:right w:w="180.0" w:type="dxa"/>
            </w:tcMar>
          </w:tcPr>
          <w:p w:rsidR="00000000" w:rsidDel="00000000" w:rsidP="00000000" w:rsidRDefault="00000000" w:rsidRPr="00000000" w14:paraId="00000040">
            <w:pPr>
              <w:spacing w:after="150" w:before="150" w:lineRule="auto"/>
              <w:ind w:left="0" w:right="0" w:firstLine="0"/>
              <w:rPr/>
            </w:pPr>
            <w:r w:rsidDel="00000000" w:rsidR="00000000" w:rsidRPr="00000000">
              <w:rPr>
                <w:rtl w:val="0"/>
              </w:rPr>
              <w:t xml:space="preserve">&lt; 8.0 s</w:t>
            </w:r>
          </w:p>
        </w:tc>
        <w:tc>
          <w:tcPr>
            <w:tcBorders>
              <w:top w:color="dadce0" w:space="0" w:sz="6" w:val="single"/>
              <w:left w:color="dadce0" w:space="0" w:sz="6" w:val="single"/>
              <w:bottom w:color="dadce0" w:space="0" w:sz="6" w:val="single"/>
              <w:right w:color="dadce0" w:space="0" w:sz="6" w:val="single"/>
            </w:tcBorders>
            <w:tcMar>
              <w:top w:w="150.0" w:type="dxa"/>
              <w:left w:w="180.0" w:type="dxa"/>
              <w:bottom w:w="150.0" w:type="dxa"/>
              <w:right w:w="180.0" w:type="dxa"/>
            </w:tcMar>
          </w:tcPr>
          <w:p w:rsidR="00000000" w:rsidDel="00000000" w:rsidP="00000000" w:rsidRDefault="00000000" w:rsidRPr="00000000" w14:paraId="00000041">
            <w:pPr>
              <w:spacing w:after="150" w:before="150" w:lineRule="auto"/>
              <w:ind w:left="0" w:right="0" w:firstLine="0"/>
              <w:rPr/>
            </w:pPr>
            <w:r w:rsidDel="00000000" w:rsidR="00000000" w:rsidRPr="00000000">
              <w:rPr>
                <w:rtl w:val="0"/>
              </w:rPr>
              <w:t xml:space="preserve">15.0 s</w:t>
            </w:r>
          </w:p>
        </w:tc>
      </w:tr>
      <w:tr>
        <w:trPr>
          <w:cantSplit w:val="0"/>
          <w:tblHeader w:val="0"/>
        </w:trPr>
        <w:tc>
          <w:tcPr>
            <w:tcBorders>
              <w:top w:color="dadce0" w:space="0" w:sz="6" w:val="single"/>
              <w:left w:color="dadce0" w:space="0" w:sz="6" w:val="single"/>
              <w:bottom w:color="dadce0" w:space="0" w:sz="6" w:val="single"/>
              <w:right w:color="dadce0" w:space="0" w:sz="6" w:val="single"/>
            </w:tcBorders>
            <w:tcMar>
              <w:top w:w="150.0" w:type="dxa"/>
              <w:left w:w="180.0" w:type="dxa"/>
              <w:bottom w:w="150.0" w:type="dxa"/>
              <w:right w:w="180.0" w:type="dxa"/>
            </w:tcMar>
          </w:tcPr>
          <w:p w:rsidR="00000000" w:rsidDel="00000000" w:rsidP="00000000" w:rsidRDefault="00000000" w:rsidRPr="00000000" w14:paraId="00000042">
            <w:pPr>
              <w:spacing w:after="150" w:before="150" w:lineRule="auto"/>
              <w:ind w:left="0" w:right="0" w:firstLine="0"/>
              <w:rPr/>
            </w:pPr>
            <w:r w:rsidDel="00000000" w:rsidR="00000000" w:rsidRPr="00000000">
              <w:rPr>
                <w:rtl w:val="0"/>
              </w:rPr>
              <w:t xml:space="preserve">Long Scan (1,501 - 5,000 words)</w:t>
            </w:r>
          </w:p>
        </w:tc>
        <w:tc>
          <w:tcPr>
            <w:tcBorders>
              <w:top w:color="dadce0" w:space="0" w:sz="6" w:val="single"/>
              <w:left w:color="dadce0" w:space="0" w:sz="6" w:val="single"/>
              <w:bottom w:color="dadce0" w:space="0" w:sz="6" w:val="single"/>
              <w:right w:color="dadce0" w:space="0" w:sz="6" w:val="single"/>
            </w:tcBorders>
            <w:tcMar>
              <w:top w:w="150.0" w:type="dxa"/>
              <w:left w:w="180.0" w:type="dxa"/>
              <w:bottom w:w="150.0" w:type="dxa"/>
              <w:right w:w="180.0" w:type="dxa"/>
            </w:tcMar>
          </w:tcPr>
          <w:p w:rsidR="00000000" w:rsidDel="00000000" w:rsidP="00000000" w:rsidRDefault="00000000" w:rsidRPr="00000000" w14:paraId="00000043">
            <w:pPr>
              <w:spacing w:after="150" w:before="150" w:lineRule="auto"/>
              <w:ind w:left="0" w:right="0" w:firstLine="0"/>
              <w:rPr/>
            </w:pPr>
            <w:r w:rsidDel="00000000" w:rsidR="00000000" w:rsidRPr="00000000">
              <w:rPr>
                <w:rtl w:val="0"/>
              </w:rPr>
              <w:t xml:space="preserve">&lt; 18.0 s</w:t>
            </w:r>
          </w:p>
        </w:tc>
        <w:tc>
          <w:tcPr>
            <w:tcBorders>
              <w:top w:color="dadce0" w:space="0" w:sz="6" w:val="single"/>
              <w:left w:color="dadce0" w:space="0" w:sz="6" w:val="single"/>
              <w:bottom w:color="dadce0" w:space="0" w:sz="6" w:val="single"/>
              <w:right w:color="dadce0" w:space="0" w:sz="6" w:val="single"/>
            </w:tcBorders>
            <w:tcMar>
              <w:top w:w="150.0" w:type="dxa"/>
              <w:left w:w="180.0" w:type="dxa"/>
              <w:bottom w:w="150.0" w:type="dxa"/>
              <w:right w:w="180.0" w:type="dxa"/>
            </w:tcMar>
          </w:tcPr>
          <w:p w:rsidR="00000000" w:rsidDel="00000000" w:rsidP="00000000" w:rsidRDefault="00000000" w:rsidRPr="00000000" w14:paraId="00000044">
            <w:pPr>
              <w:spacing w:after="150" w:before="150" w:lineRule="auto"/>
              <w:ind w:left="0" w:right="0" w:firstLine="0"/>
              <w:rPr/>
            </w:pPr>
            <w:r w:rsidDel="00000000" w:rsidR="00000000" w:rsidRPr="00000000">
              <w:rPr>
                <w:rtl w:val="0"/>
              </w:rPr>
              <w:t xml:space="preserve">35.0 s</w:t>
            </w:r>
          </w:p>
        </w:tc>
      </w:tr>
      <w:tr>
        <w:trPr>
          <w:cantSplit w:val="0"/>
          <w:tblHeader w:val="0"/>
        </w:trPr>
        <w:tc>
          <w:tcPr>
            <w:tcBorders>
              <w:top w:color="dadce0" w:space="0" w:sz="6" w:val="single"/>
              <w:left w:color="dadce0" w:space="0" w:sz="6" w:val="single"/>
              <w:bottom w:color="dadce0" w:space="0" w:sz="6" w:val="single"/>
              <w:right w:color="dadce0" w:space="0" w:sz="6" w:val="single"/>
            </w:tcBorders>
            <w:tcMar>
              <w:top w:w="150.0" w:type="dxa"/>
              <w:left w:w="180.0" w:type="dxa"/>
              <w:bottom w:w="150.0" w:type="dxa"/>
              <w:right w:w="180.0" w:type="dxa"/>
            </w:tcMar>
          </w:tcPr>
          <w:p w:rsidR="00000000" w:rsidDel="00000000" w:rsidP="00000000" w:rsidRDefault="00000000" w:rsidRPr="00000000" w14:paraId="00000045">
            <w:pPr>
              <w:spacing w:after="150" w:before="150" w:lineRule="auto"/>
              <w:ind w:left="0" w:right="0" w:firstLine="0"/>
              <w:rPr/>
            </w:pPr>
            <w:r w:rsidDel="00000000" w:rsidR="00000000" w:rsidRPr="00000000">
              <w:rPr>
                <w:rtl w:val="0"/>
              </w:rPr>
              <w:t xml:space="preserve">Incremental Revision Scan (&lt;= 20% modified)</w:t>
            </w:r>
          </w:p>
        </w:tc>
        <w:tc>
          <w:tcPr>
            <w:tcBorders>
              <w:top w:color="dadce0" w:space="0" w:sz="6" w:val="single"/>
              <w:left w:color="dadce0" w:space="0" w:sz="6" w:val="single"/>
              <w:bottom w:color="dadce0" w:space="0" w:sz="6" w:val="single"/>
              <w:right w:color="dadce0" w:space="0" w:sz="6" w:val="single"/>
            </w:tcBorders>
            <w:tcMar>
              <w:top w:w="150.0" w:type="dxa"/>
              <w:left w:w="180.0" w:type="dxa"/>
              <w:bottom w:w="150.0" w:type="dxa"/>
              <w:right w:w="180.0" w:type="dxa"/>
            </w:tcMar>
          </w:tcPr>
          <w:p w:rsidR="00000000" w:rsidDel="00000000" w:rsidP="00000000" w:rsidRDefault="00000000" w:rsidRPr="00000000" w14:paraId="00000046">
            <w:pPr>
              <w:spacing w:after="150" w:before="150" w:lineRule="auto"/>
              <w:ind w:left="0" w:right="0" w:firstLine="0"/>
              <w:rPr/>
            </w:pPr>
            <w:r w:rsidDel="00000000" w:rsidR="00000000" w:rsidRPr="00000000">
              <w:rPr>
                <w:rtl w:val="0"/>
              </w:rPr>
              <w:t xml:space="preserve">&lt; 2.0 s</w:t>
            </w:r>
          </w:p>
        </w:tc>
        <w:tc>
          <w:tcPr>
            <w:tcBorders>
              <w:top w:color="dadce0" w:space="0" w:sz="6" w:val="single"/>
              <w:left w:color="dadce0" w:space="0" w:sz="6" w:val="single"/>
              <w:bottom w:color="dadce0" w:space="0" w:sz="6" w:val="single"/>
              <w:right w:color="dadce0" w:space="0" w:sz="6" w:val="single"/>
            </w:tcBorders>
            <w:tcMar>
              <w:top w:w="150.0" w:type="dxa"/>
              <w:left w:w="180.0" w:type="dxa"/>
              <w:bottom w:w="150.0" w:type="dxa"/>
              <w:right w:w="180.0" w:type="dxa"/>
            </w:tcMar>
          </w:tcPr>
          <w:p w:rsidR="00000000" w:rsidDel="00000000" w:rsidP="00000000" w:rsidRDefault="00000000" w:rsidRPr="00000000" w14:paraId="00000047">
            <w:pPr>
              <w:spacing w:after="150" w:before="150" w:lineRule="auto"/>
              <w:ind w:left="0" w:right="0" w:firstLine="0"/>
              <w:rPr/>
            </w:pPr>
            <w:r w:rsidDel="00000000" w:rsidR="00000000" w:rsidRPr="00000000">
              <w:rPr>
                <w:rtl w:val="0"/>
              </w:rPr>
              <w:t xml:space="preserve">5.0 s</w:t>
            </w:r>
          </w:p>
        </w:tc>
      </w:tr>
    </w:tbl>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Error Handling, Circuit Breakers &amp; Signal Recovery</w:t>
      </w:r>
    </w:p>
    <w:p w:rsidR="00000000" w:rsidDel="00000000" w:rsidP="00000000" w:rsidRDefault="00000000" w:rsidRPr="00000000" w14:paraId="00000049">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pict>
          <v:rect style="width:0.0pt;height:1.5pt" o:hr="t" o:hrstd="t" o:hralign="center" fillcolor="#A0A0A0" stroked="f"/>
        </w:pict>
      </w:r>
      <w:r w:rsidDel="00000000" w:rsidR="00000000" w:rsidRPr="00000000">
        <w:rPr>
          <w:b w:val="1"/>
          <w:bCs w:val="1"/>
          <w:rtl w:val="0"/>
        </w:rPr>
        <w:t xml:space="preserve">HTTP &amp; Scraper Failures:</w:t>
      </w:r>
      <w:r w:rsidDel="00000000" w:rsidR="00000000" w:rsidRPr="00000000">
        <w:rPr>
          <w:rtl w:val="0"/>
        </w:rPr>
        <w:t xml:space="preserve"> External candidate web pages will fail (403 Bot Detection, 404 Not Found, 500 Server Error, SSL Handshake Failures). The ephemeral scraper must catch all network exceptions silently, log a debug warning, skip the offending candidate, and continue alignment on remaining sources. Never crash the pipeline on scraper errors.</w:t>
      </w:r>
    </w:p>
    <w:p w:rsidR="00000000" w:rsidDel="00000000" w:rsidP="00000000" w:rsidRDefault="00000000" w:rsidRPr="00000000" w14:paraId="0000004A">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SERP Quota Circuit Breaker:</w:t>
      </w:r>
      <w:r w:rsidDel="00000000" w:rsidR="00000000" w:rsidRPr="00000000">
        <w:rPr>
          <w:rFonts w:ascii="Nova Mono" w:cs="Nova Mono" w:eastAsia="Nova Mono" w:hAnsi="Nova Mono"/>
          <w:rtl w:val="0"/>
        </w:rPr>
        <w:t xml:space="preserve"> If a search provider returns HTTP 429 or quota exceeded, the dispatcher must trip a circuit breaker, fail over to the secondary provider (e.g. Bing → Brave → OpenAlex), and notify the report of downgraded coverage.</w:t>
      </w:r>
    </w:p>
    <w:p w:rsidR="00000000" w:rsidDel="00000000" w:rsidP="00000000" w:rsidRDefault="00000000" w:rsidRPr="00000000" w14:paraId="0000004B">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Signal Handling &amp; Graceful Shutdown:</w:t>
      </w:r>
      <w:r w:rsidDel="00000000" w:rsidR="00000000" w:rsidRPr="00000000">
        <w:rPr>
          <w:rtl w:val="0"/>
        </w:rPr>
        <w:t xml:space="preserve"> Catch SIGINT and SIGTERM. Complete in-flight SQLite commits, checkpoint the WAL file, flush logs to systemd journald, and release all memory-mapped file handles cleanly.</w:t>
      </w:r>
    </w:p>
    <w:sectPr>
      <w:pgSz w:h="15840" w:w="14220" w:orient="portrait"/>
      <w:pgMar w:bottom="360" w:top="360" w:left="360" w:right="36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02124"/>
        <w:sz w:val="22"/>
        <w:szCs w:val="22"/>
      </w:rPr>
    </w:rPrDefault>
    <w:pPrDefault>
      <w:pPr>
        <w:widowControl w:val="0"/>
        <w:spacing w:after="360" w:before="360" w:line="384.0000057220459" w:lineRule="auto"/>
        <w:ind w:left="360" w:right="36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before="240" w:lineRule="auto"/>
      <w:ind w:left="0" w:right="0" w:firstLine="0"/>
    </w:pPr>
    <w:rPr>
      <w:b w:val="1"/>
      <w:bCs w:val="1"/>
      <w:i w:val="0"/>
      <w:iCs w:val="0"/>
      <w:color w:val="1a73e8"/>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315" w:before="420" w:lineRule="auto"/>
      <w:ind w:left="0" w:right="0" w:firstLine="0"/>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300" w:lineRule="auto"/>
      <w:ind w:left="0" w:right="0" w:firstLine="0"/>
    </w:pPr>
    <w:rPr>
      <w:b w:val="1"/>
      <w:bCs w:val="1"/>
      <w:i w:val="0"/>
      <w:iCs w:val="0"/>
      <w:color w:val="3c4043"/>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