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3D6B4F"/>
          <w:sz w:val="56"/>
          <w:szCs w:val="56"/>
        </w:rPr>
        <w:t xml:space="preserve">FREYJA LABS</w:t>
      </w:r>
    </w:p>
    <w:p>
      <w:pPr>
        <w:spacing w:after="600"/>
        <w:jc w:val="center"/>
      </w:pPr>
      <w:r>
        <w:rPr>
          <w:rFonts w:ascii="Georgia" w:cs="Georgia" w:eastAsia="Georgia" w:hAnsi="Georgia"/>
          <w:i/>
          <w:iCs/>
          <w:color w:val="6B5B3E"/>
          <w:sz w:val="28"/>
          <w:szCs w:val="28"/>
        </w:rPr>
        <w:t xml:space="preserve">Where growth begins.</w:t>
      </w:r>
    </w:p>
    <w:p>
      <w:pPr>
        <w:pBdr>
          <w:top w:val="single" w:color="C8C0B4" w:sz="2" w:space="8"/>
        </w:pBdr>
        <w:spacing w:after="60"/>
        <w:jc w:val="center"/>
      </w:pPr>
      <w:r>
        <w:rPr>
          <w:rFonts w:ascii="Arial" w:cs="Arial" w:eastAsia="Arial" w:hAnsi="Arial"/>
          <w:color w:val="5A5A5A"/>
          <w:sz w:val="24"/>
          <w:szCs w:val="24"/>
        </w:rPr>
        <w:t xml:space="preserve">Business Plan &amp; Brand Brief</w:t>
      </w:r>
    </w:p>
    <w:p>
      <w:pPr>
        <w:spacing w:after="60"/>
        <w:jc w:val="center"/>
      </w:pPr>
      <w:r>
        <w:rPr>
          <w:rFonts w:ascii="Arial" w:cs="Arial" w:eastAsia="Arial" w:hAnsi="Arial"/>
          <w:color w:val="5A5A5A"/>
          <w:sz w:val="20"/>
          <w:szCs w:val="20"/>
        </w:rPr>
        <w:t xml:space="preserve">Freyja Laboratory LLC  •  DBA Freyja Labs</w:t>
      </w:r>
    </w:p>
    <w:p>
      <w:pPr>
        <w:spacing w:after="60"/>
        <w:jc w:val="center"/>
      </w:pPr>
      <w:r>
        <w:rPr>
          <w:rFonts w:ascii="Arial" w:cs="Arial" w:eastAsia="Arial" w:hAnsi="Arial"/>
          <w:color w:val="3D6B4F"/>
          <w:sz w:val="20"/>
          <w:szCs w:val="20"/>
        </w:rPr>
        <w:t xml:space="preserve">freyjalabs.com</w:t>
      </w:r>
    </w:p>
    <w:p>
      <w:pPr>
        <w:spacing w:after="200"/>
        <w:jc w:val="center"/>
      </w:pPr>
      <w:r>
        <w:rPr>
          <w:rFonts w:ascii="Arial" w:cs="Arial" w:eastAsia="Arial" w:hAnsi="Arial"/>
          <w:color w:val="5A5A5A"/>
          <w:sz w:val="18"/>
          <w:szCs w:val="18"/>
        </w:rPr>
        <w:t xml:space="preserve">May 2026  •  CONFIDENTIAL</w:t>
      </w:r>
    </w:p>
    <w:p>
      <w:pPr>
        <w:spacing w:after="60"/>
        <w:jc w:val="center"/>
      </w:pPr>
      <w:r>
        <w:rPr>
          <w:rFonts w:ascii="Arial" w:cs="Arial" w:eastAsia="Arial" w:hAnsi="Arial"/>
          <w:color w:val="1C1C1C"/>
          <w:sz w:val="22"/>
          <w:szCs w:val="22"/>
        </w:rPr>
        <w:t xml:space="preserve">Mike Borowczak, Ph.D.  &amp;  Andrea C. Burrows Borowczak, Ph.D.</w:t>
      </w:r>
    </w:p>
    <w:p>
      <w:pPr>
        <w:jc w:val="center"/>
      </w:pPr>
      <w:r>
        <w:rPr>
          <w:rFonts w:ascii="Arial" w:cs="Arial" w:eastAsia="Arial" w:hAnsi="Arial"/>
          <w:color w:val="5A5A5A"/>
          <w:sz w:val="20"/>
          <w:szCs w:val="20"/>
        </w:rPr>
        <w:t xml:space="preserve">Co-Founders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3D6B4F"/>
          <w:sz w:val="32"/>
          <w:szCs w:val="32"/>
        </w:rPr>
        <w:t xml:space="preserve">1. Executive Summary</w:t>
      </w:r>
    </w:p>
    <w:p>
      <w:pPr>
        <w:spacing w:after="160" w:line="276"/>
      </w:pPr>
      <w:r>
        <w:rPr>
          <w:rFonts w:ascii="Arial" w:cs="Arial" w:eastAsia="Arial" w:hAnsi="Arial"/>
          <w:color w:val="1C1C1C"/>
          <w:sz w:val="22"/>
          <w:szCs w:val="22"/>
        </w:rPr>
        <w:t xml:space="preserve">Freyja Labs is a national consulting firm founded by Mike Borowczak, Ph.D. and Andrea C. Burrows Borowczak, Ph.D. The firm delivers customized, hands-on professional development (PD) to school districts, schools, non-traditional education spaces, and corporate partners. Every engagement is tailored to the audience and built on a "small tell, lots of do" philosophy—participants build, test, and iterate rather than passively receive information.</w:t>
      </w:r>
    </w:p>
    <w:p>
      <w:pPr>
        <w:spacing w:after="160" w:line="276"/>
      </w:pPr>
      <w:r>
        <w:rPr>
          <w:rFonts w:ascii="Arial" w:cs="Arial" w:eastAsia="Arial" w:hAnsi="Arial"/>
          <w:color w:val="1C1C1C"/>
          <w:sz w:val="22"/>
          <w:szCs w:val="22"/>
        </w:rPr>
        <w:t xml:space="preserve">The firm draws on a combined research portfolio of over $8M in funded projects, decades of K–12 teacher preparation experience, peer-reviewed pedagogical frameworks, and deep technical expertise spanning hardware security, AI/ML, computer science education, and integrated STEM. Freyja Labs operates at the intersection of forward-looking technical content and evidence-based pedagogy, serving clients who need more than generic PD.</w:t>
      </w:r>
    </w:p>
    <w:p>
      <w:pPr>
        <w:pStyle w:val="Heading2"/>
        <w:spacing w:after="160" w:before="280"/>
      </w:pPr>
      <w:r>
        <w:rPr>
          <w:rFonts w:ascii="Georgia" w:cs="Georgia" w:eastAsia="Georgia" w:hAnsi="Georgia"/>
          <w:b/>
          <w:bCs/>
          <w:color w:val="6B5B3E"/>
          <w:sz w:val="26"/>
          <w:szCs w:val="26"/>
        </w:rPr>
        <w:t xml:space="preserve">Core Differentiators</w:t>
      </w:r>
    </w:p>
    <w:p>
      <w:pPr>
        <w:pStyle w:val="ListParagraph"/>
        <w:numPr>
          <w:ilvl w:val="0"/>
          <w:numId w:val="2"/>
        </w:numPr>
        <w:spacing w:after="80" w:line="276"/>
      </w:pPr>
      <w:r>
        <w:rPr>
          <w:rFonts w:ascii="Arial" w:cs="Arial" w:eastAsia="Arial" w:hAnsi="Arial"/>
          <w:b/>
          <w:bCs/>
          <w:color w:val="1C1C1C"/>
          <w:sz w:val="22"/>
          <w:szCs w:val="22"/>
        </w:rPr>
        <w:t xml:space="preserve">Tailored to the audience. </w:t>
      </w:r>
      <w:r>
        <w:rPr>
          <w:rFonts w:ascii="Arial" w:cs="Arial" w:eastAsia="Arial" w:hAnsi="Arial"/>
          <w:color w:val="1C1C1C"/>
          <w:sz w:val="22"/>
          <w:szCs w:val="22"/>
        </w:rPr>
        <w:t xml:space="preserve">No engagement is generic. Freyja Labs designs every session around the specific context, student population, standards alignment, and capacity of the participants.</w:t>
      </w:r>
    </w:p>
    <w:p>
      <w:pPr>
        <w:pStyle w:val="ListParagraph"/>
        <w:numPr>
          <w:ilvl w:val="0"/>
          <w:numId w:val="2"/>
        </w:numPr>
        <w:spacing w:after="80" w:line="276"/>
      </w:pPr>
      <w:r>
        <w:rPr>
          <w:rFonts w:ascii="Arial" w:cs="Arial" w:eastAsia="Arial" w:hAnsi="Arial"/>
          <w:b/>
          <w:bCs/>
          <w:color w:val="1C1C1C"/>
          <w:sz w:val="22"/>
          <w:szCs w:val="22"/>
        </w:rPr>
        <w:t xml:space="preserve">Small tell, lots of do. </w:t>
      </w:r>
      <w:r>
        <w:rPr>
          <w:rFonts w:ascii="Arial" w:cs="Arial" w:eastAsia="Arial" w:hAnsi="Arial"/>
          <w:color w:val="1C1C1C"/>
          <w:sz w:val="22"/>
          <w:szCs w:val="22"/>
        </w:rPr>
        <w:t xml:space="preserve">Participants spend the majority of their time actively building, modeling, and applying—not listening. The ratio is intentional and non-negotiable.</w:t>
      </w:r>
    </w:p>
    <w:p>
      <w:pPr>
        <w:pStyle w:val="ListParagraph"/>
        <w:numPr>
          <w:ilvl w:val="0"/>
          <w:numId w:val="2"/>
        </w:numPr>
        <w:spacing w:after="80" w:line="276"/>
      </w:pPr>
      <w:r>
        <w:rPr>
          <w:rFonts w:ascii="Arial" w:cs="Arial" w:eastAsia="Arial" w:hAnsi="Arial"/>
          <w:b/>
          <w:bCs/>
          <w:color w:val="1C1C1C"/>
          <w:sz w:val="22"/>
          <w:szCs w:val="22"/>
        </w:rPr>
        <w:t xml:space="preserve">Research-grounded, not research-distant. </w:t>
      </w:r>
      <w:r>
        <w:rPr>
          <w:rFonts w:ascii="Arial" w:cs="Arial" w:eastAsia="Arial" w:hAnsi="Arial"/>
          <w:color w:val="1C1C1C"/>
          <w:sz w:val="22"/>
          <w:szCs w:val="22"/>
        </w:rPr>
        <w:t xml:space="preserve">Both founders are active researchers with current publications, funded projects, and ongoing involvement in curriculum development. The content is informed by what the evidence actually says.</w:t>
      </w:r>
    </w:p>
    <w:p>
      <w:pPr>
        <w:pStyle w:val="ListParagraph"/>
        <w:numPr>
          <w:ilvl w:val="0"/>
          <w:numId w:val="2"/>
        </w:numPr>
        <w:spacing w:after="80" w:line="276"/>
      </w:pPr>
      <w:r>
        <w:rPr>
          <w:rFonts w:ascii="Arial" w:cs="Arial" w:eastAsia="Arial" w:hAnsi="Arial"/>
          <w:b/>
          <w:bCs/>
          <w:color w:val="1C1C1C"/>
          <w:sz w:val="22"/>
          <w:szCs w:val="22"/>
        </w:rPr>
        <w:t xml:space="preserve">Ahead of the curve. </w:t>
      </w:r>
      <w:r>
        <w:rPr>
          <w:rFonts w:ascii="Arial" w:cs="Arial" w:eastAsia="Arial" w:hAnsi="Arial"/>
          <w:color w:val="1C1C1C"/>
          <w:sz w:val="22"/>
          <w:szCs w:val="22"/>
        </w:rPr>
        <w:t xml:space="preserve">Freyja Labs has been delivering CS integration, computational modeling, and AI literacy workshops years before they became policy mandates. Clients get access to the thinking that will matter next, not the thinking that mattered last year.</w:t>
      </w:r>
    </w:p>
    <w:p>
      <w:pPr>
        <w:pStyle w:val="Heading1"/>
        <w:spacing w:after="200" w:before="360"/>
      </w:pPr>
      <w:r>
        <w:rPr>
          <w:rFonts w:ascii="Georgia" w:cs="Georgia" w:eastAsia="Georgia" w:hAnsi="Georgia"/>
          <w:b/>
          <w:bCs/>
          <w:color w:val="3D6B4F"/>
          <w:sz w:val="32"/>
          <w:szCs w:val="32"/>
        </w:rPr>
        <w:t xml:space="preserve">2. Brand Identity</w:t>
      </w:r>
    </w:p>
    <w:p>
      <w:pPr>
        <w:pStyle w:val="Heading2"/>
        <w:spacing w:after="160" w:before="280"/>
      </w:pPr>
      <w:r>
        <w:rPr>
          <w:rFonts w:ascii="Georgia" w:cs="Georgia" w:eastAsia="Georgia" w:hAnsi="Georgia"/>
          <w:b/>
          <w:bCs/>
          <w:color w:val="6B5B3E"/>
          <w:sz w:val="26"/>
          <w:szCs w:val="26"/>
        </w:rPr>
        <w:t xml:space="preserve">Name &amp; Origin</w:t>
      </w:r>
    </w:p>
    <w:p>
      <w:pPr>
        <w:spacing w:after="160" w:line="276"/>
      </w:pPr>
      <w:r>
        <w:rPr>
          <w:rFonts w:ascii="Arial" w:cs="Arial" w:eastAsia="Arial" w:hAnsi="Arial"/>
          <w:color w:val="1C1C1C"/>
          <w:sz w:val="22"/>
          <w:szCs w:val="22"/>
        </w:rPr>
        <w:t xml:space="preserve">Freyja Laboratory LLC, operating as Freyja Labs. Freyja is the Norse goddess of wisdom, foresight, and transformation—a figure who bridges worlds and enables others to see further. "Labs" signals experimentation, active work, and a maker-oriented approach. Together, the name communicates wisdom applied through hands-on practice.</w:t>
      </w:r>
    </w:p>
    <w:p>
      <w:pPr>
        <w:pStyle w:val="Heading2"/>
        <w:spacing w:after="160" w:before="280"/>
      </w:pPr>
      <w:r>
        <w:rPr>
          <w:rFonts w:ascii="Georgia" w:cs="Georgia" w:eastAsia="Georgia" w:hAnsi="Georgia"/>
          <w:b/>
          <w:bCs/>
          <w:color w:val="6B5B3E"/>
          <w:sz w:val="26"/>
          <w:szCs w:val="26"/>
        </w:rPr>
        <w:t xml:space="preserve">Tagline</w:t>
      </w:r>
    </w:p>
    <w:p>
      <w:pPr>
        <w:spacing w:after="160" w:line="276"/>
      </w:pPr>
      <w:r>
        <w:rPr>
          <w:rFonts w:ascii="Georgia" w:cs="Georgia" w:eastAsia="Georgia" w:hAnsi="Georgia"/>
          <w:i/>
          <w:iCs/>
          <w:color w:val="3D6B4F"/>
          <w:sz w:val="24"/>
          <w:szCs w:val="24"/>
        </w:rPr>
        <w:t xml:space="preserve">Where growth begins.</w:t>
      </w:r>
    </w:p>
    <w:p>
      <w:pPr>
        <w:pStyle w:val="Heading2"/>
        <w:spacing w:after="160" w:before="280"/>
      </w:pPr>
      <w:r>
        <w:rPr>
          <w:rFonts w:ascii="Georgia" w:cs="Georgia" w:eastAsia="Georgia" w:hAnsi="Georgia"/>
          <w:b/>
          <w:bCs/>
          <w:color w:val="6B5B3E"/>
          <w:sz w:val="26"/>
          <w:szCs w:val="26"/>
        </w:rPr>
        <w:t xml:space="preserve">Brand Voice</w:t>
      </w:r>
    </w:p>
    <w:p>
      <w:pPr>
        <w:pStyle w:val="ListParagraph"/>
        <w:numPr>
          <w:ilvl w:val="0"/>
          <w:numId w:val="2"/>
        </w:numPr>
        <w:spacing w:after="80" w:line="276"/>
      </w:pPr>
      <w:r>
        <w:rPr>
          <w:rFonts w:ascii="Arial" w:cs="Arial" w:eastAsia="Arial" w:hAnsi="Arial"/>
          <w:color w:val="1C1C1C"/>
          <w:sz w:val="22"/>
          <w:szCs w:val="22"/>
        </w:rPr>
        <w:t xml:space="preserve">Direct, evidence-first, warm but not soft</w:t>
      </w:r>
    </w:p>
    <w:p>
      <w:pPr>
        <w:pStyle w:val="ListParagraph"/>
        <w:numPr>
          <w:ilvl w:val="0"/>
          <w:numId w:val="2"/>
        </w:numPr>
        <w:spacing w:after="80" w:line="276"/>
      </w:pPr>
      <w:r>
        <w:rPr>
          <w:rFonts w:ascii="Arial" w:cs="Arial" w:eastAsia="Arial" w:hAnsi="Arial"/>
          <w:color w:val="1C1C1C"/>
          <w:sz w:val="22"/>
          <w:szCs w:val="22"/>
        </w:rPr>
        <w:t xml:space="preserve">Confident without arrogance; the work speaks for itself</w:t>
      </w:r>
    </w:p>
    <w:p>
      <w:pPr>
        <w:pStyle w:val="ListParagraph"/>
        <w:numPr>
          <w:ilvl w:val="0"/>
          <w:numId w:val="2"/>
        </w:numPr>
        <w:spacing w:after="80" w:line="276"/>
      </w:pPr>
      <w:r>
        <w:rPr>
          <w:rFonts w:ascii="Arial" w:cs="Arial" w:eastAsia="Arial" w:hAnsi="Arial"/>
          <w:color w:val="1C1C1C"/>
          <w:sz w:val="22"/>
          <w:szCs w:val="22"/>
        </w:rPr>
        <w:t xml:space="preserve">Technical fluency paired with accessibility—can speak to superintendents and engineers in the same day</w:t>
      </w:r>
    </w:p>
    <w:p>
      <w:pPr>
        <w:pStyle w:val="ListParagraph"/>
        <w:numPr>
          <w:ilvl w:val="0"/>
          <w:numId w:val="2"/>
        </w:numPr>
        <w:spacing w:after="80" w:line="276"/>
      </w:pPr>
      <w:r>
        <w:rPr>
          <w:rFonts w:ascii="Arial" w:cs="Arial" w:eastAsia="Arial" w:hAnsi="Arial"/>
          <w:color w:val="1C1C1C"/>
          <w:sz w:val="22"/>
          <w:szCs w:val="22"/>
        </w:rPr>
        <w:t xml:space="preserve">No jargon for jargon’s sake; every term earns its place</w:t>
      </w:r>
    </w:p>
    <w:p>
      <w:pPr>
        <w:pStyle w:val="Heading2"/>
        <w:spacing w:after="160" w:before="280"/>
      </w:pPr>
      <w:r>
        <w:rPr>
          <w:rFonts w:ascii="Georgia" w:cs="Georgia" w:eastAsia="Georgia" w:hAnsi="Georgia"/>
          <w:b/>
          <w:bCs/>
          <w:color w:val="6B5B3E"/>
          <w:sz w:val="26"/>
          <w:szCs w:val="26"/>
        </w:rPr>
        <w:t xml:space="preserve">Visual Direction</w:t>
      </w:r>
    </w:p>
    <w:p>
      <w:pPr>
        <w:spacing w:after="160" w:line="276"/>
      </w:pPr>
      <w:r>
        <w:rPr>
          <w:rFonts w:ascii="Arial" w:cs="Arial" w:eastAsia="Arial" w:hAnsi="Arial"/>
          <w:color w:val="1C1C1C"/>
          <w:sz w:val="22"/>
          <w:szCs w:val="22"/>
        </w:rPr>
        <w:t xml:space="preserve">Warm academic: approachable, earthy, professional. The palette draws from natural materials—forest, clay, sand, aged paper—grounded in the physical world even when the content is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w:t>
            </w:r>
          </w:p>
        </w:tc>
        <w:tc>
          <w:tcPr>
            <w:tcW w:type="dxa" w:w="234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34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w:t>
            </w:r>
          </w:p>
        </w:tc>
        <w:tc>
          <w:tcPr>
            <w:tcW w:type="dxa" w:w="234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Primary</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Forest</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#3D6B4F</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Headings, CTAs, brand mark</w:t>
            </w:r>
          </w:p>
        </w:tc>
      </w:tr>
      <w:tr>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Secondary</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Earth</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#6B5B3E</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Subheadings, accents</w:t>
            </w:r>
          </w:p>
        </w:tc>
      </w:tr>
      <w:tr>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Neutral</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Warm Cream</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#FAF7F2</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Backgrounds</w:t>
            </w:r>
          </w:p>
        </w:tc>
      </w:tr>
      <w:tr>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Text</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Ink</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#1C1C1C</w:t>
            </w:r>
          </w:p>
        </w:tc>
        <w:tc>
          <w:tcPr>
            <w:tcW w:type="dxa" w:w="23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Body copy</w:t>
            </w:r>
          </w:p>
        </w:tc>
      </w:tr>
    </w:tbl>
    <w:p>
      <w:pPr>
        <w:spacing w:after="80"/>
      </w:pPr>
    </w:p>
    <w:p>
      <w:pPr>
        <w:spacing w:after="160" w:line="276"/>
      </w:pPr>
      <w:r>
        <w:rPr>
          <w:rFonts w:ascii="Arial" w:cs="Arial" w:eastAsia="Arial" w:hAnsi="Arial"/>
          <w:color w:val="1C1C1C"/>
          <w:sz w:val="22"/>
          <w:szCs w:val="22"/>
        </w:rPr>
        <w:t xml:space="preserve">Typography: Georgia (headings, brand mark) paired with a clean sans-serif (Inter or DM Sans) for body text. The serif/sans pairing communicates established authority alongside modern clarity.</w:t>
      </w:r>
    </w:p>
    <w:p>
      <w:pPr>
        <w:pStyle w:val="Heading1"/>
        <w:spacing w:after="200" w:before="360"/>
      </w:pPr>
      <w:r>
        <w:rPr>
          <w:rFonts w:ascii="Georgia" w:cs="Georgia" w:eastAsia="Georgia" w:hAnsi="Georgia"/>
          <w:b/>
          <w:bCs/>
          <w:color w:val="3D6B4F"/>
          <w:sz w:val="32"/>
          <w:szCs w:val="32"/>
        </w:rPr>
        <w:t xml:space="preserve">3. Founders</w:t>
      </w:r>
    </w:p>
    <w:p>
      <w:pPr>
        <w:pStyle w:val="Heading2"/>
        <w:spacing w:after="160" w:before="280"/>
      </w:pPr>
      <w:r>
        <w:rPr>
          <w:rFonts w:ascii="Georgia" w:cs="Georgia" w:eastAsia="Georgia" w:hAnsi="Georgia"/>
          <w:b/>
          <w:bCs/>
          <w:color w:val="6B5B3E"/>
          <w:sz w:val="26"/>
          <w:szCs w:val="26"/>
        </w:rPr>
        <w:t xml:space="preserve">Mike Borowczak, Ph.D.</w:t>
      </w:r>
    </w:p>
    <w:p>
      <w:pPr>
        <w:spacing w:after="160" w:line="276"/>
      </w:pPr>
      <w:r>
        <w:rPr>
          <w:rFonts w:ascii="Arial" w:cs="Arial" w:eastAsia="Arial" w:hAnsi="Arial"/>
          <w:color w:val="1C1C1C"/>
          <w:sz w:val="22"/>
          <w:szCs w:val="22"/>
        </w:rPr>
        <w:t xml:space="preserve">Hardware security researcher and engineering educator. Research spans side-channel analysis, adversarial machine learning, AI/ML security, and secure architecture design. Director of the DRACO Lab (Design of Resilient Architectures for Computing), with over $8M in funded research across federal, national laboratory, and industry sponsors. Editor-in-Chief of the ASEE Computers in Education Journal. Deep expertise in translating complex technical content for varied audiences—from elementary classrooms to Fortune 500 boardrooms.</w:t>
      </w:r>
    </w:p>
    <w:p>
      <w:pPr>
        <w:pStyle w:val="Heading2"/>
        <w:spacing w:after="160" w:before="280"/>
      </w:pPr>
      <w:r>
        <w:rPr>
          <w:rFonts w:ascii="Georgia" w:cs="Georgia" w:eastAsia="Georgia" w:hAnsi="Georgia"/>
          <w:b/>
          <w:bCs/>
          <w:color w:val="6B5B3E"/>
          <w:sz w:val="26"/>
          <w:szCs w:val="26"/>
        </w:rPr>
        <w:t xml:space="preserve">Andrea C. Burrows Borowczak, Ph.D.</w:t>
      </w:r>
    </w:p>
    <w:p>
      <w:pPr>
        <w:spacing w:after="160" w:line="276"/>
      </w:pPr>
      <w:r>
        <w:rPr>
          <w:rFonts w:ascii="Arial" w:cs="Arial" w:eastAsia="Arial" w:hAnsi="Arial"/>
          <w:color w:val="1C1C1C"/>
          <w:sz w:val="22"/>
          <w:szCs w:val="22"/>
        </w:rPr>
        <w:t xml:space="preserve">STEM education scholar and teacher preparation specialist. Director of the School of Teacher Education at a major research university. Research focuses on integrated STEM curriculum design, professional development effectiveness, and K–12 teacher capacity building. Principal investigator on multiple NSF-funded education research projects, including longitudinal studies of teacher preparation programs and STEM integration models. National reputation in K–12 professional development design and delivery.</w:t>
      </w:r>
    </w:p>
    <w:p>
      <w:pPr>
        <w:pStyle w:val="Heading2"/>
        <w:spacing w:after="160" w:before="280"/>
      </w:pPr>
      <w:r>
        <w:rPr>
          <w:rFonts w:ascii="Georgia" w:cs="Georgia" w:eastAsia="Georgia" w:hAnsi="Georgia"/>
          <w:b/>
          <w:bCs/>
          <w:color w:val="6B5B3E"/>
          <w:sz w:val="26"/>
          <w:szCs w:val="26"/>
        </w:rPr>
        <w:t xml:space="preserve">Combined Strengths</w:t>
      </w:r>
    </w:p>
    <w:p>
      <w:pPr>
        <w:spacing w:after="160" w:line="276"/>
      </w:pPr>
      <w:r>
        <w:rPr>
          <w:rFonts w:ascii="Arial" w:cs="Arial" w:eastAsia="Arial" w:hAnsi="Arial"/>
          <w:color w:val="1C1C1C"/>
          <w:sz w:val="22"/>
          <w:szCs w:val="22"/>
        </w:rPr>
        <w:t xml:space="preserve">The Borowczaks bring a rare dual perspective: deep technical fluency in computing, AI, and engineering (Mike) paired with rigorous pedagogical research and K–12 institutional knowledge (Andrea). This combination means Freyja Labs can design PD that is both technically current and pedagogically sound—something most consulting firms cannot credibly claim.</w:t>
      </w:r>
    </w:p>
    <w:p>
      <w:pPr>
        <w:pStyle w:val="Heading1"/>
        <w:spacing w:after="200" w:before="360"/>
      </w:pPr>
      <w:r>
        <w:rPr>
          <w:rFonts w:ascii="Georgia" w:cs="Georgia" w:eastAsia="Georgia" w:hAnsi="Georgia"/>
          <w:b/>
          <w:bCs/>
          <w:color w:val="3D6B4F"/>
          <w:sz w:val="32"/>
          <w:szCs w:val="32"/>
        </w:rPr>
        <w:t xml:space="preserve">4. Services</w:t>
      </w:r>
    </w:p>
    <w:p>
      <w:pPr>
        <w:pStyle w:val="Heading2"/>
        <w:spacing w:after="160" w:before="280"/>
      </w:pPr>
      <w:r>
        <w:rPr>
          <w:rFonts w:ascii="Georgia" w:cs="Georgia" w:eastAsia="Georgia" w:hAnsi="Georgia"/>
          <w:b/>
          <w:bCs/>
          <w:color w:val="6B5B3E"/>
          <w:sz w:val="26"/>
          <w:szCs w:val="26"/>
        </w:rPr>
        <w:t xml:space="preserve">4.1 Customized On-Site Professional Development</w:t>
      </w:r>
    </w:p>
    <w:p>
      <w:pPr>
        <w:spacing w:after="160" w:line="276"/>
      </w:pPr>
      <w:r>
        <w:rPr>
          <w:rFonts w:ascii="Arial" w:cs="Arial" w:eastAsia="Arial" w:hAnsi="Arial"/>
          <w:color w:val="1C1C1C"/>
          <w:sz w:val="22"/>
          <w:szCs w:val="22"/>
        </w:rPr>
        <w:t xml:space="preserve">Multi-day, hands-on workshops designed for a specific district, school, or organization. Every session begins with a needs assessment and is built from the ground up for the audience. Typical topics include STEM integration strategies, AI literacy for educators, computational thinking across disciplines, and curriculum alignment to emerging standards.</w:t>
      </w:r>
    </w:p>
    <w:p>
      <w:pPr>
        <w:spacing w:after="160" w:line="276"/>
      </w:pPr>
      <w:r>
        <w:rPr>
          <w:rFonts w:ascii="Arial" w:cs="Arial" w:eastAsia="Arial" w:hAnsi="Arial"/>
          <w:b/>
          <w:bCs/>
          <w:color w:val="1C1C1C"/>
          <w:sz w:val="22"/>
          <w:szCs w:val="22"/>
        </w:rPr>
        <w:t xml:space="preserve">Delivery: </w:t>
      </w:r>
      <w:r>
        <w:rPr>
          <w:rFonts w:ascii="Arial" w:cs="Arial" w:eastAsia="Arial" w:hAnsi="Arial"/>
          <w:color w:val="1C1C1C"/>
          <w:sz w:val="22"/>
          <w:szCs w:val="22"/>
        </w:rPr>
        <w:t xml:space="preserve">1–5 day engagements, on-site or hybrid.</w:t>
      </w:r>
    </w:p>
    <w:p>
      <w:pPr>
        <w:spacing w:after="160" w:line="276"/>
      </w:pPr>
      <w:r>
        <w:rPr>
          <w:rFonts w:ascii="Arial" w:cs="Arial" w:eastAsia="Arial" w:hAnsi="Arial"/>
          <w:b/>
          <w:bCs/>
          <w:color w:val="1C1C1C"/>
          <w:sz w:val="22"/>
          <w:szCs w:val="22"/>
        </w:rPr>
        <w:t xml:space="preserve">Price range: </w:t>
      </w:r>
      <w:r>
        <w:rPr>
          <w:rFonts w:ascii="Arial" w:cs="Arial" w:eastAsia="Arial" w:hAnsi="Arial"/>
          <w:color w:val="1C1C1C"/>
          <w:sz w:val="22"/>
          <w:szCs w:val="22"/>
        </w:rPr>
        <w:t xml:space="preserve">$5,000–$25,000 per engagement depending on scope and duration.</w:t>
      </w:r>
    </w:p>
    <w:p>
      <w:pPr>
        <w:pStyle w:val="Heading2"/>
        <w:spacing w:after="160" w:before="280"/>
      </w:pPr>
      <w:r>
        <w:rPr>
          <w:rFonts w:ascii="Georgia" w:cs="Georgia" w:eastAsia="Georgia" w:hAnsi="Georgia"/>
          <w:b/>
          <w:bCs/>
          <w:color w:val="6B5B3E"/>
          <w:sz w:val="26"/>
          <w:szCs w:val="26"/>
        </w:rPr>
        <w:t xml:space="preserve">4.2 District-Level Strategic Consulting</w:t>
      </w:r>
    </w:p>
    <w:p>
      <w:pPr>
        <w:spacing w:after="160" w:line="276"/>
      </w:pPr>
      <w:r>
        <w:rPr>
          <w:rFonts w:ascii="Arial" w:cs="Arial" w:eastAsia="Arial" w:hAnsi="Arial"/>
          <w:color w:val="1C1C1C"/>
          <w:sz w:val="22"/>
          <w:szCs w:val="22"/>
        </w:rPr>
        <w:t xml:space="preserve">Ongoing advisory relationships with school districts pursuing systemic integration of STEM, computing, or AI across their curriculum. Includes needs assessment, strategic planning, curriculum audit, implementation coaching, and progress evaluation. Designed for districts that need a long-term partner rather than a one-time workshop.</w:t>
      </w:r>
    </w:p>
    <w:p>
      <w:pPr>
        <w:spacing w:after="160" w:line="276"/>
      </w:pPr>
      <w:r>
        <w:rPr>
          <w:rFonts w:ascii="Arial" w:cs="Arial" w:eastAsia="Arial" w:hAnsi="Arial"/>
          <w:b/>
          <w:bCs/>
          <w:color w:val="1C1C1C"/>
          <w:sz w:val="22"/>
          <w:szCs w:val="22"/>
        </w:rPr>
        <w:t xml:space="preserve">Delivery: </w:t>
      </w:r>
      <w:r>
        <w:rPr>
          <w:rFonts w:ascii="Arial" w:cs="Arial" w:eastAsia="Arial" w:hAnsi="Arial"/>
          <w:color w:val="1C1C1C"/>
          <w:sz w:val="22"/>
          <w:szCs w:val="22"/>
        </w:rPr>
        <w:t xml:space="preserve">Retainer contracts, typically 6–12 months.</w:t>
      </w:r>
    </w:p>
    <w:p>
      <w:pPr>
        <w:spacing w:after="160" w:line="276"/>
      </w:pPr>
      <w:r>
        <w:rPr>
          <w:rFonts w:ascii="Arial" w:cs="Arial" w:eastAsia="Arial" w:hAnsi="Arial"/>
          <w:b/>
          <w:bCs/>
          <w:color w:val="1C1C1C"/>
          <w:sz w:val="22"/>
          <w:szCs w:val="22"/>
        </w:rPr>
        <w:t xml:space="preserve">Price range: </w:t>
      </w:r>
      <w:r>
        <w:rPr>
          <w:rFonts w:ascii="Arial" w:cs="Arial" w:eastAsia="Arial" w:hAnsi="Arial"/>
          <w:color w:val="1C1C1C"/>
          <w:sz w:val="22"/>
          <w:szCs w:val="22"/>
        </w:rPr>
        <w:t xml:space="preserve">$25,000–$75,000+ per contract depending on district size and scope.</w:t>
      </w:r>
    </w:p>
    <w:p>
      <w:pPr>
        <w:pStyle w:val="Heading2"/>
        <w:spacing w:after="160" w:before="280"/>
      </w:pPr>
      <w:r>
        <w:rPr>
          <w:rFonts w:ascii="Georgia" w:cs="Georgia" w:eastAsia="Georgia" w:hAnsi="Georgia"/>
          <w:b/>
          <w:bCs/>
          <w:color w:val="6B5B3E"/>
          <w:sz w:val="26"/>
          <w:szCs w:val="26"/>
        </w:rPr>
        <w:t xml:space="preserve">4.3 Train-the-Trainer Licensing</w:t>
      </w:r>
    </w:p>
    <w:p>
      <w:pPr>
        <w:spacing w:after="160" w:line="276"/>
      </w:pPr>
      <w:r>
        <w:rPr>
          <w:rFonts w:ascii="Arial" w:cs="Arial" w:eastAsia="Arial" w:hAnsi="Arial"/>
          <w:color w:val="1C1C1C"/>
          <w:sz w:val="22"/>
          <w:szCs w:val="22"/>
        </w:rPr>
        <w:t xml:space="preserve">Freyja Labs develops and licenses facilitator-ready PD modules that district coaches, instructional coordinators, or department leads can deliver independently. Each module includes facilitator guides, participant materials, assessment rubrics, and a certification process for internal trainers.</w:t>
      </w:r>
    </w:p>
    <w:p>
      <w:pPr>
        <w:spacing w:after="160" w:line="276"/>
      </w:pPr>
      <w:r>
        <w:rPr>
          <w:rFonts w:ascii="Arial" w:cs="Arial" w:eastAsia="Arial" w:hAnsi="Arial"/>
          <w:b/>
          <w:bCs/>
          <w:color w:val="1C1C1C"/>
          <w:sz w:val="22"/>
          <w:szCs w:val="22"/>
        </w:rPr>
        <w:t xml:space="preserve">Delivery: </w:t>
      </w:r>
      <w:r>
        <w:rPr>
          <w:rFonts w:ascii="Arial" w:cs="Arial" w:eastAsia="Arial" w:hAnsi="Arial"/>
          <w:color w:val="1C1C1C"/>
          <w:sz w:val="22"/>
          <w:szCs w:val="22"/>
        </w:rPr>
        <w:t xml:space="preserve">Initial training + licensed materials + annual renewal.</w:t>
      </w:r>
    </w:p>
    <w:p>
      <w:pPr>
        <w:spacing w:after="160" w:line="276"/>
      </w:pPr>
      <w:r>
        <w:rPr>
          <w:rFonts w:ascii="Arial" w:cs="Arial" w:eastAsia="Arial" w:hAnsi="Arial"/>
          <w:b/>
          <w:bCs/>
          <w:color w:val="1C1C1C"/>
          <w:sz w:val="22"/>
          <w:szCs w:val="22"/>
        </w:rPr>
        <w:t xml:space="preserve">Price range: </w:t>
      </w:r>
      <w:r>
        <w:rPr>
          <w:rFonts w:ascii="Arial" w:cs="Arial" w:eastAsia="Arial" w:hAnsi="Arial"/>
          <w:color w:val="1C1C1C"/>
          <w:sz w:val="22"/>
          <w:szCs w:val="22"/>
        </w:rPr>
        <w:t xml:space="preserve">$15,000–$40,000 per module (includes initial train-the-trainer session).</w:t>
      </w:r>
    </w:p>
    <w:p>
      <w:pPr>
        <w:pStyle w:val="Heading2"/>
        <w:spacing w:after="160" w:before="280"/>
      </w:pPr>
      <w:r>
        <w:rPr>
          <w:rFonts w:ascii="Georgia" w:cs="Georgia" w:eastAsia="Georgia" w:hAnsi="Georgia"/>
          <w:b/>
          <w:bCs/>
          <w:color w:val="6B5B3E"/>
          <w:sz w:val="26"/>
          <w:szCs w:val="26"/>
        </w:rPr>
        <w:t xml:space="preserve">4.4 Virtual Workshops &amp; Asynchronous Content</w:t>
      </w:r>
    </w:p>
    <w:p>
      <w:pPr>
        <w:spacing w:after="160" w:line="276"/>
      </w:pPr>
      <w:r>
        <w:rPr>
          <w:rFonts w:ascii="Arial" w:cs="Arial" w:eastAsia="Arial" w:hAnsi="Arial"/>
          <w:color w:val="1C1C1C"/>
          <w:sz w:val="22"/>
          <w:szCs w:val="22"/>
        </w:rPr>
        <w:t xml:space="preserve">Shorter-form virtual sessions for broader reach or lower-budget clients. Asynchronous modules also available for self-paced learning, with optional live coaching sessions. Designed to maintain the "small tell, lots of do" philosophy even in remote formats.</w:t>
      </w:r>
    </w:p>
    <w:p>
      <w:pPr>
        <w:spacing w:after="160" w:line="276"/>
      </w:pPr>
      <w:r>
        <w:rPr>
          <w:rFonts w:ascii="Arial" w:cs="Arial" w:eastAsia="Arial" w:hAnsi="Arial"/>
          <w:b/>
          <w:bCs/>
          <w:color w:val="1C1C1C"/>
          <w:sz w:val="22"/>
          <w:szCs w:val="22"/>
        </w:rPr>
        <w:t xml:space="preserve">Delivery: </w:t>
      </w:r>
      <w:r>
        <w:rPr>
          <w:rFonts w:ascii="Arial" w:cs="Arial" w:eastAsia="Arial" w:hAnsi="Arial"/>
          <w:color w:val="1C1C1C"/>
          <w:sz w:val="22"/>
          <w:szCs w:val="22"/>
        </w:rPr>
        <w:t xml:space="preserve">90-minute to full-day virtual sessions; asynchronous modules with optional live support.</w:t>
      </w:r>
    </w:p>
    <w:p>
      <w:pPr>
        <w:spacing w:after="160" w:line="276"/>
      </w:pPr>
      <w:r>
        <w:rPr>
          <w:rFonts w:ascii="Arial" w:cs="Arial" w:eastAsia="Arial" w:hAnsi="Arial"/>
          <w:b/>
          <w:bCs/>
          <w:color w:val="1C1C1C"/>
          <w:sz w:val="22"/>
          <w:szCs w:val="22"/>
        </w:rPr>
        <w:t xml:space="preserve">Price range: </w:t>
      </w:r>
      <w:r>
        <w:rPr>
          <w:rFonts w:ascii="Arial" w:cs="Arial" w:eastAsia="Arial" w:hAnsi="Arial"/>
          <w:color w:val="1C1C1C"/>
          <w:sz w:val="22"/>
          <w:szCs w:val="22"/>
        </w:rPr>
        <w:t xml:space="preserve">$2,000–$8,000 per session or module.</w:t>
      </w:r>
    </w:p>
    <w:p>
      <w:pPr>
        <w:pStyle w:val="Heading2"/>
        <w:spacing w:after="160" w:before="280"/>
      </w:pPr>
      <w:r>
        <w:rPr>
          <w:rFonts w:ascii="Georgia" w:cs="Georgia" w:eastAsia="Georgia" w:hAnsi="Georgia"/>
          <w:b/>
          <w:bCs/>
          <w:color w:val="6B5B3E"/>
          <w:sz w:val="26"/>
          <w:szCs w:val="26"/>
        </w:rPr>
        <w:t xml:space="preserve">4.5 Corporate &amp; Non-Traditional Engagements</w:t>
      </w:r>
    </w:p>
    <w:p>
      <w:pPr>
        <w:spacing w:after="160" w:line="276"/>
      </w:pPr>
      <w:r>
        <w:rPr>
          <w:rFonts w:ascii="Arial" w:cs="Arial" w:eastAsia="Arial" w:hAnsi="Arial"/>
          <w:color w:val="1C1C1C"/>
          <w:sz w:val="22"/>
          <w:szCs w:val="22"/>
        </w:rPr>
        <w:t xml:space="preserve">Adapted offerings for corporate training, museum/library programming, after-school organizations, and other non-traditional education spaces. Content is customized to the organizational context while drawing on the same pedagogical foundations.</w:t>
      </w:r>
    </w:p>
    <w:p>
      <w:pPr>
        <w:spacing w:after="160" w:line="276"/>
      </w:pPr>
      <w:r>
        <w:rPr>
          <w:rFonts w:ascii="Arial" w:cs="Arial" w:eastAsia="Arial" w:hAnsi="Arial"/>
          <w:b/>
          <w:bCs/>
          <w:color w:val="1C1C1C"/>
          <w:sz w:val="22"/>
          <w:szCs w:val="22"/>
        </w:rPr>
        <w:t xml:space="preserve">Delivery: </w:t>
      </w:r>
      <w:r>
        <w:rPr>
          <w:rFonts w:ascii="Arial" w:cs="Arial" w:eastAsia="Arial" w:hAnsi="Arial"/>
          <w:color w:val="1C1C1C"/>
          <w:sz w:val="22"/>
          <w:szCs w:val="22"/>
        </w:rPr>
        <w:t xml:space="preserve">Varies by engagement.</w:t>
      </w:r>
    </w:p>
    <w:p>
      <w:pPr>
        <w:spacing w:after="160" w:line="276"/>
      </w:pPr>
      <w:r>
        <w:rPr>
          <w:rFonts w:ascii="Arial" w:cs="Arial" w:eastAsia="Arial" w:hAnsi="Arial"/>
          <w:b/>
          <w:bCs/>
          <w:color w:val="1C1C1C"/>
          <w:sz w:val="22"/>
          <w:szCs w:val="22"/>
        </w:rPr>
        <w:t xml:space="preserve">Price range: </w:t>
      </w:r>
      <w:r>
        <w:rPr>
          <w:rFonts w:ascii="Arial" w:cs="Arial" w:eastAsia="Arial" w:hAnsi="Arial"/>
          <w:color w:val="1C1C1C"/>
          <w:sz w:val="22"/>
          <w:szCs w:val="22"/>
        </w:rPr>
        <w:t xml:space="preserve">$5,000–$50,000+ depending on scope.</w:t>
      </w:r>
    </w:p>
    <w:p>
      <w:pPr>
        <w:pStyle w:val="Heading1"/>
        <w:spacing w:after="200" w:before="360"/>
      </w:pPr>
      <w:r>
        <w:rPr>
          <w:rFonts w:ascii="Georgia" w:cs="Georgia" w:eastAsia="Georgia" w:hAnsi="Georgia"/>
          <w:b/>
          <w:bCs/>
          <w:color w:val="3D6B4F"/>
          <w:sz w:val="32"/>
          <w:szCs w:val="32"/>
        </w:rPr>
        <w:t xml:space="preserve">5. Target Market</w:t>
      </w:r>
    </w:p>
    <w:p>
      <w:pPr>
        <w:pStyle w:val="Heading2"/>
        <w:spacing w:after="160" w:before="280"/>
      </w:pPr>
      <w:r>
        <w:rPr>
          <w:rFonts w:ascii="Georgia" w:cs="Georgia" w:eastAsia="Georgia" w:hAnsi="Georgia"/>
          <w:b/>
          <w:bCs/>
          <w:color w:val="6B5B3E"/>
          <w:sz w:val="26"/>
          <w:szCs w:val="26"/>
        </w:rPr>
        <w:t xml:space="preserve">Primary: School Districts</w:t>
      </w:r>
    </w:p>
    <w:p>
      <w:pPr>
        <w:spacing w:after="160" w:line="276"/>
      </w:pPr>
      <w:r>
        <w:rPr>
          <w:rFonts w:ascii="Arial" w:cs="Arial" w:eastAsia="Arial" w:hAnsi="Arial"/>
          <w:color w:val="1C1C1C"/>
          <w:sz w:val="22"/>
          <w:szCs w:val="22"/>
        </w:rPr>
        <w:t xml:space="preserve">The primary market is school districts—particularly those with 5,000+ students—seeking to build internal capacity for STEM integration, AI literacy, or computing education. These districts typically have Title II or Title IV-A funding available for professional development, and are increasingly under pressure from state mandates to integrate computer science and AI into existing curricula.</w:t>
      </w:r>
    </w:p>
    <w:p>
      <w:pPr>
        <w:pStyle w:val="Heading2"/>
        <w:spacing w:after="160" w:before="280"/>
      </w:pPr>
      <w:r>
        <w:rPr>
          <w:rFonts w:ascii="Georgia" w:cs="Georgia" w:eastAsia="Georgia" w:hAnsi="Georgia"/>
          <w:b/>
          <w:bCs/>
          <w:color w:val="6B5B3E"/>
          <w:sz w:val="26"/>
          <w:szCs w:val="26"/>
        </w:rPr>
        <w:t xml:space="preserve">Secondary: Individual Schools &amp; Charter Networks</w:t>
      </w:r>
    </w:p>
    <w:p>
      <w:pPr>
        <w:spacing w:after="160" w:line="276"/>
      </w:pPr>
      <w:r>
        <w:rPr>
          <w:rFonts w:ascii="Arial" w:cs="Arial" w:eastAsia="Arial" w:hAnsi="Arial"/>
          <w:color w:val="1C1C1C"/>
          <w:sz w:val="22"/>
          <w:szCs w:val="22"/>
        </w:rPr>
        <w:t xml:space="preserve">Smaller engagements with individual schools, charter networks, or school leadership teams. These clients often serve as entry points to broader district relationships.</w:t>
      </w:r>
    </w:p>
    <w:p>
      <w:pPr>
        <w:pStyle w:val="Heading2"/>
        <w:spacing w:after="160" w:before="280"/>
      </w:pPr>
      <w:r>
        <w:rPr>
          <w:rFonts w:ascii="Georgia" w:cs="Georgia" w:eastAsia="Georgia" w:hAnsi="Georgia"/>
          <w:b/>
          <w:bCs/>
          <w:color w:val="6B5B3E"/>
          <w:sz w:val="26"/>
          <w:szCs w:val="26"/>
        </w:rPr>
        <w:t xml:space="preserve">Tertiary: Corporate &amp; Non-Traditional</w:t>
      </w:r>
    </w:p>
    <w:p>
      <w:pPr>
        <w:spacing w:after="160" w:line="276"/>
      </w:pPr>
      <w:r>
        <w:rPr>
          <w:rFonts w:ascii="Arial" w:cs="Arial" w:eastAsia="Arial" w:hAnsi="Arial"/>
          <w:color w:val="1C1C1C"/>
          <w:sz w:val="22"/>
          <w:szCs w:val="22"/>
        </w:rPr>
        <w:t xml:space="preserve">Corporate training divisions, museums, libraries, out-of-school-time programs, and other organizations seeking technically rigorous, hands-on STEM programming. These engagements diversify revenue and build brand visibility outside the K–12 pipeline.</w:t>
      </w:r>
    </w:p>
    <w:p>
      <w:pPr>
        <w:pStyle w:val="Heading2"/>
        <w:spacing w:after="160" w:before="280"/>
      </w:pPr>
      <w:r>
        <w:rPr>
          <w:rFonts w:ascii="Georgia" w:cs="Georgia" w:eastAsia="Georgia" w:hAnsi="Georgia"/>
          <w:b/>
          <w:bCs/>
          <w:color w:val="6B5B3E"/>
          <w:sz w:val="26"/>
          <w:szCs w:val="26"/>
        </w:rPr>
        <w:t xml:space="preserve">Market Dynamics</w:t>
      </w:r>
    </w:p>
    <w:p>
      <w:pPr>
        <w:pStyle w:val="ListParagraph"/>
        <w:numPr>
          <w:ilvl w:val="0"/>
          <w:numId w:val="2"/>
        </w:numPr>
        <w:spacing w:after="80" w:line="276"/>
      </w:pPr>
      <w:r>
        <w:rPr>
          <w:rFonts w:ascii="Arial" w:cs="Arial" w:eastAsia="Arial" w:hAnsi="Arial"/>
          <w:color w:val="1C1C1C"/>
          <w:sz w:val="22"/>
          <w:szCs w:val="22"/>
        </w:rPr>
        <w:t xml:space="preserve">Every state has either passed or is considering CS education mandates, creating urgent demand for qualified PD providers.</w:t>
      </w:r>
    </w:p>
    <w:p>
      <w:pPr>
        <w:pStyle w:val="ListParagraph"/>
        <w:numPr>
          <w:ilvl w:val="0"/>
          <w:numId w:val="2"/>
        </w:numPr>
        <w:spacing w:after="80" w:line="276"/>
      </w:pPr>
      <w:r>
        <w:rPr>
          <w:rFonts w:ascii="Arial" w:cs="Arial" w:eastAsia="Arial" w:hAnsi="Arial"/>
          <w:color w:val="1C1C1C"/>
          <w:sz w:val="22"/>
          <w:szCs w:val="22"/>
        </w:rPr>
        <w:t xml:space="preserve">AI literacy is emerging as a distinct curricular priority, and most districts have no internal expertise.</w:t>
      </w:r>
    </w:p>
    <w:p>
      <w:pPr>
        <w:pStyle w:val="ListParagraph"/>
        <w:numPr>
          <w:ilvl w:val="0"/>
          <w:numId w:val="2"/>
        </w:numPr>
        <w:spacing w:after="80" w:line="276"/>
      </w:pPr>
      <w:r>
        <w:rPr>
          <w:rFonts w:ascii="Arial" w:cs="Arial" w:eastAsia="Arial" w:hAnsi="Arial"/>
          <w:color w:val="1C1C1C"/>
          <w:sz w:val="22"/>
          <w:szCs w:val="22"/>
        </w:rPr>
        <w:t xml:space="preserve">Districts are increasingly skeptical of generic, one-size-fits-all PD and are willing to pay more for customized, evidence-based approaches.</w:t>
      </w:r>
    </w:p>
    <w:p>
      <w:pPr>
        <w:pStyle w:val="ListParagraph"/>
        <w:numPr>
          <w:ilvl w:val="0"/>
          <w:numId w:val="2"/>
        </w:numPr>
        <w:spacing w:after="80" w:line="276"/>
      </w:pPr>
      <w:r>
        <w:rPr>
          <w:rFonts w:ascii="Arial" w:cs="Arial" w:eastAsia="Arial" w:hAnsi="Arial"/>
          <w:color w:val="1C1C1C"/>
          <w:sz w:val="22"/>
          <w:szCs w:val="22"/>
        </w:rPr>
        <w:t xml:space="preserve">Title II (teacher quality), Title IV-A (student support/enrichment), and state-level CS implementation grants provide dedicated funding streams.</w:t>
      </w:r>
    </w:p>
    <w:p>
      <w:pPr>
        <w:pStyle w:val="Heading1"/>
        <w:spacing w:after="200" w:before="360"/>
      </w:pPr>
      <w:r>
        <w:rPr>
          <w:rFonts w:ascii="Georgia" w:cs="Georgia" w:eastAsia="Georgia" w:hAnsi="Georgia"/>
          <w:b/>
          <w:bCs/>
          <w:color w:val="3D6B4F"/>
          <w:sz w:val="32"/>
          <w:szCs w:val="32"/>
        </w:rPr>
        <w:t xml:space="preserve">6. Competitive Landscape</w:t>
      </w:r>
    </w:p>
    <w:p>
      <w:pPr>
        <w:spacing w:after="160" w:line="276"/>
      </w:pPr>
      <w:r>
        <w:rPr>
          <w:rFonts w:ascii="Arial" w:cs="Arial" w:eastAsia="Arial" w:hAnsi="Arial"/>
          <w:color w:val="1C1C1C"/>
          <w:sz w:val="22"/>
          <w:szCs w:val="22"/>
        </w:rPr>
        <w:t xml:space="preserve">The PD consulting market is crowded with generalist providers, but the specific niche Freyja Labs occupies—technically deep, pedagogically rigorous, fully customized—has limited direct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 Type</w:t>
            </w:r>
          </w:p>
        </w:tc>
        <w:tc>
          <w:tcPr>
            <w:tcW w:type="dxa" w:w="358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c>
          <w:tcPr>
            <w:tcW w:type="dxa" w:w="358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Freyja Labs Advantage</w:t>
            </w:r>
          </w:p>
        </w:tc>
      </w:tr>
      <w:tr>
        <w:tc>
          <w:tcPr>
            <w:tcW w:type="dxa" w:w="220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Large PD vendors</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ISTE, Learning Forward, Houghton Mifflin</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Generic content; not tailored to district context. Passive delivery models.</w:t>
            </w:r>
          </w:p>
        </w:tc>
      </w:tr>
      <w:tr>
        <w:tc>
          <w:tcPr>
            <w:tcW w:type="dxa" w:w="220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CS-specific orgs</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Code.org, CSTA, PLTW</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Curriculum-bound; limited customization. Often train-the-trainer only.</w:t>
            </w:r>
          </w:p>
        </w:tc>
      </w:tr>
      <w:tr>
        <w:tc>
          <w:tcPr>
            <w:tcW w:type="dxa" w:w="220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University outreach</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Individual faculty, education centers</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Inconsistent quality; usually limited to one topic. No business infrastructure.</w:t>
            </w:r>
          </w:p>
        </w:tc>
      </w:tr>
      <w:tr>
        <w:tc>
          <w:tcPr>
            <w:tcW w:type="dxa" w:w="220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Boutique consultants</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Independent PD providers</w:t>
            </w:r>
          </w:p>
        </w:tc>
        <w:tc>
          <w:tcPr>
            <w:tcW w:type="dxa" w:w="358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Often lack research depth or technical breadth. Limited track record.</w:t>
            </w:r>
          </w:p>
        </w:tc>
      </w:tr>
    </w:tbl>
    <w:p>
      <w:pPr>
        <w:pStyle w:val="Heading1"/>
        <w:spacing w:after="200" w:before="360"/>
      </w:pPr>
      <w:r>
        <w:rPr>
          <w:rFonts w:ascii="Georgia" w:cs="Georgia" w:eastAsia="Georgia" w:hAnsi="Georgia"/>
          <w:b/>
          <w:bCs/>
          <w:color w:val="3D6B4F"/>
          <w:sz w:val="32"/>
          <w:szCs w:val="32"/>
        </w:rPr>
        <w:t xml:space="preserve">7. Revenue Model</w:t>
      </w:r>
    </w:p>
    <w:p>
      <w:pPr>
        <w:pStyle w:val="Heading2"/>
        <w:spacing w:after="160" w:before="280"/>
      </w:pPr>
      <w:r>
        <w:rPr>
          <w:rFonts w:ascii="Georgia" w:cs="Georgia" w:eastAsia="Georgia" w:hAnsi="Georgia"/>
          <w:b/>
          <w:bCs/>
          <w:color w:val="6B5B3E"/>
          <w:sz w:val="26"/>
          <w:szCs w:val="26"/>
        </w:rPr>
        <w:t xml:space="preserve">Year 1 Targets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 Line</w:t>
            </w:r>
          </w:p>
        </w:tc>
        <w:tc>
          <w:tcPr>
            <w:tcW w:type="dxa" w:w="156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Engagements</w:t>
            </w:r>
          </w:p>
        </w:tc>
        <w:tc>
          <w:tcPr>
            <w:tcW w:type="dxa" w:w="156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Revenue</w:t>
            </w:r>
          </w:p>
        </w:tc>
        <w:tc>
          <w:tcPr>
            <w:tcW w:type="dxa" w:w="156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w:t>
            </w:r>
          </w:p>
        </w:tc>
        <w:tc>
          <w:tcPr>
            <w:tcW w:type="dxa" w:w="156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Revenue</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District consulting</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2–3</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$35,000</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$70–105K</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45–55%</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On-site workshops</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4–6</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$12,000</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$48–72K</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30–35%</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Virtual sessions</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6–8</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$4,000</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$24–32K</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color w:val="1C1C1C"/>
                <w:sz w:val="20"/>
                <w:szCs w:val="20"/>
              </w:rPr>
              <w:t xml:space="preserve">15–20%</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Year 1 Total</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center"/>
            </w:pPr>
            <w:r>
              <w:rPr>
                <w:rFonts w:ascii="Arial" w:cs="Arial" w:eastAsia="Arial" w:hAnsi="Arial"/>
                <w:b/>
                <w:bCs/>
                <w:color w:val="3D6B4F"/>
                <w:sz w:val="20"/>
                <w:szCs w:val="20"/>
              </w:rPr>
              <w:t xml:space="preserve">$142–209K</w:t>
            </w:r>
          </w:p>
        </w:tc>
        <w:tc>
          <w:tcPr>
            <w:tcW w:type="dxa" w:w="156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
            </w:r>
          </w:p>
        </w:tc>
      </w:tr>
    </w:tbl>
    <w:p>
      <w:pPr>
        <w:spacing w:after="80"/>
      </w:pPr>
    </w:p>
    <w:p>
      <w:pPr>
        <w:pStyle w:val="Heading2"/>
        <w:spacing w:after="160" w:before="280"/>
      </w:pPr>
      <w:r>
        <w:rPr>
          <w:rFonts w:ascii="Georgia" w:cs="Georgia" w:eastAsia="Georgia" w:hAnsi="Georgia"/>
          <w:b/>
          <w:bCs/>
          <w:color w:val="6B5B3E"/>
          <w:sz w:val="26"/>
          <w:szCs w:val="26"/>
        </w:rPr>
        <w:t xml:space="preserve">Year 2–3 Growth Trajectory</w:t>
      </w:r>
    </w:p>
    <w:p>
      <w:pPr>
        <w:pStyle w:val="ListParagraph"/>
        <w:numPr>
          <w:ilvl w:val="0"/>
          <w:numId w:val="2"/>
        </w:numPr>
        <w:spacing w:after="80" w:line="276"/>
      </w:pPr>
      <w:r>
        <w:rPr>
          <w:rFonts w:ascii="Arial" w:cs="Arial" w:eastAsia="Arial" w:hAnsi="Arial"/>
          <w:color w:val="1C1C1C"/>
          <w:sz w:val="22"/>
          <w:szCs w:val="22"/>
        </w:rPr>
        <w:t xml:space="preserve">Add 2–3 train-the-trainer licenses ($15–40K each), creating recurring revenue.</w:t>
      </w:r>
    </w:p>
    <w:p>
      <w:pPr>
        <w:pStyle w:val="ListParagraph"/>
        <w:numPr>
          <w:ilvl w:val="0"/>
          <w:numId w:val="2"/>
        </w:numPr>
        <w:spacing w:after="80" w:line="276"/>
      </w:pPr>
      <w:r>
        <w:rPr>
          <w:rFonts w:ascii="Arial" w:cs="Arial" w:eastAsia="Arial" w:hAnsi="Arial"/>
          <w:color w:val="1C1C1C"/>
          <w:sz w:val="22"/>
          <w:szCs w:val="22"/>
        </w:rPr>
        <w:t xml:space="preserve">Expand district retainers to 5–8 concurrent contracts.</w:t>
      </w:r>
    </w:p>
    <w:p>
      <w:pPr>
        <w:pStyle w:val="ListParagraph"/>
        <w:numPr>
          <w:ilvl w:val="0"/>
          <w:numId w:val="2"/>
        </w:numPr>
        <w:spacing w:after="80" w:line="276"/>
      </w:pPr>
      <w:r>
        <w:rPr>
          <w:rFonts w:ascii="Arial" w:cs="Arial" w:eastAsia="Arial" w:hAnsi="Arial"/>
          <w:color w:val="1C1C1C"/>
          <w:sz w:val="22"/>
          <w:szCs w:val="22"/>
        </w:rPr>
        <w:t xml:space="preserve">Develop asynchronous content library for passive income stream.</w:t>
      </w:r>
    </w:p>
    <w:p>
      <w:pPr>
        <w:pStyle w:val="ListParagraph"/>
        <w:numPr>
          <w:ilvl w:val="0"/>
          <w:numId w:val="2"/>
        </w:numPr>
        <w:spacing w:after="80" w:line="276"/>
      </w:pPr>
      <w:r>
        <w:rPr>
          <w:rFonts w:ascii="Arial" w:cs="Arial" w:eastAsia="Arial" w:hAnsi="Arial"/>
          <w:color w:val="1C1C1C"/>
          <w:sz w:val="22"/>
          <w:szCs w:val="22"/>
        </w:rPr>
        <w:t xml:space="preserve">Target Year 3 revenue: $350–500K.</w:t>
      </w:r>
    </w:p>
    <w:p>
      <w:pPr>
        <w:pStyle w:val="Heading1"/>
        <w:spacing w:after="200" w:before="360"/>
      </w:pPr>
      <w:r>
        <w:rPr>
          <w:rFonts w:ascii="Georgia" w:cs="Georgia" w:eastAsia="Georgia" w:hAnsi="Georgia"/>
          <w:b/>
          <w:bCs/>
          <w:color w:val="3D6B4F"/>
          <w:sz w:val="32"/>
          <w:szCs w:val="32"/>
        </w:rPr>
        <w:t xml:space="preserve">8. Go-to-Market Strategy</w:t>
      </w:r>
    </w:p>
    <w:p>
      <w:pPr>
        <w:pStyle w:val="Heading2"/>
        <w:spacing w:after="160" w:before="280"/>
      </w:pPr>
      <w:r>
        <w:rPr>
          <w:rFonts w:ascii="Georgia" w:cs="Georgia" w:eastAsia="Georgia" w:hAnsi="Georgia"/>
          <w:b/>
          <w:bCs/>
          <w:color w:val="6B5B3E"/>
          <w:sz w:val="26"/>
          <w:szCs w:val="26"/>
        </w:rPr>
        <w:t xml:space="preserve">Phase 1: Foundation (Months 1–3)</w:t>
      </w:r>
    </w:p>
    <w:p>
      <w:pPr>
        <w:pStyle w:val="ListParagraph"/>
        <w:numPr>
          <w:ilvl w:val="0"/>
          <w:numId w:val="3"/>
        </w:numPr>
        <w:spacing w:after="80" w:line="276"/>
      </w:pPr>
      <w:r>
        <w:rPr>
          <w:rFonts w:ascii="Arial" w:cs="Arial" w:eastAsia="Arial" w:hAnsi="Arial"/>
          <w:color w:val="1C1C1C"/>
          <w:sz w:val="22"/>
          <w:szCs w:val="22"/>
        </w:rPr>
        <w:t xml:space="preserve">Launch freyjalabs.com with brand story, services overview, and contact form.</w:t>
      </w:r>
    </w:p>
    <w:p>
      <w:pPr>
        <w:pStyle w:val="ListParagraph"/>
        <w:numPr>
          <w:ilvl w:val="0"/>
          <w:numId w:val="3"/>
        </w:numPr>
        <w:spacing w:after="80" w:line="276"/>
      </w:pPr>
      <w:r>
        <w:rPr>
          <w:rFonts w:ascii="Arial" w:cs="Arial" w:eastAsia="Arial" w:hAnsi="Arial"/>
          <w:color w:val="1C1C1C"/>
          <w:sz w:val="22"/>
          <w:szCs w:val="22"/>
        </w:rPr>
        <w:t xml:space="preserve">Establish social media presence (LinkedIn primary, X/Twitter secondary).</w:t>
      </w:r>
    </w:p>
    <w:p>
      <w:pPr>
        <w:pStyle w:val="ListParagraph"/>
        <w:numPr>
          <w:ilvl w:val="0"/>
          <w:numId w:val="3"/>
        </w:numPr>
        <w:spacing w:after="80" w:line="276"/>
      </w:pPr>
      <w:r>
        <w:rPr>
          <w:rFonts w:ascii="Arial" w:cs="Arial" w:eastAsia="Arial" w:hAnsi="Arial"/>
          <w:color w:val="1C1C1C"/>
          <w:sz w:val="22"/>
          <w:szCs w:val="22"/>
        </w:rPr>
        <w:t xml:space="preserve">Develop 2–3 signature workshop modules ready for immediate deployment.</w:t>
      </w:r>
    </w:p>
    <w:p>
      <w:pPr>
        <w:pStyle w:val="ListParagraph"/>
        <w:numPr>
          <w:ilvl w:val="0"/>
          <w:numId w:val="3"/>
        </w:numPr>
        <w:spacing w:after="80" w:line="276"/>
      </w:pPr>
      <w:r>
        <w:rPr>
          <w:rFonts w:ascii="Arial" w:cs="Arial" w:eastAsia="Arial" w:hAnsi="Arial"/>
          <w:color w:val="1C1C1C"/>
          <w:sz w:val="22"/>
          <w:szCs w:val="22"/>
        </w:rPr>
        <w:t xml:space="preserve">Secure 1–2 anchor engagements through existing professional networks.</w:t>
      </w:r>
    </w:p>
    <w:p>
      <w:pPr>
        <w:pStyle w:val="ListParagraph"/>
        <w:numPr>
          <w:ilvl w:val="0"/>
          <w:numId w:val="3"/>
        </w:numPr>
        <w:spacing w:after="80" w:line="276"/>
      </w:pPr>
      <w:r>
        <w:rPr>
          <w:rFonts w:ascii="Arial" w:cs="Arial" w:eastAsia="Arial" w:hAnsi="Arial"/>
          <w:color w:val="1C1C1C"/>
          <w:sz w:val="22"/>
          <w:szCs w:val="22"/>
        </w:rPr>
        <w:t xml:space="preserve">File for Florida Sunbiz registration, obtain EIN, set up business banking.</w:t>
      </w:r>
    </w:p>
    <w:p>
      <w:pPr>
        <w:pStyle w:val="Heading2"/>
        <w:spacing w:after="160" w:before="280"/>
      </w:pPr>
      <w:r>
        <w:rPr>
          <w:rFonts w:ascii="Georgia" w:cs="Georgia" w:eastAsia="Georgia" w:hAnsi="Georgia"/>
          <w:b/>
          <w:bCs/>
          <w:color w:val="6B5B3E"/>
          <w:sz w:val="26"/>
          <w:szCs w:val="26"/>
        </w:rPr>
        <w:t xml:space="preserve">Phase 2: Traction (Months 4–9)</w:t>
      </w:r>
    </w:p>
    <w:p>
      <w:pPr>
        <w:pStyle w:val="ListParagraph"/>
        <w:numPr>
          <w:ilvl w:val="0"/>
          <w:numId w:val="4"/>
        </w:numPr>
        <w:spacing w:after="80" w:line="276"/>
      </w:pPr>
      <w:r>
        <w:rPr>
          <w:rFonts w:ascii="Arial" w:cs="Arial" w:eastAsia="Arial" w:hAnsi="Arial"/>
          <w:color w:val="1C1C1C"/>
          <w:sz w:val="22"/>
          <w:szCs w:val="22"/>
        </w:rPr>
        <w:t xml:space="preserve">Present at ISTE, ASEE, CSTA, and state-level conferences as visibility plays.</w:t>
      </w:r>
    </w:p>
    <w:p>
      <w:pPr>
        <w:pStyle w:val="ListParagraph"/>
        <w:numPr>
          <w:ilvl w:val="0"/>
          <w:numId w:val="4"/>
        </w:numPr>
        <w:spacing w:after="80" w:line="276"/>
      </w:pPr>
      <w:r>
        <w:rPr>
          <w:rFonts w:ascii="Arial" w:cs="Arial" w:eastAsia="Arial" w:hAnsi="Arial"/>
          <w:color w:val="1C1C1C"/>
          <w:sz w:val="22"/>
          <w:szCs w:val="22"/>
        </w:rPr>
        <w:t xml:space="preserve">Publish case studies from anchor engagements.</w:t>
      </w:r>
    </w:p>
    <w:p>
      <w:pPr>
        <w:pStyle w:val="ListParagraph"/>
        <w:numPr>
          <w:ilvl w:val="0"/>
          <w:numId w:val="4"/>
        </w:numPr>
        <w:spacing w:after="80" w:line="276"/>
      </w:pPr>
      <w:r>
        <w:rPr>
          <w:rFonts w:ascii="Arial" w:cs="Arial" w:eastAsia="Arial" w:hAnsi="Arial"/>
          <w:color w:val="1C1C1C"/>
          <w:sz w:val="22"/>
          <w:szCs w:val="22"/>
        </w:rPr>
        <w:t xml:space="preserve">Build referral pipeline from initial district clients.</w:t>
      </w:r>
    </w:p>
    <w:p>
      <w:pPr>
        <w:pStyle w:val="ListParagraph"/>
        <w:numPr>
          <w:ilvl w:val="0"/>
          <w:numId w:val="4"/>
        </w:numPr>
        <w:spacing w:after="80" w:line="276"/>
      </w:pPr>
      <w:r>
        <w:rPr>
          <w:rFonts w:ascii="Arial" w:cs="Arial" w:eastAsia="Arial" w:hAnsi="Arial"/>
          <w:color w:val="1C1C1C"/>
          <w:sz w:val="22"/>
          <w:szCs w:val="22"/>
        </w:rPr>
        <w:t xml:space="preserve">Develop train-the-trainer module prototypes.</w:t>
      </w:r>
    </w:p>
    <w:p>
      <w:pPr>
        <w:pStyle w:val="ListParagraph"/>
        <w:numPr>
          <w:ilvl w:val="0"/>
          <w:numId w:val="4"/>
        </w:numPr>
        <w:spacing w:after="80" w:line="276"/>
      </w:pPr>
      <w:r>
        <w:rPr>
          <w:rFonts w:ascii="Arial" w:cs="Arial" w:eastAsia="Arial" w:hAnsi="Arial"/>
          <w:color w:val="1C1C1C"/>
          <w:sz w:val="22"/>
          <w:szCs w:val="22"/>
        </w:rPr>
        <w:t xml:space="preserve">Target 3–5 additional engagements through inbound and referral.</w:t>
      </w:r>
    </w:p>
    <w:p>
      <w:pPr>
        <w:pStyle w:val="Heading2"/>
        <w:spacing w:after="160" w:before="280"/>
      </w:pPr>
      <w:r>
        <w:rPr>
          <w:rFonts w:ascii="Georgia" w:cs="Georgia" w:eastAsia="Georgia" w:hAnsi="Georgia"/>
          <w:b/>
          <w:bCs/>
          <w:color w:val="6B5B3E"/>
          <w:sz w:val="26"/>
          <w:szCs w:val="26"/>
        </w:rPr>
        <w:t xml:space="preserve">Phase 3: Scale (Months 10–18)</w:t>
      </w:r>
    </w:p>
    <w:p>
      <w:pPr>
        <w:pStyle w:val="ListParagraph"/>
        <w:numPr>
          <w:ilvl w:val="0"/>
          <w:numId w:val="5"/>
        </w:numPr>
        <w:spacing w:after="80" w:line="276"/>
      </w:pPr>
      <w:r>
        <w:rPr>
          <w:rFonts w:ascii="Arial" w:cs="Arial" w:eastAsia="Arial" w:hAnsi="Arial"/>
          <w:color w:val="1C1C1C"/>
          <w:sz w:val="22"/>
          <w:szCs w:val="22"/>
        </w:rPr>
        <w:t xml:space="preserve">Launch train-the-trainer licensing program.</w:t>
      </w:r>
    </w:p>
    <w:p>
      <w:pPr>
        <w:pStyle w:val="ListParagraph"/>
        <w:numPr>
          <w:ilvl w:val="0"/>
          <w:numId w:val="5"/>
        </w:numPr>
        <w:spacing w:after="80" w:line="276"/>
      </w:pPr>
      <w:r>
        <w:rPr>
          <w:rFonts w:ascii="Arial" w:cs="Arial" w:eastAsia="Arial" w:hAnsi="Arial"/>
          <w:color w:val="1C1C1C"/>
          <w:sz w:val="22"/>
          <w:szCs w:val="22"/>
        </w:rPr>
        <w:t xml:space="preserve">Develop asynchronous content for lower-touch revenue.</w:t>
      </w:r>
    </w:p>
    <w:p>
      <w:pPr>
        <w:pStyle w:val="ListParagraph"/>
        <w:numPr>
          <w:ilvl w:val="0"/>
          <w:numId w:val="5"/>
        </w:numPr>
        <w:spacing w:after="80" w:line="276"/>
      </w:pPr>
      <w:r>
        <w:rPr>
          <w:rFonts w:ascii="Arial" w:cs="Arial" w:eastAsia="Arial" w:hAnsi="Arial"/>
          <w:color w:val="1C1C1C"/>
          <w:sz w:val="22"/>
          <w:szCs w:val="22"/>
        </w:rPr>
        <w:t xml:space="preserve">Explore state-level partnerships (DOEs, regional service centers).</w:t>
      </w:r>
    </w:p>
    <w:p>
      <w:pPr>
        <w:pStyle w:val="ListParagraph"/>
        <w:numPr>
          <w:ilvl w:val="0"/>
          <w:numId w:val="5"/>
        </w:numPr>
        <w:spacing w:after="80" w:line="276"/>
      </w:pPr>
      <w:r>
        <w:rPr>
          <w:rFonts w:ascii="Arial" w:cs="Arial" w:eastAsia="Arial" w:hAnsi="Arial"/>
          <w:color w:val="1C1C1C"/>
          <w:sz w:val="22"/>
          <w:szCs w:val="22"/>
        </w:rPr>
        <w:t xml:space="preserve">Evaluate hiring first contract facilitator to expand delivery capacity.</w:t>
      </w:r>
    </w:p>
    <w:p>
      <w:pPr>
        <w:pStyle w:val="Heading1"/>
        <w:spacing w:after="200" w:before="360"/>
      </w:pPr>
      <w:r>
        <w:rPr>
          <w:rFonts w:ascii="Georgia" w:cs="Georgia" w:eastAsia="Georgia" w:hAnsi="Georgia"/>
          <w:b/>
          <w:bCs/>
          <w:color w:val="3D6B4F"/>
          <w:sz w:val="32"/>
          <w:szCs w:val="32"/>
        </w:rPr>
        <w:t xml:space="preserve">9. Operations &amp; Structure</w:t>
      </w:r>
    </w:p>
    <w:p>
      <w:pPr>
        <w:pStyle w:val="Heading2"/>
        <w:spacing w:after="160" w:before="280"/>
      </w:pPr>
      <w:r>
        <w:rPr>
          <w:rFonts w:ascii="Georgia" w:cs="Georgia" w:eastAsia="Georgia" w:hAnsi="Georgia"/>
          <w:b/>
          <w:bCs/>
          <w:color w:val="6B5B3E"/>
          <w:sz w:val="26"/>
          <w:szCs w:val="26"/>
        </w:rPr>
        <w:t xml:space="preserve">Entity</w:t>
      </w:r>
    </w:p>
    <w:p>
      <w:pPr>
        <w:spacing w:after="160" w:line="276"/>
      </w:pPr>
      <w:r>
        <w:rPr>
          <w:rFonts w:ascii="Arial" w:cs="Arial" w:eastAsia="Arial" w:hAnsi="Arial"/>
          <w:color w:val="1C1C1C"/>
          <w:sz w:val="22"/>
          <w:szCs w:val="22"/>
        </w:rPr>
        <w:t xml:space="preserve">Freyja Laboratory LLC, a Florida limited liability company. Operating as Freyja Labs. Both founders are managing members.</w:t>
      </w:r>
    </w:p>
    <w:p>
      <w:pPr>
        <w:pStyle w:val="Heading2"/>
        <w:spacing w:after="160" w:before="280"/>
      </w:pPr>
      <w:r>
        <w:rPr>
          <w:rFonts w:ascii="Georgia" w:cs="Georgia" w:eastAsia="Georgia" w:hAnsi="Georgia"/>
          <w:b/>
          <w:bCs/>
          <w:color w:val="6B5B3E"/>
          <w:sz w:val="26"/>
          <w:szCs w:val="26"/>
        </w:rPr>
        <w:t xml:space="preserve">Operating Model</w:t>
      </w:r>
    </w:p>
    <w:p>
      <w:pPr>
        <w:spacing w:after="160" w:line="276"/>
      </w:pPr>
      <w:r>
        <w:rPr>
          <w:rFonts w:ascii="Arial" w:cs="Arial" w:eastAsia="Arial" w:hAnsi="Arial"/>
          <w:color w:val="1C1C1C"/>
          <w:sz w:val="22"/>
          <w:szCs w:val="22"/>
        </w:rPr>
        <w:t xml:space="preserve">Both founders maintain full-time academic positions. Freyja Labs operates during non-instructional periods (summers, breaks, weekends) and through virtual delivery year-round. This constraint is a feature: it ensures the founders remain active researchers and practitioners, which is the core of the brand’s credibility. As volume increases, contract facilitators trained through the train-the-trainer program can extend delivery capacity without requiring the founders to leave their academic roles.</w:t>
      </w:r>
    </w:p>
    <w:p>
      <w:pPr>
        <w:pStyle w:val="Heading2"/>
        <w:spacing w:after="160" w:before="280"/>
      </w:pPr>
      <w:r>
        <w:rPr>
          <w:rFonts w:ascii="Georgia" w:cs="Georgia" w:eastAsia="Georgia" w:hAnsi="Georgia"/>
          <w:b/>
          <w:bCs/>
          <w:color w:val="6B5B3E"/>
          <w:sz w:val="26"/>
          <w:szCs w:val="26"/>
        </w:rPr>
        <w:t xml:space="preserve">Key Operational Requirements</w:t>
      </w:r>
    </w:p>
    <w:p>
      <w:pPr>
        <w:pStyle w:val="ListParagraph"/>
        <w:numPr>
          <w:ilvl w:val="0"/>
          <w:numId w:val="2"/>
        </w:numPr>
        <w:spacing w:after="80" w:line="276"/>
      </w:pPr>
      <w:r>
        <w:rPr>
          <w:rFonts w:ascii="Arial" w:cs="Arial" w:eastAsia="Arial" w:hAnsi="Arial"/>
          <w:color w:val="1C1C1C"/>
          <w:sz w:val="22"/>
          <w:szCs w:val="22"/>
        </w:rPr>
        <w:t xml:space="preserve">Professional liability insurance (E&amp;O coverage)</w:t>
      </w:r>
    </w:p>
    <w:p>
      <w:pPr>
        <w:pStyle w:val="ListParagraph"/>
        <w:numPr>
          <w:ilvl w:val="0"/>
          <w:numId w:val="2"/>
        </w:numPr>
        <w:spacing w:after="80" w:line="276"/>
      </w:pPr>
      <w:r>
        <w:rPr>
          <w:rFonts w:ascii="Arial" w:cs="Arial" w:eastAsia="Arial" w:hAnsi="Arial"/>
          <w:color w:val="1C1C1C"/>
          <w:sz w:val="22"/>
          <w:szCs w:val="22"/>
        </w:rPr>
        <w:t xml:space="preserve">Business banking and accounting (recommend QuickBooks Self-Employed or Wave)</w:t>
      </w:r>
    </w:p>
    <w:p>
      <w:pPr>
        <w:pStyle w:val="ListParagraph"/>
        <w:numPr>
          <w:ilvl w:val="0"/>
          <w:numId w:val="2"/>
        </w:numPr>
        <w:spacing w:after="80" w:line="276"/>
      </w:pPr>
      <w:r>
        <w:rPr>
          <w:rFonts w:ascii="Arial" w:cs="Arial" w:eastAsia="Arial" w:hAnsi="Arial"/>
          <w:color w:val="1C1C1C"/>
          <w:sz w:val="22"/>
          <w:szCs w:val="22"/>
        </w:rPr>
        <w:t xml:space="preserve">CRM for client pipeline management (HubSpot free tier is sufficient at launch)</w:t>
      </w:r>
    </w:p>
    <w:p>
      <w:pPr>
        <w:pStyle w:val="ListParagraph"/>
        <w:numPr>
          <w:ilvl w:val="0"/>
          <w:numId w:val="2"/>
        </w:numPr>
        <w:spacing w:after="80" w:line="276"/>
      </w:pPr>
      <w:r>
        <w:rPr>
          <w:rFonts w:ascii="Arial" w:cs="Arial" w:eastAsia="Arial" w:hAnsi="Arial"/>
          <w:color w:val="1C1C1C"/>
          <w:sz w:val="22"/>
          <w:szCs w:val="22"/>
        </w:rPr>
        <w:t xml:space="preserve">Travel budget for on-site engagements (pass-through to client where possible)</w:t>
      </w:r>
    </w:p>
    <w:p>
      <w:pPr>
        <w:pStyle w:val="ListParagraph"/>
        <w:numPr>
          <w:ilvl w:val="0"/>
          <w:numId w:val="2"/>
        </w:numPr>
        <w:spacing w:after="80" w:line="276"/>
      </w:pPr>
      <w:r>
        <w:rPr>
          <w:rFonts w:ascii="Arial" w:cs="Arial" w:eastAsia="Arial" w:hAnsi="Arial"/>
          <w:color w:val="1C1C1C"/>
          <w:sz w:val="22"/>
          <w:szCs w:val="22"/>
        </w:rPr>
        <w:t xml:space="preserve">UCF outside activity disclosure / conflict of interest management</w:t>
      </w:r>
    </w:p>
    <w:p>
      <w:pPr>
        <w:pStyle w:val="Heading1"/>
        <w:spacing w:after="200" w:before="360"/>
      </w:pPr>
      <w:r>
        <w:rPr>
          <w:rFonts w:ascii="Georgia" w:cs="Georgia" w:eastAsia="Georgia" w:hAnsi="Georgia"/>
          <w:b/>
          <w:bCs/>
          <w:color w:val="3D6B4F"/>
          <w:sz w:val="32"/>
          <w:szCs w:val="32"/>
        </w:rPr>
        <w:t xml:space="preserve">10. Financial Summary</w:t>
      </w:r>
    </w:p>
    <w:p>
      <w:pPr>
        <w:pStyle w:val="Heading2"/>
        <w:spacing w:after="160" w:before="280"/>
      </w:pPr>
      <w:r>
        <w:rPr>
          <w:rFonts w:ascii="Georgia" w:cs="Georgia" w:eastAsia="Georgia" w:hAnsi="Georgia"/>
          <w:b/>
          <w:bCs/>
          <w:color w:val="6B5B3E"/>
          <w:sz w:val="26"/>
          <w:szCs w:val="26"/>
        </w:rPr>
        <w:t xml:space="preserve">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312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LLC formation (already complete)</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color w:val="1C1C1C"/>
                <w:sz w:val="20"/>
                <w:szCs w:val="20"/>
              </w:rPr>
              <w:t xml:space="preserve">$125</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Domain (already secured)</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color w:val="1C1C1C"/>
                <w:sz w:val="20"/>
                <w:szCs w:val="20"/>
              </w:rPr>
              <w:t xml:space="preserve">$15/yr</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Website hosting (Netlify/Vercel free tier)</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color w:val="1C1C1C"/>
                <w:sz w:val="20"/>
                <w:szCs w:val="20"/>
              </w:rPr>
              <w:t xml:space="preserve">$0</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Professional liability insurance</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color w:val="1C1C1C"/>
                <w:sz w:val="20"/>
                <w:szCs w:val="20"/>
              </w:rPr>
              <w:t xml:space="preserve">$500–$1,200/yr</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Business cards, print collateral</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color w:val="1C1C1C"/>
                <w:sz w:val="20"/>
                <w:szCs w:val="20"/>
              </w:rPr>
              <w:t xml:space="preserve">$200–$500</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Accounting software</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color w:val="1C1C1C"/>
                <w:sz w:val="20"/>
                <w:szCs w:val="20"/>
              </w:rPr>
              <w:t xml:space="preserve">$0–$360/yr</w:t>
            </w:r>
          </w:p>
        </w:tc>
      </w:tr>
      <w:tr>
        <w:tc>
          <w:tcPr>
            <w:tcW w:type="dxa" w:w="624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Total Startup</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right"/>
            </w:pPr>
            <w:r>
              <w:rPr>
                <w:rFonts w:ascii="Arial" w:cs="Arial" w:eastAsia="Arial" w:hAnsi="Arial"/>
                <w:b/>
                <w:bCs/>
                <w:color w:val="3D6B4F"/>
                <w:sz w:val="20"/>
                <w:szCs w:val="20"/>
              </w:rPr>
              <w:t xml:space="preserve">$840–$2,200</w:t>
            </w:r>
          </w:p>
        </w:tc>
      </w:tr>
    </w:tbl>
    <w:p>
      <w:pPr>
        <w:spacing w:after="80"/>
      </w:pPr>
    </w:p>
    <w:p>
      <w:pPr>
        <w:pStyle w:val="Heading2"/>
        <w:spacing w:after="160" w:before="280"/>
      </w:pPr>
      <w:r>
        <w:rPr>
          <w:rFonts w:ascii="Georgia" w:cs="Georgia" w:eastAsia="Georgia" w:hAnsi="Georgia"/>
          <w:b/>
          <w:bCs/>
          <w:color w:val="6B5B3E"/>
          <w:sz w:val="26"/>
          <w:szCs w:val="26"/>
        </w:rPr>
        <w:t xml:space="preserve">Margin Structure</w:t>
      </w:r>
    </w:p>
    <w:p>
      <w:pPr>
        <w:spacing w:after="160" w:line="276"/>
      </w:pPr>
      <w:r>
        <w:rPr>
          <w:rFonts w:ascii="Arial" w:cs="Arial" w:eastAsia="Arial" w:hAnsi="Arial"/>
          <w:color w:val="1C1C1C"/>
          <w:sz w:val="22"/>
          <w:szCs w:val="22"/>
        </w:rPr>
        <w:t xml:space="preserve">Freyja Labs operates as a professional services firm with minimal overhead. The primary costs are travel (passed through to clients where possible), materials (largely digital), and time. At the target pricing, gross margins are 75–85% on virtual engagements and 55–70% on on-site engagements (after travel). The business is profitable from engagement one.</w:t>
      </w:r>
    </w:p>
    <w:p>
      <w:pPr>
        <w:pStyle w:val="Heading1"/>
        <w:spacing w:after="200" w:before="360"/>
      </w:pPr>
      <w:r>
        <w:rPr>
          <w:rFonts w:ascii="Georgia" w:cs="Georgia" w:eastAsia="Georgia" w:hAnsi="Georgia"/>
          <w:b/>
          <w:bCs/>
          <w:color w:val="3D6B4F"/>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312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3120"/>
            <w:tcBorders>
              <w:top w:val="single" w:color="C8C0B4" w:sz="1"/>
              <w:left w:val="single" w:color="C8C0B4" w:sz="1"/>
              <w:bottom w:val="single" w:color="C8C0B4" w:sz="1"/>
              <w:right w:val="single" w:color="C8C0B4" w:sz="1"/>
            </w:tcBorders>
            <w:shd w:fill="3D6B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Bandwidth constraints (active faculty)</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Limits number of concurrent engagements</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Train-the-trainer model extends capacity without founder time; virtual delivery fills gaps</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UCF conflict of interest</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Could restrict outside activities</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Proactive disclosure; clear separation between university and Freyja Labs IP</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Market saturation in generic PD</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Price pressure on commodity workshops</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Differentiation through customization and research depth; compete on value, not price</w:t>
            </w:r>
          </w:p>
        </w:tc>
      </w:tr>
      <w:tr>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Funding cycle dependency</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District budgets are seasonal and grant-dependent</w:t>
            </w:r>
          </w:p>
        </w:tc>
        <w:tc>
          <w:tcPr>
            <w:tcW w:type="dxa" w:w="3120"/>
            <w:tcBorders>
              <w:top w:val="single" w:color="C8C0B4" w:sz="1"/>
              <w:left w:val="single" w:color="C8C0B4" w:sz="1"/>
              <w:bottom w:val="single" w:color="C8C0B4" w:sz="1"/>
              <w:right w:val="single" w:color="C8C0B4" w:sz="1"/>
            </w:tcBorders>
            <w:tcMar>
              <w:top w:type="dxa" w:w="80"/>
              <w:left w:type="dxa" w:w="120"/>
              <w:bottom w:type="dxa" w:w="80"/>
              <w:right w:type="dxa" w:w="120"/>
            </w:tcMar>
          </w:tcPr>
          <w:p>
            <w:pPr>
              <w:jc w:val="left"/>
            </w:pPr>
            <w:r>
              <w:rPr>
                <w:rFonts w:ascii="Arial" w:cs="Arial" w:eastAsia="Arial" w:hAnsi="Arial"/>
                <w:color w:val="1C1C1C"/>
                <w:sz w:val="20"/>
                <w:szCs w:val="20"/>
              </w:rPr>
              <w:t xml:space="preserve">Diversify across districts, corporate, and licensing; retainer contracts smooth cash flow</w:t>
            </w:r>
          </w:p>
        </w:tc>
      </w:tr>
    </w:tbl>
    <w:p>
      <w:pPr>
        <w:pStyle w:val="Heading1"/>
        <w:spacing w:after="200" w:before="360"/>
      </w:pPr>
      <w:r>
        <w:rPr>
          <w:rFonts w:ascii="Georgia" w:cs="Georgia" w:eastAsia="Georgia" w:hAnsi="Georgia"/>
          <w:b/>
          <w:bCs/>
          <w:color w:val="3D6B4F"/>
          <w:sz w:val="32"/>
          <w:szCs w:val="32"/>
        </w:rPr>
        <w:t xml:space="preserve">12. Immediate Next Steps</w:t>
      </w:r>
    </w:p>
    <w:p>
      <w:pPr>
        <w:pStyle w:val="ListParagraph"/>
        <w:numPr>
          <w:ilvl w:val="0"/>
          <w:numId w:val="6"/>
        </w:numPr>
        <w:spacing w:after="100" w:line="276"/>
      </w:pPr>
      <w:r>
        <w:rPr>
          <w:rFonts w:ascii="Arial" w:cs="Arial" w:eastAsia="Arial" w:hAnsi="Arial"/>
          <w:b/>
          <w:bCs/>
          <w:color w:val="1C1C1C"/>
          <w:sz w:val="22"/>
          <w:szCs w:val="22"/>
        </w:rPr>
        <w:t xml:space="preserve">Launch freyjalabs.com </w:t>
      </w:r>
      <w:r>
        <w:rPr>
          <w:rFonts w:ascii="Arial" w:cs="Arial" w:eastAsia="Arial" w:hAnsi="Arial"/>
          <w:color w:val="1C1C1C"/>
          <w:sz w:val="22"/>
          <w:szCs w:val="22"/>
        </w:rPr>
        <w:t xml:space="preserve">with brand story, services, founder bios, and contact form. Target: 2 weeks.</w:t>
      </w:r>
    </w:p>
    <w:p>
      <w:pPr>
        <w:pStyle w:val="ListParagraph"/>
        <w:numPr>
          <w:ilvl w:val="0"/>
          <w:numId w:val="6"/>
        </w:numPr>
        <w:spacing w:after="100" w:line="276"/>
      </w:pPr>
      <w:r>
        <w:rPr>
          <w:rFonts w:ascii="Arial" w:cs="Arial" w:eastAsia="Arial" w:hAnsi="Arial"/>
          <w:b/>
          <w:bCs/>
          <w:color w:val="1C1C1C"/>
          <w:sz w:val="22"/>
          <w:szCs w:val="22"/>
        </w:rPr>
        <w:t xml:space="preserve">Develop 2–3 signature modules </w:t>
      </w:r>
      <w:r>
        <w:rPr>
          <w:rFonts w:ascii="Arial" w:cs="Arial" w:eastAsia="Arial" w:hAnsi="Arial"/>
          <w:color w:val="1C1C1C"/>
          <w:sz w:val="22"/>
          <w:szCs w:val="22"/>
        </w:rPr>
        <w:t xml:space="preserve">ready for immediate sale. Leverage existing workshop content from GenCyber, Next Gen Computing, and CRAFT-based PD.</w:t>
      </w:r>
    </w:p>
    <w:p>
      <w:pPr>
        <w:pStyle w:val="ListParagraph"/>
        <w:numPr>
          <w:ilvl w:val="0"/>
          <w:numId w:val="6"/>
        </w:numPr>
        <w:spacing w:after="100" w:line="276"/>
      </w:pPr>
      <w:r>
        <w:rPr>
          <w:rFonts w:ascii="Arial" w:cs="Arial" w:eastAsia="Arial" w:hAnsi="Arial"/>
          <w:b/>
          <w:bCs/>
          <w:color w:val="1C1C1C"/>
          <w:sz w:val="22"/>
          <w:szCs w:val="22"/>
        </w:rPr>
        <w:t xml:space="preserve">Secure anchor engagements </w:t>
      </w:r>
      <w:r>
        <w:rPr>
          <w:rFonts w:ascii="Arial" w:cs="Arial" w:eastAsia="Arial" w:hAnsi="Arial"/>
          <w:color w:val="1C1C1C"/>
          <w:sz w:val="22"/>
          <w:szCs w:val="22"/>
        </w:rPr>
        <w:t xml:space="preserve">through existing district relationships and conference networks. Target: 1–2 contracts by end of summer 2026.</w:t>
      </w:r>
    </w:p>
    <w:p>
      <w:pPr>
        <w:pStyle w:val="ListParagraph"/>
        <w:numPr>
          <w:ilvl w:val="0"/>
          <w:numId w:val="6"/>
        </w:numPr>
        <w:spacing w:after="100" w:line="276"/>
      </w:pPr>
      <w:r>
        <w:rPr>
          <w:rFonts w:ascii="Arial" w:cs="Arial" w:eastAsia="Arial" w:hAnsi="Arial"/>
          <w:b/>
          <w:bCs/>
          <w:color w:val="1C1C1C"/>
          <w:sz w:val="22"/>
          <w:szCs w:val="22"/>
        </w:rPr>
        <w:t xml:space="preserve">File UCF outside activity disclosures </w:t>
      </w:r>
      <w:r>
        <w:rPr>
          <w:rFonts w:ascii="Arial" w:cs="Arial" w:eastAsia="Arial" w:hAnsi="Arial"/>
          <w:color w:val="1C1C1C"/>
          <w:sz w:val="22"/>
          <w:szCs w:val="22"/>
        </w:rPr>
        <w:t xml:space="preserve">for both founders.</w:t>
      </w:r>
    </w:p>
    <w:p>
      <w:pPr>
        <w:pStyle w:val="ListParagraph"/>
        <w:numPr>
          <w:ilvl w:val="0"/>
          <w:numId w:val="6"/>
        </w:numPr>
        <w:spacing w:after="100" w:line="276"/>
      </w:pPr>
      <w:r>
        <w:rPr>
          <w:rFonts w:ascii="Arial" w:cs="Arial" w:eastAsia="Arial" w:hAnsi="Arial"/>
          <w:b/>
          <w:bCs/>
          <w:color w:val="1C1C1C"/>
          <w:sz w:val="22"/>
          <w:szCs w:val="22"/>
        </w:rPr>
        <w:t xml:space="preserve">Obtain professional liability insurance.</w:t>
      </w:r>
    </w:p>
    <w:p>
      <w:pPr>
        <w:pStyle w:val="ListParagraph"/>
        <w:numPr>
          <w:ilvl w:val="0"/>
          <w:numId w:val="6"/>
        </w:numPr>
        <w:spacing w:after="100" w:line="276"/>
      </w:pPr>
      <w:r>
        <w:rPr>
          <w:rFonts w:ascii="Arial" w:cs="Arial" w:eastAsia="Arial" w:hAnsi="Arial"/>
          <w:b/>
          <w:bCs/>
          <w:color w:val="1C1C1C"/>
          <w:sz w:val="22"/>
          <w:szCs w:val="22"/>
        </w:rPr>
        <w:t xml:space="preserve">Set up business banking and accounting </w:t>
      </w:r>
      <w:r>
        <w:rPr>
          <w:rFonts w:ascii="Arial" w:cs="Arial" w:eastAsia="Arial" w:hAnsi="Arial"/>
          <w:color w:val="1C1C1C"/>
          <w:sz w:val="22"/>
          <w:szCs w:val="22"/>
        </w:rPr>
        <w:t xml:space="preserve">under Freyja Laboratory LLC.</w:t>
      </w:r>
    </w:p>
    <w:p>
      <w:pPr>
        <w:spacing w:after="80"/>
      </w:pPr>
    </w:p>
    <w:p>
      <w:pPr>
        <w:pBdr>
          <w:top w:val="single" w:color="3D6B4F" w:sz="2" w:space="8"/>
        </w:pBdr>
        <w:spacing w:before="400"/>
        <w:jc w:val="center"/>
      </w:pPr>
      <w:r>
        <w:rPr>
          <w:rFonts w:ascii="Georgia" w:cs="Georgia" w:eastAsia="Georgia" w:hAnsi="Georgia"/>
          <w:i/>
          <w:iCs/>
          <w:color w:val="3D6B4F"/>
          <w:sz w:val="24"/>
          <w:szCs w:val="24"/>
        </w:rPr>
        <w:t xml:space="preserve">Freyja Labs  •  Where growth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CONFIDENTIAL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0B4" w:sz="1" w:space="4"/>
      </w:pBdr>
      <w:tabs>
        <w:tab w:val="right" w:pos="9360"/>
      </w:tabs>
      <w:jc w:val="left"/>
    </w:pPr>
    <w:r>
      <w:rPr>
        <w:rFonts w:ascii="Georgia" w:cs="Georgia" w:eastAsia="Georgia" w:hAnsi="Georgia"/>
        <w:i/>
        <w:iCs/>
        <w:color w:val="3D6B4F"/>
        <w:sz w:val="18"/>
        <w:szCs w:val="18"/>
      </w:rPr>
      <w:t xml:space="preserve">Freyja Labs</w:t>
    </w:r>
    <w:r>
      <w:rPr>
        <w:rFonts w:ascii="Arial" w:cs="Arial" w:eastAsia="Arial" w:hAnsi="Arial"/>
        <w:color w:val="5A5A5A"/>
        <w:sz w:val="16"/>
        <w:szCs w:val="16"/>
      </w:rPr>
      <w:t xml:space="preserve">	Business Plan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3D6B4F"/>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6B5B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2026-05-01T15:06:10.251Z</dcterms:created>
  <dcterms:modified xsi:type="dcterms:W3CDTF">2026-05-01T15:06:10.252Z</dcterms:modified>
</cp:coreProperties>
</file>

<file path=docProps/custom.xml><?xml version="1.0" encoding="utf-8"?>
<Properties xmlns="http://schemas.openxmlformats.org/officeDocument/2006/custom-properties" xmlns:vt="http://schemas.openxmlformats.org/officeDocument/2006/docPropsVTypes"/>
</file>