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/>
          <w:sz w:val="36"/>
        </w:rPr>
        <w:t>Arial Unicode MS: 天马智擎平台使用培训 首页对话 工作台 知识中心</w:t>
      </w:r>
    </w:p>
    <w:p>
      <w:r>
        <w:rPr>
          <w:rFonts w:ascii="Heiti SC" w:hAnsi="Heiti SC" w:eastAsia="Heiti SC"/>
          <w:sz w:val="36"/>
        </w:rPr>
        <w:t>Heiti SC: 天马智擎平台使用培训 首页对话 工作台 知识中心</w:t>
      </w:r>
    </w:p>
    <w:p>
      <w:r>
        <w:rPr>
          <w:rFonts w:ascii="Hiragino Sans GB" w:hAnsi="Hiragino Sans GB" w:eastAsia="Hiragino Sans GB"/>
          <w:sz w:val="36"/>
        </w:rPr>
        <w:t>Hiragino Sans GB: 天马智擎平台使用培训 首页对话 工作台 知识中心</w:t>
      </w:r>
    </w:p>
    <w:p>
      <w:r>
        <w:rPr>
          <w:rFonts w:ascii="STHeiti" w:hAnsi="STHeiti" w:eastAsia="STHeiti"/>
          <w:sz w:val="36"/>
        </w:rPr>
        <w:t>STHeiti: 天马智擎平台使用培训 首页对话 工作台 知识中心</w:t>
      </w:r>
    </w:p>
    <w:p>
      <w:r>
        <w:rPr>
          <w:rFonts w:ascii="SimSong" w:hAnsi="SimSong" w:eastAsia="SimSong"/>
          <w:sz w:val="36"/>
        </w:rPr>
        <w:t>SimSong: 天马智擎平台使用培训 首页对话 工作台 知识中心</w:t>
      </w:r>
    </w:p>
    <w:p>
      <w:r>
        <w:rPr>
          <w:rFonts w:ascii="FZHei-B01" w:hAnsi="FZHei-B01" w:eastAsia="FZHei-B01"/>
          <w:sz w:val="36"/>
        </w:rPr>
        <w:t>FZHei-B01: 天马智擎平台使用培训 首页对话 工作台 知识中心</w:t>
      </w:r>
    </w:p>
    <w:p>
      <w:r>
        <w:rPr>
          <w:rFonts w:ascii="Apple LiGothic" w:hAnsi="Apple LiGothic" w:eastAsia="Apple LiGothic"/>
          <w:sz w:val="36"/>
        </w:rPr>
        <w:t>Apple LiGothic: 天马智擎平台使用培训 首页对话 工作台 知识中心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