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77FF"/>
          <w:sz w:val="22"/>
        </w:rPr>
        <w:t>TIANMA · AI WORKBENCH</w:t>
      </w:r>
    </w:p>
    <w:p>
      <w:pPr>
        <w:pStyle w:val="Title"/>
      </w:pPr>
      <w:r>
        <w:t>天马智擎平台系统使用说明</w:t>
      </w:r>
    </w:p>
    <w:p>
      <w:pPr>
        <w:pStyle w:val="Subtitle"/>
      </w:pPr>
      <w:r>
        <w:rPr>
          <w:rFonts w:ascii="Microsoft YaHei" w:hAnsi="Microsoft YaHei" w:eastAsia="Microsoft YaHei"/>
          <w:color w:val="667085"/>
          <w:sz w:val="34"/>
        </w:rPr>
        <w:t>面向日常用户的快速参考与操作手册</w:t>
      </w:r>
    </w:p>
    <w:p>
      <w:r>
        <w:br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vAlign w:val="center"/>
            <w:shd w:fill="EEF4FF"/>
          </w:tcPr>
          <w:p>
            <w:r/>
            <w:r>
              <w:rPr>
                <w:rFonts w:ascii="Microsoft YaHei" w:hAnsi="Microsoft YaHei" w:eastAsia="Microsoft YaHei"/>
                <w:b/>
                <w:color w:val="1677FF"/>
                <w:sz w:val="18"/>
              </w:rPr>
              <w:t>版本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V1 培训版</w:t>
            </w:r>
          </w:p>
        </w:tc>
      </w:tr>
      <w:tr>
        <w:tc>
          <w:tcPr>
            <w:tcW w:type="dxa" w:w="1800"/>
            <w:vAlign w:val="center"/>
            <w:shd w:fill="EEF4FF"/>
          </w:tcPr>
          <w:p>
            <w:r/>
            <w:r>
              <w:rPr>
                <w:rFonts w:ascii="Microsoft YaHei" w:hAnsi="Microsoft YaHei" w:eastAsia="Microsoft YaHei"/>
                <w:b/>
                <w:color w:val="1677FF"/>
                <w:sz w:val="18"/>
              </w:rPr>
              <w:t>适用对象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天马内部员工 / 业务负责人 / 培训讲师</w:t>
            </w:r>
          </w:p>
        </w:tc>
      </w:tr>
      <w:tr>
        <w:tc>
          <w:tcPr>
            <w:tcW w:type="dxa" w:w="1800"/>
            <w:vAlign w:val="center"/>
            <w:shd w:fill="EEF4FF"/>
          </w:tcPr>
          <w:p>
            <w:r/>
            <w:r>
              <w:rPr>
                <w:rFonts w:ascii="Microsoft YaHei" w:hAnsi="Microsoft YaHei" w:eastAsia="Microsoft YaHei"/>
                <w:b/>
                <w:color w:val="1677FF"/>
                <w:sz w:val="18"/>
              </w:rPr>
              <w:t>培训范围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首页智能体、知识中心、仪表盘、工作台</w:t>
            </w:r>
          </w:p>
        </w:tc>
      </w:tr>
      <w:tr>
        <w:tc>
          <w:tcPr>
            <w:tcW w:type="dxa" w:w="1800"/>
            <w:vAlign w:val="center"/>
            <w:shd w:fill="EEF4FF"/>
          </w:tcPr>
          <w:p>
            <w:r/>
            <w:r>
              <w:rPr>
                <w:rFonts w:ascii="Microsoft YaHei" w:hAnsi="Microsoft YaHei" w:eastAsia="Microsoft YaHei"/>
                <w:b/>
                <w:color w:val="1677FF"/>
                <w:sz w:val="18"/>
              </w:rPr>
              <w:t>界面基准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测试环境实测；截图 1440×900；课件 1920×1080</w:t>
            </w:r>
          </w:p>
        </w:tc>
      </w:tr>
    </w:tbl>
    <w:p>
      <w:r>
        <w:br/>
        <w:t>内部使用提示：培训中演示的数据、知识库和系统入口应使用已批准的测试内容；页面能力以发版当日生产环境为准。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</w:r>
      <w:r>
        <w:rPr>
          <w:color w:val="667085"/>
        </w:rPr>
        <w:t>在 Word 中右键此处，选择“更新域”生成目录。</w:t>
      </w:r>
      <w:r>
        <w:fldChar w:fldCharType="end"/>
      </w:r>
    </w:p>
    <w:p>
      <w:r>
        <w:br w:type="page"/>
      </w:r>
    </w:p>
    <w:p>
      <w:pPr>
        <w:pStyle w:val="Heading1"/>
      </w:pPr>
      <w:r>
        <w:t>1. 使用前准备</w:t>
      </w:r>
    </w:p>
    <w:p>
      <w:pPr>
        <w:pStyle w:val="ListBullet"/>
      </w:pPr>
      <w:r>
        <w:t>使用公司授权账号登录；入口、知识库与系统权限因账号而异。</w:t>
      </w:r>
    </w:p>
    <w:p>
      <w:pPr>
        <w:pStyle w:val="ListBullet"/>
      </w:pPr>
      <w:r>
        <w:t>准备合规的测试或业务材料；不上传无权限或不应进入系统的数据。</w:t>
      </w:r>
    </w:p>
    <w:p>
      <w:pPr>
        <w:pStyle w:val="ListBullet"/>
      </w:pPr>
      <w:r>
        <w:t>确认浏览器网络正常；功能以发版当日正式环境为准。</w:t>
      </w:r>
    </w:p>
    <w:p>
      <w:pPr>
        <w:pStyle w:val="Heading1"/>
      </w:pPr>
      <w:r>
        <w:t>2. 首页智能对话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dai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首页主要功能区域</w:t>
      </w:r>
    </w:p>
    <w:p>
      <w:pPr>
        <w:pStyle w:val="ListNumber"/>
      </w:pPr>
      <w:r>
        <w:t>在输入框说明任务。</w:t>
      </w:r>
    </w:p>
    <w:p>
      <w:pPr>
        <w:pStyle w:val="ListNumber"/>
      </w:pPr>
      <w:r>
        <w:t>按需点击“+”添加附件。</w:t>
      </w:r>
    </w:p>
    <w:p>
      <w:pPr>
        <w:pStyle w:val="ListNumber"/>
      </w:pPr>
      <w:r>
        <w:t>选择“日常办公”或“专家模式”。</w:t>
      </w:r>
    </w:p>
    <w:p>
      <w:pPr>
        <w:pStyle w:val="ListNumber"/>
      </w:pPr>
      <w:r>
        <w:t>需要外部公开信息时开启“联网查询”。</w:t>
      </w:r>
    </w:p>
    <w:p>
      <w:pPr>
        <w:pStyle w:val="ListNumber"/>
      </w:pPr>
      <w:r>
        <w:t>提交后检查结果中的事实、数字和来源。</w:t>
      </w:r>
    </w:p>
    <w:p>
      <w:pPr>
        <w:pStyle w:val="Heading2"/>
      </w:pPr>
      <w:r>
        <w:t>2.1 日常办公模式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F"/>
          </w:tcPr>
          <w:p>
            <w:r>
              <w:rPr>
                <w:rFonts w:ascii="Microsoft YaHei" w:hAnsi="Microsoft YaHei" w:eastAsia="Microsoft YaHei"/>
                <w:b/>
                <w:color w:val="1677FF"/>
                <w:sz w:val="20"/>
              </w:rPr>
              <w:t xml:space="preserve">定位  </w:t>
            </w:r>
            <w:r>
              <w:rPr>
                <w:rFonts w:ascii="Microsoft YaHei" w:hAnsi="Microsoft YaHei" w:eastAsia="Microsoft YaHei"/>
                <w:color w:val="111827"/>
                <w:sz w:val="20"/>
              </w:rPr>
              <w:t>横向、通用、轻量的办公与协同入口。适合“我知道要做什么，希望 AI 帮我查、写、整理或发起办公动作”的任务。</w:t>
            </w:r>
          </w:p>
        </w:tc>
      </w:tr>
    </w:tbl>
    <w:p/>
    <w:p>
      <w:pPr>
        <w:pStyle w:val="ListBullet"/>
      </w:pPr>
      <w:r>
        <w:t>发消息：给指定花名发送钉钉消息，提交前检查收件人和内容。</w:t>
      </w:r>
    </w:p>
    <w:p>
      <w:pPr>
        <w:pStyle w:val="ListBullet"/>
      </w:pPr>
      <w:r>
        <w:t>建待办：提供标题、内容和截止时间。</w:t>
      </w:r>
    </w:p>
    <w:p>
      <w:pPr>
        <w:pStyle w:val="ListBullet"/>
      </w:pPr>
      <w:r>
        <w:t>建日程：提供参与人、园区/会议室、时间、时长和主题。</w:t>
      </w:r>
    </w:p>
    <w:p>
      <w:pPr>
        <w:pStyle w:val="ListBullet"/>
      </w:pPr>
      <w:r>
        <w:t>查日程：明确查询日期或范围。</w:t>
      </w:r>
    </w:p>
    <w:p>
      <w:pPr>
        <w:pStyle w:val="ListBullet"/>
      </w:pPr>
      <w:r>
        <w:t>查知识库：说明关键词、目标知识库和输出形式。</w:t>
      </w:r>
    </w:p>
    <w:p>
      <w:pPr>
        <w:pStyle w:val="ListBullet"/>
      </w:pPr>
      <w:r>
        <w:t>网络查询：说明关键词、时间范围和期望报告结构。</w:t>
      </w:r>
    </w:p>
    <w:p>
      <w:pPr>
        <w:pStyle w:val="Heading2"/>
      </w:pPr>
      <w:r>
        <w:t>2.2 专家模式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F"/>
          </w:tcPr>
          <w:p>
            <w:r>
              <w:rPr>
                <w:rFonts w:ascii="Microsoft YaHei" w:hAnsi="Microsoft YaHei" w:eastAsia="Microsoft YaHei"/>
                <w:b/>
                <w:color w:val="1677FF"/>
                <w:sz w:val="20"/>
              </w:rPr>
              <w:t xml:space="preserve">定位  </w:t>
            </w:r>
            <w:r>
              <w:rPr>
                <w:rFonts w:ascii="Microsoft YaHei" w:hAnsi="Microsoft YaHei" w:eastAsia="Microsoft YaHei"/>
                <w:color w:val="111827"/>
                <w:sz w:val="20"/>
              </w:rPr>
              <w:t>纵向、专业、复杂的专项业务入口。适合“需要按专业方法、专属知识或固定流程完成分析/方案”的任务。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xpert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专家模式列表</w:t>
      </w:r>
    </w:p>
    <w:p>
      <w:r>
        <w:t>选择原则：先判断是否依赖专业方法，再确认任务与智能体能力说明匹配、输入材料满足要求、输出可以验证。混合任务建议“先专家分析，后日常办公整理汇报、消息或待办”。</w:t>
      </w:r>
    </w:p>
    <w:p>
      <w:pPr>
        <w:pStyle w:val="Heading3"/>
      </w:pPr>
      <w:r>
        <w:t>组货专家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roup_expe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组货专家与初始化模板</w:t>
      </w:r>
    </w:p>
    <w:p>
      <w:r>
        <w:t>至少提供预算、人数、性别比例和品类需求；建议补充季节、价格带、品牌偏好、库存、交期、排除项。</w:t>
      </w:r>
    </w:p>
    <w:p>
      <w:pPr>
        <w:pStyle w:val="Heading3"/>
      </w:pPr>
      <w:r>
        <w:t>评价分析师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val_expe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评价分析师的五类快捷任务</w:t>
      </w:r>
    </w:p>
    <w:p>
      <w:r>
        <w:t>适合评价全景、差评、品牌、高风险SKU、地区/物流分析。要求系统列出证据与数据不足项，避免无依据结论。</w:t>
      </w:r>
    </w:p>
    <w:p>
      <w:pPr>
        <w:pStyle w:val="Heading2"/>
      </w:pPr>
      <w:r>
        <w:t>2.3 首页附件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ttachment_loc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首页本地附件限制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knowledge_pick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从知识中心引用文件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1677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入口</w:t>
            </w:r>
          </w:p>
        </w:tc>
        <w:tc>
          <w:tcPr>
            <w:tcW w:type="dxa" w:w="2033"/>
            <w:vAlign w:val="center"/>
            <w:shd w:fill="1677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支持格式</w:t>
            </w:r>
          </w:p>
        </w:tc>
        <w:tc>
          <w:tcPr>
            <w:tcW w:type="dxa" w:w="2033"/>
            <w:vAlign w:val="center"/>
            <w:shd w:fill="1677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单文件上限</w:t>
            </w:r>
          </w:p>
        </w:tc>
        <w:tc>
          <w:tcPr>
            <w:tcW w:type="dxa" w:w="2033"/>
            <w:vAlign w:val="center"/>
            <w:shd w:fill="1677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单次数量</w:t>
            </w:r>
          </w:p>
        </w:tc>
        <w:tc>
          <w:tcPr>
            <w:tcW w:type="dxa" w:w="2033"/>
            <w:vAlign w:val="center"/>
            <w:shd w:fill="1677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推荐用途</w:t>
            </w:r>
          </w:p>
        </w:tc>
      </w:tr>
      <w:tr>
        <w:tc>
          <w:tcPr>
            <w:tcW w:type="dxa" w:w="2033"/>
            <w:vAlign w:val="center"/>
            <w:shd w:fill="F8FAFC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首页直接附件</w:t>
            </w:r>
          </w:p>
        </w:tc>
        <w:tc>
          <w:tcPr>
            <w:tcW w:type="dxa" w:w="2033"/>
            <w:vAlign w:val="center"/>
            <w:shd w:fill="F8FAFC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pdf/doc/docx/xls/xlsx/txt/md</w:t>
            </w:r>
          </w:p>
        </w:tc>
        <w:tc>
          <w:tcPr>
            <w:tcW w:type="dxa" w:w="2033"/>
            <w:vAlign w:val="center"/>
            <w:shd w:fill="F8FAFC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10MB</w:t>
            </w:r>
          </w:p>
        </w:tc>
        <w:tc>
          <w:tcPr>
            <w:tcW w:type="dxa" w:w="2033"/>
            <w:vAlign w:val="center"/>
            <w:shd w:fill="F8FAFC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最多3个</w:t>
            </w:r>
          </w:p>
        </w:tc>
        <w:tc>
          <w:tcPr>
            <w:tcW w:type="dxa" w:w="2033"/>
            <w:vAlign w:val="center"/>
            <w:shd w:fill="F8FAFC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临时、少量、一次性材料</w:t>
            </w:r>
          </w:p>
        </w:tc>
      </w:tr>
      <w:tr>
        <w:tc>
          <w:tcPr>
            <w:tcW w:type="dxa" w:w="203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知识中心上传</w:t>
            </w:r>
          </w:p>
        </w:tc>
        <w:tc>
          <w:tcPr>
            <w:tcW w:type="dxa" w:w="203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pdf/doc/docx/xls/xlsx/csv/txt/md</w:t>
            </w:r>
          </w:p>
        </w:tc>
        <w:tc>
          <w:tcPr>
            <w:tcW w:type="dxa" w:w="203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50MB</w:t>
            </w:r>
          </w:p>
        </w:tc>
        <w:tc>
          <w:tcPr>
            <w:tcW w:type="dxa" w:w="203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最多100个</w:t>
            </w:r>
          </w:p>
        </w:tc>
        <w:tc>
          <w:tcPr>
            <w:tcW w:type="dxa" w:w="203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较大、复用、团队沉淀材料</w:t>
            </w:r>
          </w:p>
        </w:tc>
      </w:tr>
    </w:tbl>
    <w:p>
      <w:pPr>
        <w:pStyle w:val="Heading1"/>
      </w:pPr>
      <w:r>
        <w:t>3. 知识中心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knowledge_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知识中心列表与三个主要操作</w:t>
      </w:r>
    </w:p>
    <w:p>
      <w:pPr>
        <w:pStyle w:val="Heading2"/>
      </w:pPr>
      <w:r>
        <w:t>3.1 上传文件</w:t>
      </w:r>
    </w:p>
    <w:p>
      <w:pPr>
        <w:pStyle w:val="ListNumber"/>
      </w:pPr>
      <w:r>
        <w:t>进入目标知识库。</w:t>
      </w:r>
    </w:p>
    <w:p>
      <w:pPr>
        <w:pStyle w:val="ListNumber"/>
      </w:pPr>
      <w:r>
        <w:t>点击“上传文件”。</w:t>
      </w:r>
    </w:p>
    <w:p>
      <w:pPr>
        <w:pStyle w:val="ListNumber"/>
      </w:pPr>
      <w:r>
        <w:t>选择符合格式和大小要求的文件。</w:t>
      </w:r>
    </w:p>
    <w:p>
      <w:pPr>
        <w:pStyle w:val="ListNumber"/>
      </w:pPr>
      <w:r>
        <w:t>等待状态变为“处理成功”。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kb_uplo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知识中心上传限制</w:t>
      </w:r>
    </w:p>
    <w:p>
      <w:pPr>
        <w:pStyle w:val="Heading2"/>
      </w:pPr>
      <w:r>
        <w:t>3.2 文件与问答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kb_insi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知识库内文件与处理成功状态</w:t>
      </w:r>
    </w:p>
    <w:p>
      <w:pPr>
        <w:pStyle w:val="ListBullet"/>
      </w:pPr>
      <w:r>
        <w:t>文件处理成功后再在首页引用。</w:t>
      </w:r>
    </w:p>
    <w:p>
      <w:pPr>
        <w:pStyle w:val="ListBullet"/>
      </w:pPr>
      <w:r>
        <w:t>小智问答可基于知识库内容和已打开文件回答。</w:t>
      </w:r>
    </w:p>
    <w:p>
      <w:pPr>
        <w:pStyle w:val="ListBullet"/>
      </w:pPr>
      <w:r>
        <w:t>表格类文件较大时，解析与回答可能需要更长时间；重要数字要回查原表。</w:t>
      </w:r>
    </w:p>
    <w:p>
      <w:pPr>
        <w:pStyle w:val="Heading1"/>
      </w:pPr>
      <w:r>
        <w:t>4. 仪表盘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财务指标仪表盘</w:t>
      </w:r>
    </w:p>
    <w:p>
      <w:pPr>
        <w:pStyle w:val="ListNumber"/>
      </w:pPr>
      <w:r>
        <w:t>先选择事业部。</w:t>
      </w:r>
    </w:p>
    <w:p>
      <w:pPr>
        <w:pStyle w:val="ListNumber"/>
      </w:pPr>
      <w:r>
        <w:t>选择今日/昨日/本月/上月或自定义日期范围。</w:t>
      </w:r>
    </w:p>
    <w:p>
      <w:pPr>
        <w:pStyle w:val="ListNumber"/>
      </w:pPr>
      <w:r>
        <w:t>阅读当前值，再结合同比和环比判断趋势。</w:t>
      </w:r>
    </w:p>
    <w:p>
      <w:pPr>
        <w:pStyle w:val="ListNumber"/>
      </w:pPr>
      <w:r>
        <w:t>点击“指标配置”选择需要展示的指标并保存。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ashboard_confi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15项可配置指标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1F0"/>
          </w:tcPr>
          <w:p>
            <w:r>
              <w:rPr>
                <w:rFonts w:ascii="Microsoft YaHei" w:hAnsi="Microsoft YaHei" w:eastAsia="Microsoft YaHei"/>
                <w:b/>
                <w:color w:val="E53935"/>
                <w:sz w:val="20"/>
              </w:rPr>
              <w:t xml:space="preserve">注意  </w:t>
            </w:r>
            <w:r>
              <w:rPr>
                <w:rFonts w:ascii="Microsoft YaHei" w:hAnsi="Microsoft YaHei" w:eastAsia="Microsoft YaHei"/>
                <w:color w:val="111827"/>
                <w:sz w:val="20"/>
              </w:rPr>
              <w:t>页面实测支持筛选和指标配置；不要把尚未验证的导出、下钻等能力写入操作承诺。</w:t>
            </w:r>
          </w:p>
        </w:tc>
      </w:tr>
    </w:tbl>
    <w:p/>
    <w:p>
      <w:pPr>
        <w:pStyle w:val="Heading1"/>
      </w:pPr>
      <w:r>
        <w:t>5. 工作台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orkbenc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7"/>
        </w:rPr>
        <w:t>工作台系统入口</w:t>
      </w:r>
    </w:p>
    <w:p>
      <w:pPr>
        <w:pStyle w:val="ListNumber"/>
      </w:pPr>
      <w:r>
        <w:t>在顶部搜索框输入系统名称。</w:t>
      </w:r>
    </w:p>
    <w:p>
      <w:pPr>
        <w:pStyle w:val="ListNumber"/>
      </w:pPr>
      <w:r>
        <w:t>核对系统卡片名称与说明。</w:t>
      </w:r>
    </w:p>
    <w:p>
      <w:pPr>
        <w:pStyle w:val="ListNumber"/>
      </w:pPr>
      <w:r>
        <w:t>点击进入；如看不到所需系统，联系管理员确认权限或配置。</w:t>
      </w:r>
    </w:p>
    <w:p>
      <w:r>
        <w:t>当前实测账号可见 10 个系统入口，但不同员工的列表可能不同。工作台是统一入口，不代表所有系统已与首页对话自动打通。</w:t>
      </w:r>
    </w:p>
    <w:p>
      <w:pPr>
        <w:pStyle w:val="Heading1"/>
      </w:pPr>
      <w:r>
        <w:t>6. 推荐闭环：知识中心 → 首页对话</w:t>
      </w:r>
    </w:p>
    <w:p>
      <w:pPr>
        <w:pStyle w:val="ListNumber"/>
      </w:pPr>
      <w:r>
        <w:t>把较大或复用文件上传到知识中心。</w:t>
      </w:r>
    </w:p>
    <w:p>
      <w:pPr>
        <w:pStyle w:val="ListNumber"/>
      </w:pPr>
      <w:r>
        <w:t>等待“处理成功”。</w:t>
      </w:r>
    </w:p>
    <w:p>
      <w:pPr>
        <w:pStyle w:val="ListNumber"/>
      </w:pPr>
      <w:r>
        <w:t>回到首页，点击“+”，切换“知识中心”。</w:t>
      </w:r>
    </w:p>
    <w:p>
      <w:pPr>
        <w:pStyle w:val="ListNumber"/>
      </w:pPr>
      <w:r>
        <w:t>选择空间、知识库和文件。</w:t>
      </w:r>
    </w:p>
    <w:p>
      <w:pPr>
        <w:pStyle w:val="ListNumber"/>
      </w:pPr>
      <w:r>
        <w:t>选择日常办公或匹配的专家智能体。</w:t>
      </w:r>
    </w:p>
    <w:p>
      <w:pPr>
        <w:pStyle w:val="ListNumber"/>
      </w:pPr>
      <w:r>
        <w:t>用“目标—材料—约束—输出”四段式提问。</w:t>
      </w:r>
    </w:p>
    <w:p>
      <w:pPr>
        <w:pStyle w:val="ListNumber"/>
      </w:pPr>
      <w:r>
        <w:t>复核结果，必要时补充材料或收窄范围。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1677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入口</w:t>
            </w:r>
          </w:p>
        </w:tc>
        <w:tc>
          <w:tcPr>
            <w:tcW w:type="dxa" w:w="2033"/>
            <w:vAlign w:val="center"/>
            <w:shd w:fill="1677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支持格式</w:t>
            </w:r>
          </w:p>
        </w:tc>
        <w:tc>
          <w:tcPr>
            <w:tcW w:type="dxa" w:w="2033"/>
            <w:vAlign w:val="center"/>
            <w:shd w:fill="1677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单文件上限</w:t>
            </w:r>
          </w:p>
        </w:tc>
        <w:tc>
          <w:tcPr>
            <w:tcW w:type="dxa" w:w="2033"/>
            <w:vAlign w:val="center"/>
            <w:shd w:fill="1677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单次数量</w:t>
            </w:r>
          </w:p>
        </w:tc>
        <w:tc>
          <w:tcPr>
            <w:tcW w:type="dxa" w:w="2033"/>
            <w:vAlign w:val="center"/>
            <w:shd w:fill="1677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推荐用途</w:t>
            </w:r>
          </w:p>
        </w:tc>
      </w:tr>
      <w:tr>
        <w:tc>
          <w:tcPr>
            <w:tcW w:type="dxa" w:w="2033"/>
            <w:vAlign w:val="center"/>
            <w:shd w:fill="F8FAFC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首页直接附件</w:t>
            </w:r>
          </w:p>
        </w:tc>
        <w:tc>
          <w:tcPr>
            <w:tcW w:type="dxa" w:w="2033"/>
            <w:vAlign w:val="center"/>
            <w:shd w:fill="F8FAFC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pdf/doc/docx/xls/xlsx/txt/md</w:t>
            </w:r>
          </w:p>
        </w:tc>
        <w:tc>
          <w:tcPr>
            <w:tcW w:type="dxa" w:w="2033"/>
            <w:vAlign w:val="center"/>
            <w:shd w:fill="F8FAFC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10MB</w:t>
            </w:r>
          </w:p>
        </w:tc>
        <w:tc>
          <w:tcPr>
            <w:tcW w:type="dxa" w:w="2033"/>
            <w:vAlign w:val="center"/>
            <w:shd w:fill="F8FAFC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最多3个</w:t>
            </w:r>
          </w:p>
        </w:tc>
        <w:tc>
          <w:tcPr>
            <w:tcW w:type="dxa" w:w="2033"/>
            <w:vAlign w:val="center"/>
            <w:shd w:fill="F8FAFC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临时、少量、一次性材料</w:t>
            </w:r>
          </w:p>
        </w:tc>
      </w:tr>
      <w:tr>
        <w:tc>
          <w:tcPr>
            <w:tcW w:type="dxa" w:w="203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知识中心上传</w:t>
            </w:r>
          </w:p>
        </w:tc>
        <w:tc>
          <w:tcPr>
            <w:tcW w:type="dxa" w:w="203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pdf/doc/docx/xls/xlsx/csv/txt/md</w:t>
            </w:r>
          </w:p>
        </w:tc>
        <w:tc>
          <w:tcPr>
            <w:tcW w:type="dxa" w:w="203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50MB</w:t>
            </w:r>
          </w:p>
        </w:tc>
        <w:tc>
          <w:tcPr>
            <w:tcW w:type="dxa" w:w="203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最多100个</w:t>
            </w:r>
          </w:p>
        </w:tc>
        <w:tc>
          <w:tcPr>
            <w:tcW w:type="dxa" w:w="2033"/>
            <w:vAlign w:val="center"/>
            <w:shd w:fill="FFFFFF"/>
          </w:tcPr>
          <w:p>
            <w:r/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较大、复用、团队沉淀材料</w:t>
            </w:r>
          </w:p>
        </w:tc>
      </w:tr>
    </w:tbl>
    <w:p>
      <w:pPr>
        <w:pStyle w:val="Heading1"/>
      </w:pPr>
      <w:r>
        <w:t>7. 常见问题与反馈</w:t>
      </w:r>
    </w:p>
    <w:p>
      <w:pPr>
        <w:pStyle w:val="ListNumber"/>
      </w:pPr>
      <w:r>
        <w:t>点击平台中的“问题反馈”入口。</w:t>
      </w:r>
    </w:p>
    <w:p>
      <w:pPr>
        <w:pStyle w:val="ListNumber"/>
      </w:pPr>
      <w:r>
        <w:t>页面跳转到钉钉链接后，在钉钉中填写并提交。</w:t>
      </w:r>
    </w:p>
    <w:p>
      <w:pPr>
        <w:pStyle w:val="ListNumber"/>
      </w:pPr>
      <w:r>
        <w:t>写清业务场景、模式/智能体、引用材料、操作步骤、期望与实际、截图、时间和影响范围。</w:t>
      </w:r>
    </w:p>
    <w:p>
      <w:pPr>
        <w:pStyle w:val="ListNumber"/>
      </w:pPr>
      <w:r>
        <w:t>涉及敏感信息时先做脱敏，只提供定位问题所需的最小信息。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F"/>
          </w:tcPr>
          <w:p>
            <w:r>
              <w:rPr>
                <w:rFonts w:ascii="Microsoft YaHei" w:hAnsi="Microsoft YaHei" w:eastAsia="Microsoft YaHei"/>
                <w:b/>
                <w:color w:val="1677FF"/>
                <w:sz w:val="20"/>
              </w:rPr>
              <w:t xml:space="preserve">V1 共建  </w:t>
            </w:r>
            <w:r>
              <w:rPr>
                <w:rFonts w:ascii="Microsoft YaHei" w:hAnsi="Microsoft YaHei" w:eastAsia="Microsoft YaHei"/>
                <w:color w:val="111827"/>
                <w:sz w:val="20"/>
              </w:rPr>
              <w:t>请积极使用并提供正向、具体、可复现的建议。平台团队将根据反馈持续迭代功能、体验和系统连接。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 xml:space="preserve">天马智擎 V1 · 内部培训材料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TIANMA  ·  系统使用说明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Microsoft YaHei" w:hAnsi="Microsoft YaHei" w:eastAsia="Microsoft YaHe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82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77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11827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