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多模态表征大模型总体架构及模块构成"/>
    <w:p>
      <w:pPr>
        <w:pStyle w:val="Heading1"/>
      </w:pPr>
      <w:r>
        <w:rPr>
          <w:rFonts w:hint="eastAsia"/>
        </w:rPr>
        <w:t xml:space="preserve">多模态表征大模型总体架构及模块构成</w:t>
      </w:r>
    </w:p>
    <w:p>
      <w:pPr>
        <w:pStyle w:val="FirstParagraph"/>
      </w:pPr>
      <w:r>
        <w:rPr>
          <w:rFonts w:hint="eastAsia"/>
        </w:rPr>
        <w:t xml:space="preserve">本项目将构建一款高性能多模态表征大模型，项目拟选择Qwen3-VL基础模型作为骨干基座，核心拟采用双编码器为核心架构，依托因果注意力机制实现文本、图像、视觉文档、视频等多模态数据的独立编码与统一表征，本架构将遵循Qwen3-VL的指令感知式上下文结构进行设计，拟支持32K超长序列输入、三十余种语言的多语言处理能力，同时将设置2B（28层网络）和8B（36层网络）两种参数规模版本，本模型核心将实现各类多模态输入到任务感知稠密向量表征的转化，各功能模块将严格按照多模态数据的处理流程依次衔接、层层发挥作用，形成从多模态输入接收、处理到嵌入向量输出的完整架构链路，保障多模态统一表征的高效实现。</w:t>
      </w:r>
    </w:p>
    <w:p>
      <w:pPr>
        <w:pStyle w:val="BodyText"/>
      </w:pPr>
      <w:r>
        <w:rPr>
          <w:rFonts w:hint="eastAsia"/>
          <w:b/>
          <w:bCs/>
        </w:rPr>
        <w:t xml:space="preserve">模态适配处理模块</w:t>
      </w:r>
      <w:r>
        <w:rPr>
          <w:rFonts w:hint="eastAsia"/>
        </w:rPr>
        <w:t xml:space="preserve">是多模态数据进入模型的首个处理层，针对图像、视频、视觉文档不同视觉模态的输入特性开展专属的前置结构拆分与格式转换处理，为图像保留原始宽高比并转化为视觉编码器可处理的张量格式，为视频按固定帧率完成帧采样并设置最大采样帧数，再对单帧图像单独做格式转换且保留视频的时序特性，为视觉文档按版面结构拆分文字、图片、表格等子组件，分别完成格式转换后按原始版面顺序拼接为统一的视觉张量并保留文档版面语义，该模块所有处理仅做架构层面的格式适配，不改变视觉数据核心特征，同时对各视觉模态的令牌消耗设置上限约束，避免超长视觉输入导致的编码溢出，确保适配后的视觉输入能满足模型32K序列长度的架构设计要求。</w:t>
      </w:r>
    </w:p>
    <w:p>
      <w:pPr>
        <w:pStyle w:val="BodyText"/>
      </w:pPr>
      <w:r>
        <w:rPr>
          <w:rFonts w:hint="eastAsia"/>
          <w:b/>
          <w:bCs/>
        </w:rPr>
        <w:t xml:space="preserve">输入处理与模板解析模块</w:t>
      </w:r>
      <w:r>
        <w:rPr>
          <w:rFonts w:hint="eastAsia"/>
        </w:rPr>
        <w:t xml:space="preserve">是承接模态适配处理模块的核心衔接层，作为模型的指令感知核心入口，承担架构层面任务定制化的核心功能，对接经前置处理的视觉数据及原始文本数据，负责解析用户传入的各类任务指令和多模态实例，按照Qwen3-VL固定的上下文模板将各类输入封装为标准化的令牌序列，以系统消息段传入任务指令、用户消息段传入处理后的多模态实例，最后拼接起到锚点作用的PAD令牌，无论输入为单一模态还是多模态组合，最终都会将其转化为包含系统、指令、用户、多模态、PAD相关令牌的统一序列，实现全类型输入格式的归一化，确保不同任务、不同模态的输入能被后续模块统一处理。</w:t>
      </w:r>
    </w:p>
    <w:p>
      <w:pPr>
        <w:pStyle w:val="BodyText"/>
      </w:pPr>
      <w:r>
        <w:rPr>
          <w:rFonts w:hint="eastAsia"/>
          <w:b/>
          <w:bCs/>
        </w:rPr>
        <w:t xml:space="preserve">基础支撑模块</w:t>
      </w:r>
      <w:r>
        <w:rPr>
          <w:rFonts w:hint="eastAsia"/>
        </w:rPr>
        <w:t xml:space="preserve">是多模态表征大模型的底层核心基座，复用Qwen3-VL的视觉编码器和Qwen3</w:t>
      </w:r>
      <w:r>
        <w:t xml:space="preserve"> </w:t>
      </w:r>
      <w:r>
        <w:rPr>
          <w:rFonts w:hint="eastAsia"/>
        </w:rPr>
        <w:t xml:space="preserve">LM稠密解码器两大核心组件，承接输入处理与模板解析模块输出的标准化令牌序列，其中视觉编码器专门对序列中的视觉令牌做进一步特征提取与优化，Qwen3</w:t>
      </w:r>
      <w:r>
        <w:t xml:space="preserve"> </w:t>
      </w:r>
      <w:r>
        <w:rPr>
          <w:rFonts w:hint="eastAsia"/>
        </w:rPr>
        <w:t xml:space="preserve">LM稠密解码器同时接收视觉令牌和文本令牌，依托因果注意力机制完成跨模态语义融合与特征深度编码，最终输出模型权重和最后隐藏状态，为后续的特征编码和向量生成提供高维语义特征基础，同时继承Qwen3-VL的多语言能力，支持32K</w:t>
      </w:r>
      <w:r>
        <w:t xml:space="preserve"> </w:t>
      </w:r>
      <w:r>
        <w:rPr>
          <w:rFonts w:hint="eastAsia"/>
        </w:rPr>
        <w:t xml:space="preserve">tokens超长序列的特征编码，能够适配长文本、长视频等复杂多模态输入的处理需求。</w:t>
      </w:r>
    </w:p>
    <w:p>
      <w:pPr>
        <w:pStyle w:val="BodyText"/>
      </w:pPr>
      <w:r>
        <w:rPr>
          <w:rFonts w:hint="eastAsia"/>
          <w:b/>
          <w:bCs/>
        </w:rPr>
        <w:t xml:space="preserve">核心编码模块</w:t>
      </w:r>
      <w:r>
        <w:rPr>
          <w:rFonts w:hint="eastAsia"/>
        </w:rPr>
        <w:t xml:space="preserve">是多模态表征大模型双编码器架构的核心执行层，依托基础支撑模块提供的特征基础和组件能力，对标准化后的多模态令牌序列中的文本模态和视觉模态开展独立的特征编码处理，为文本模态由语言解码器直接对文本令牌完成深度编码，为视觉模态先经由视觉编码器完成特征转化后，再送入语言解码器进行编码，针对多模态组合输入，在完成各模态独立编码后，由语言解码器完成跨模态的轻量融合，该模块的设计能有效避免跨模态编码的相互干扰，同时依托因果注意力机制实现模态内的特征深度融合，最终输出与输入序列长度匹配、包含所有模态完整语义特征信息的高维特征序列，为嵌入向量生成提供核心且精准的特征源。</w:t>
      </w:r>
    </w:p>
    <w:p>
      <w:pPr>
        <w:pStyle w:val="BodyText"/>
      </w:pPr>
      <w:r>
        <w:rPr>
          <w:rFonts w:hint="eastAsia"/>
          <w:b/>
          <w:bCs/>
        </w:rPr>
        <w:t xml:space="preserve">嵌入向量生成模块</w:t>
      </w:r>
      <w:r>
        <w:rPr>
          <w:rFonts w:hint="eastAsia"/>
        </w:rPr>
        <w:t xml:space="preserve">是多模态表征大模型的最终输出层，也是实现多模态统一表征的关键核心模块，承接核心编码模块输出的高维特征序列，以序列中PAD令牌为唯一锚点，精准提取该令牌位置对应的模型最后隐藏状态，并将其作为整个多模态输入的最终嵌入向量表征，实现任意多模态输入到单一固定维度稠密向量的转化，为2B版本设置2048维固定输出嵌入向量，为8B版本设置4096维固定输出嵌入向量，向量维度与输入的模态类型、输入长度均无关联，该模块生成的高维稠密实值向量，可直接通过余弦相似度等常用度量方式实现多模态实例间的相关性判断，能够完美适配多模态检索的核心业务需求。</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2026-03-06T00:43:21Z</dcterms:created>
  <dcterms:modified xsi:type="dcterms:W3CDTF">2026-03-06T00:43:21Z</dcterms:modified>
</cp:coreProperties>
</file>

<file path=docProps/custom.xml><?xml version="1.0" encoding="utf-8"?>
<Properties xmlns="http://schemas.openxmlformats.org/officeDocument/2006/custom-properties" xmlns:vt="http://schemas.openxmlformats.org/officeDocument/2006/docPropsVTypes"/>
</file>