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01"/>
        <w:rPr>
          <w:rFonts w:ascii="Times New Roman" w:hAnsi="Times New Roman"/>
          <w:b/>
          <w:bCs/>
          <w:sz w:val="10"/>
          <w:szCs w:val="10"/>
        </w:rPr>
      </w:pPr>
    </w:p>
    <w:p>
      <w:pPr>
        <w:ind w:firstLine="201"/>
        <w:rPr>
          <w:rFonts w:ascii="Times New Roman" w:hAnsi="Times New Roman"/>
          <w:b/>
          <w:bCs/>
          <w:sz w:val="10"/>
          <w:szCs w:val="10"/>
        </w:rPr>
      </w:pPr>
    </w:p>
    <w:p>
      <w:pPr>
        <w:ind w:firstLine="0" w:firstLineChars="0"/>
        <w:jc w:val="center"/>
        <w:rPr>
          <w:rFonts w:ascii="Times New Roman" w:hAnsi="Times New Roman"/>
          <w:b/>
          <w:bCs/>
          <w:sz w:val="52"/>
          <w:szCs w:val="52"/>
        </w:rPr>
      </w:pPr>
      <w:r>
        <w:rPr>
          <w:rFonts w:ascii="Times New Roman" w:hAnsi="Times New Roman"/>
          <w:b/>
          <w:bCs/>
          <w:sz w:val="52"/>
          <w:szCs w:val="52"/>
        </w:rPr>
        <w:t>国家人工智能应用中试基地项目</w:t>
      </w:r>
    </w:p>
    <w:p>
      <w:pPr>
        <w:ind w:firstLine="0" w:firstLineChars="0"/>
        <w:jc w:val="center"/>
        <w:rPr>
          <w:rFonts w:ascii="Times New Roman" w:hAnsi="Times New Roman"/>
          <w:b/>
          <w:bCs/>
          <w:spacing w:val="40"/>
          <w:sz w:val="52"/>
          <w:szCs w:val="52"/>
        </w:rPr>
      </w:pPr>
      <w:r>
        <w:rPr>
          <w:rFonts w:hint="eastAsia" w:ascii="Times New Roman" w:hAnsi="Times New Roman"/>
          <w:b/>
          <w:bCs/>
          <w:sz w:val="52"/>
          <w:szCs w:val="52"/>
        </w:rPr>
        <w:t>初步设计</w:t>
      </w:r>
      <w:r>
        <w:rPr>
          <w:rFonts w:ascii="Times New Roman" w:hAnsi="Times New Roman"/>
          <w:b/>
          <w:bCs/>
          <w:sz w:val="52"/>
          <w:szCs w:val="52"/>
        </w:rPr>
        <w:t>报告</w:t>
      </w:r>
    </w:p>
    <w:p>
      <w:pPr>
        <w:ind w:firstLine="562"/>
        <w:rPr>
          <w:rFonts w:ascii="Times New Roman" w:hAnsi="Times New Roman"/>
          <w:b/>
          <w:bCs/>
        </w:rPr>
      </w:pPr>
    </w:p>
    <w:p>
      <w:pPr>
        <w:ind w:firstLine="562"/>
        <w:rPr>
          <w:rFonts w:ascii="Times New Roman" w:hAnsi="Times New Roman"/>
          <w:b/>
          <w:bCs/>
        </w:rPr>
      </w:pPr>
    </w:p>
    <w:p>
      <w:pPr>
        <w:ind w:firstLine="562"/>
        <w:rPr>
          <w:rFonts w:ascii="Times New Roman" w:hAnsi="Times New Roman"/>
          <w:b/>
          <w:bCs/>
        </w:rPr>
      </w:pPr>
    </w:p>
    <w:p>
      <w:pPr>
        <w:ind w:firstLine="562"/>
        <w:rPr>
          <w:rFonts w:ascii="Times New Roman" w:hAnsi="Times New Roman"/>
          <w:b/>
          <w:bCs/>
        </w:rPr>
      </w:pPr>
    </w:p>
    <w:p>
      <w:pPr>
        <w:ind w:firstLine="562"/>
        <w:rPr>
          <w:rFonts w:ascii="Times New Roman" w:hAnsi="Times New Roman"/>
          <w:b/>
          <w:bCs/>
        </w:rPr>
      </w:pPr>
    </w:p>
    <w:p>
      <w:pPr>
        <w:ind w:firstLine="990" w:firstLineChars="275"/>
        <w:rPr>
          <w:rFonts w:ascii="Times New Roman" w:hAnsi="Times New Roman"/>
          <w:b/>
          <w:bCs/>
          <w:sz w:val="36"/>
          <w:szCs w:val="36"/>
        </w:rPr>
      </w:pPr>
      <w:r>
        <w:rPr>
          <w:rFonts w:ascii="Times New Roman" w:hAnsi="Times New Roman"/>
          <w:b/>
          <w:bCs/>
          <w:sz w:val="36"/>
          <w:szCs w:val="36"/>
        </w:rPr>
        <w:t>项目名称：国家人工智能（公共安全）应用中试基地（社会风险预警管控方向）</w:t>
      </w:r>
    </w:p>
    <w:p>
      <w:pPr>
        <w:ind w:firstLine="990" w:firstLineChars="275"/>
        <w:rPr>
          <w:rFonts w:ascii="Times New Roman" w:hAnsi="Times New Roman"/>
          <w:b/>
          <w:bCs/>
          <w:sz w:val="36"/>
          <w:szCs w:val="36"/>
        </w:rPr>
      </w:pPr>
      <w:r>
        <w:rPr>
          <w:rFonts w:ascii="Times New Roman" w:hAnsi="Times New Roman"/>
          <w:b/>
          <w:bCs/>
          <w:sz w:val="36"/>
          <w:szCs w:val="36"/>
        </w:rPr>
        <w:t>申报单位：公安部第一研究所</w:t>
      </w:r>
    </w:p>
    <w:p>
      <w:pPr>
        <w:ind w:firstLine="963" w:firstLineChars="275"/>
        <w:rPr>
          <w:rFonts w:ascii="Times New Roman" w:hAnsi="Times New Roman"/>
          <w:b/>
          <w:bCs/>
          <w:sz w:val="36"/>
          <w:szCs w:val="36"/>
        </w:rPr>
      </w:pPr>
      <w:r>
        <w:rPr>
          <w:rFonts w:ascii="Times New Roman" w:hAnsi="Times New Roman"/>
          <w:b/>
          <w:bCs/>
          <w:spacing w:val="-5"/>
          <w:sz w:val="36"/>
          <w:szCs w:val="36"/>
        </w:rPr>
        <w:t xml:space="preserve">地    址： </w:t>
      </w:r>
      <w:r>
        <w:rPr>
          <w:rFonts w:ascii="Times New Roman" w:hAnsi="Times New Roman"/>
          <w:b/>
          <w:bCs/>
          <w:sz w:val="36"/>
          <w:szCs w:val="36"/>
        </w:rPr>
        <w:t>北京市海淀区首体南路1号</w:t>
      </w:r>
    </w:p>
    <w:p>
      <w:pPr>
        <w:ind w:firstLine="990" w:firstLineChars="275"/>
        <w:rPr>
          <w:rFonts w:ascii="Times New Roman" w:hAnsi="Times New Roman"/>
          <w:b/>
          <w:bCs/>
          <w:sz w:val="36"/>
          <w:szCs w:val="36"/>
        </w:rPr>
      </w:pPr>
      <w:r>
        <w:rPr>
          <w:rFonts w:ascii="Times New Roman" w:hAnsi="Times New Roman"/>
          <w:b/>
          <w:bCs/>
          <w:sz w:val="36"/>
          <w:szCs w:val="36"/>
        </w:rPr>
        <w:t>邮政编码：100048</w:t>
      </w:r>
    </w:p>
    <w:p>
      <w:pPr>
        <w:ind w:firstLine="990" w:firstLineChars="275"/>
        <w:rPr>
          <w:rFonts w:ascii="Times New Roman" w:hAnsi="Times New Roman"/>
          <w:b/>
          <w:bCs/>
          <w:kern w:val="24"/>
          <w:sz w:val="36"/>
          <w:szCs w:val="36"/>
        </w:rPr>
      </w:pPr>
      <w:r>
        <w:rPr>
          <w:rFonts w:ascii="Times New Roman" w:hAnsi="Times New Roman"/>
          <w:b/>
          <w:bCs/>
          <w:sz w:val="36"/>
          <w:szCs w:val="36"/>
        </w:rPr>
        <w:t>联 系 人</w:t>
      </w:r>
      <w:r>
        <w:rPr>
          <w:rFonts w:ascii="Times New Roman" w:hAnsi="Times New Roman"/>
          <w:b/>
          <w:bCs/>
          <w:kern w:val="24"/>
          <w:sz w:val="36"/>
          <w:szCs w:val="36"/>
        </w:rPr>
        <w:t>：杨宏</w:t>
      </w:r>
    </w:p>
    <w:p>
      <w:pPr>
        <w:ind w:firstLine="990" w:firstLineChars="275"/>
        <w:rPr>
          <w:rFonts w:ascii="Times New Roman" w:hAnsi="Times New Roman"/>
          <w:b/>
          <w:bCs/>
          <w:sz w:val="36"/>
          <w:szCs w:val="36"/>
        </w:rPr>
      </w:pPr>
      <w:r>
        <w:rPr>
          <w:rFonts w:ascii="Times New Roman" w:hAnsi="Times New Roman"/>
          <w:b/>
          <w:bCs/>
          <w:sz w:val="36"/>
          <w:szCs w:val="36"/>
        </w:rPr>
        <w:t>电    话：010-68773469</w:t>
      </w:r>
    </w:p>
    <w:p>
      <w:pPr>
        <w:ind w:firstLine="990" w:firstLineChars="275"/>
        <w:rPr>
          <w:rFonts w:ascii="Times New Roman" w:hAnsi="Times New Roman"/>
          <w:b/>
          <w:bCs/>
          <w:sz w:val="36"/>
          <w:szCs w:val="36"/>
        </w:rPr>
      </w:pPr>
      <w:r>
        <w:rPr>
          <w:rFonts w:ascii="Times New Roman" w:hAnsi="Times New Roman"/>
          <w:b/>
          <w:bCs/>
          <w:sz w:val="36"/>
          <w:szCs w:val="36"/>
        </w:rPr>
        <w:t>传    真：</w:t>
      </w:r>
      <w:r>
        <w:rPr>
          <w:rFonts w:ascii="Times New Roman" w:hAnsi="Times New Roman"/>
          <w:b/>
          <w:bCs/>
          <w:color w:val="000000"/>
          <w:sz w:val="36"/>
          <w:szCs w:val="36"/>
        </w:rPr>
        <w:t>010-68773280</w:t>
      </w:r>
    </w:p>
    <w:p>
      <w:pPr>
        <w:ind w:firstLine="562"/>
        <w:rPr>
          <w:rFonts w:ascii="Times New Roman" w:hAnsi="Times New Roman"/>
          <w:b/>
          <w:bCs/>
        </w:rPr>
      </w:pPr>
    </w:p>
    <w:p>
      <w:pPr>
        <w:ind w:firstLine="562"/>
        <w:rPr>
          <w:rFonts w:ascii="Times New Roman" w:hAnsi="Times New Roman"/>
          <w:b/>
          <w:bCs/>
        </w:rPr>
      </w:pPr>
    </w:p>
    <w:p>
      <w:pPr>
        <w:ind w:firstLine="562"/>
        <w:rPr>
          <w:rFonts w:ascii="Times New Roman" w:hAnsi="Times New Roman"/>
          <w:b/>
          <w:bCs/>
        </w:rPr>
      </w:pPr>
    </w:p>
    <w:p>
      <w:pPr>
        <w:ind w:firstLine="723"/>
        <w:jc w:val="center"/>
        <w:rPr>
          <w:rFonts w:ascii="Times New Roman" w:hAnsi="Times New Roman"/>
          <w:b/>
          <w:bCs/>
          <w:sz w:val="36"/>
          <w:szCs w:val="36"/>
        </w:rPr>
      </w:pPr>
      <w:r>
        <w:rPr>
          <w:rFonts w:ascii="Times New Roman" w:hAnsi="Times New Roman"/>
          <w:b/>
          <w:bCs/>
          <w:sz w:val="36"/>
          <w:szCs w:val="36"/>
        </w:rPr>
        <w:t>主管部门：中华人民共和国公安部</w:t>
      </w:r>
    </w:p>
    <w:p>
      <w:pPr>
        <w:pStyle w:val="209"/>
        <w:spacing w:after="0" w:line="360" w:lineRule="auto"/>
        <w:ind w:hanging="1"/>
        <w:jc w:val="center"/>
        <w:rPr>
          <w:rFonts w:ascii="Times New Roman" w:hAnsi="Times New Roman" w:eastAsia="仿宋" w:cs="Times New Roman"/>
          <w:b/>
          <w:bCs/>
          <w:kern w:val="24"/>
          <w:sz w:val="36"/>
          <w:szCs w:val="36"/>
        </w:rPr>
      </w:pPr>
      <w:r>
        <w:rPr>
          <w:rFonts w:ascii="Times New Roman" w:hAnsi="Times New Roman" w:eastAsia="仿宋" w:cs="Times New Roman"/>
          <w:b/>
          <w:bCs/>
          <w:kern w:val="24"/>
          <w:sz w:val="36"/>
          <w:szCs w:val="36"/>
        </w:rPr>
        <w:t>申报日期：二零二</w:t>
      </w:r>
      <w:r>
        <w:rPr>
          <w:rFonts w:hint="eastAsia" w:ascii="Times New Roman" w:hAnsi="Times New Roman" w:eastAsia="仿宋" w:cs="Times New Roman"/>
          <w:b/>
          <w:bCs/>
          <w:kern w:val="24"/>
          <w:sz w:val="36"/>
          <w:szCs w:val="36"/>
        </w:rPr>
        <w:t>六</w:t>
      </w:r>
      <w:r>
        <w:rPr>
          <w:rFonts w:ascii="Times New Roman" w:hAnsi="Times New Roman" w:eastAsia="仿宋" w:cs="Times New Roman"/>
          <w:b/>
          <w:bCs/>
          <w:kern w:val="24"/>
          <w:sz w:val="36"/>
          <w:szCs w:val="36"/>
        </w:rPr>
        <w:t>年</w:t>
      </w:r>
      <w:r>
        <w:rPr>
          <w:rFonts w:hint="eastAsia" w:ascii="Times New Roman" w:hAnsi="Times New Roman" w:eastAsia="仿宋" w:cs="Times New Roman"/>
          <w:b/>
          <w:bCs/>
          <w:kern w:val="24"/>
          <w:sz w:val="36"/>
          <w:szCs w:val="36"/>
        </w:rPr>
        <w:t>三</w:t>
      </w:r>
      <w:r>
        <w:rPr>
          <w:rFonts w:ascii="Times New Roman" w:hAnsi="Times New Roman" w:eastAsia="仿宋" w:cs="Times New Roman"/>
          <w:b/>
          <w:bCs/>
          <w:kern w:val="24"/>
          <w:sz w:val="36"/>
          <w:szCs w:val="36"/>
        </w:rPr>
        <w:t>月</w:t>
      </w:r>
    </w:p>
    <w:p>
      <w:pPr>
        <w:pStyle w:val="209"/>
        <w:spacing w:after="0" w:line="360" w:lineRule="auto"/>
        <w:ind w:hanging="1"/>
        <w:jc w:val="center"/>
        <w:rPr>
          <w:rFonts w:ascii="Times New Roman" w:hAnsi="Times New Roman" w:eastAsia="仿宋" w:cs="Times New Roman"/>
          <w:b/>
          <w:bCs/>
          <w:kern w:val="24"/>
          <w:sz w:val="36"/>
          <w:szCs w:val="36"/>
        </w:rPr>
      </w:pPr>
    </w:p>
    <w:p>
      <w:pPr>
        <w:pStyle w:val="209"/>
        <w:spacing w:after="0" w:line="360" w:lineRule="auto"/>
        <w:ind w:hanging="1"/>
        <w:jc w:val="center"/>
        <w:rPr>
          <w:rFonts w:ascii="Times New Roman" w:hAnsi="Times New Roman" w:eastAsia="仿宋" w:cs="Times New Roman"/>
          <w:b/>
          <w:bCs/>
          <w:kern w:val="24"/>
          <w:sz w:val="36"/>
          <w:szCs w:val="36"/>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721" w:bottom="1440" w:left="1644" w:header="851" w:footer="992" w:gutter="0"/>
          <w:pgNumType w:start="1"/>
          <w:cols w:space="720" w:num="1"/>
          <w:titlePg/>
          <w:docGrid w:type="lines" w:linePitch="381" w:charSpace="0"/>
        </w:sectPr>
      </w:pPr>
    </w:p>
    <w:p>
      <w:pPr>
        <w:ind w:left="-3" w:leftChars="-1" w:firstLine="0" w:firstLineChars="0"/>
        <w:jc w:val="center"/>
        <w:rPr>
          <w:rFonts w:ascii="Times New Roman" w:hAnsi="Times New Roman"/>
          <w:b/>
          <w:bCs/>
          <w:sz w:val="30"/>
          <w:szCs w:val="30"/>
        </w:rPr>
      </w:pPr>
      <w:r>
        <w:rPr>
          <w:rFonts w:ascii="Times New Roman" w:hAnsi="Times New Roman"/>
          <w:b/>
          <w:bCs/>
          <w:sz w:val="30"/>
          <w:szCs w:val="30"/>
          <w:lang w:val="zh-CN"/>
        </w:rPr>
        <w:t>目  录</w:t>
      </w:r>
    </w:p>
    <w:p>
      <w:pPr>
        <w:pStyle w:val="93"/>
        <w:tabs>
          <w:tab w:val="right" w:leader="dot" w:pos="8296"/>
        </w:tabs>
        <w:rPr>
          <w:rFonts w:eastAsiaTheme="minorEastAsia" w:cstheme="minorBidi"/>
          <w:b w:val="0"/>
          <w:bCs w:val="0"/>
          <w:caps w:val="0"/>
          <w:sz w:val="22"/>
          <w14:ligatures w14:val="standardContextual"/>
        </w:rPr>
      </w:pPr>
      <w:r>
        <w:rPr>
          <w:sz w:val="24"/>
        </w:rPr>
        <w:fldChar w:fldCharType="begin"/>
      </w:r>
      <w:r>
        <w:rPr>
          <w:sz w:val="24"/>
        </w:rPr>
        <w:instrText xml:space="preserve"> TOC \o "1-3" \h \z \u </w:instrText>
      </w:r>
      <w:r>
        <w:rPr>
          <w:sz w:val="24"/>
        </w:rPr>
        <w:fldChar w:fldCharType="separate"/>
      </w:r>
      <w:r>
        <w:fldChar w:fldCharType="begin"/>
      </w:r>
      <w:r>
        <w:instrText xml:space="preserve"> HYPERLINK \l "_Toc221892823" </w:instrText>
      </w:r>
      <w:r>
        <w:fldChar w:fldCharType="separate"/>
      </w:r>
      <w:r>
        <w:rPr>
          <w:rStyle w:val="45"/>
          <w:rFonts w:hint="eastAsia" w:ascii="Times New Roman" w:hAnsi="Times New Roman"/>
        </w:rPr>
        <w:t>第一章 概述</w:t>
      </w:r>
      <w:r>
        <w:rPr>
          <w:rFonts w:hint="eastAsia"/>
        </w:rPr>
        <w:tab/>
      </w:r>
      <w:r>
        <w:rPr>
          <w:rFonts w:hint="eastAsia"/>
        </w:rPr>
        <w:fldChar w:fldCharType="begin"/>
      </w:r>
      <w:r>
        <w:rPr>
          <w:rFonts w:hint="eastAsia"/>
        </w:rPr>
        <w:instrText xml:space="preserve"> </w:instrText>
      </w:r>
      <w:r>
        <w:instrText xml:space="preserve">PAGEREF _Toc221892823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"_Toc221892824" </w:instrText>
      </w:r>
      <w:r>
        <w:fldChar w:fldCharType="separate"/>
      </w:r>
      <w:r>
        <w:rPr>
          <w:rStyle w:val="45"/>
          <w:rFonts w:hint="eastAsia" w:ascii="Times New Roman" w:hAnsi="Times New Roman"/>
        </w:rPr>
        <w:t>1.1 项目概况</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_Toc221892824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"_Toc221892825" </w:instrText>
      </w:r>
      <w:r>
        <w:fldChar w:fldCharType="separate"/>
      </w:r>
      <w:r>
        <w:rPr>
          <w:rStyle w:val="45"/>
          <w:rFonts w:hint="eastAsia" w:ascii="Times New Roman" w:hAnsi="Times New Roman"/>
        </w:rPr>
        <w:t>1.1.1 项目名称</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_Toc221892825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"_Toc221892826" </w:instrText>
      </w:r>
      <w:r>
        <w:fldChar w:fldCharType="separate"/>
      </w:r>
      <w:r>
        <w:rPr>
          <w:rStyle w:val="45"/>
          <w:rFonts w:hint="eastAsia" w:ascii="Times New Roman" w:hAnsi="Times New Roman"/>
        </w:rPr>
        <w:t>1.1.2 项目建设目标和任务</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_Toc221892826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"_Toc221892827" </w:instrText>
      </w:r>
      <w:r>
        <w:fldChar w:fldCharType="separate"/>
      </w:r>
      <w:r>
        <w:rPr>
          <w:rStyle w:val="45"/>
          <w:rFonts w:hint="eastAsia" w:ascii="Times New Roman" w:hAnsi="Times New Roman"/>
        </w:rPr>
        <w:t>1.1.3 发展战略与运行规划</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_Toc221892827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"_Toc221892828" </w:instrText>
      </w:r>
      <w:r>
        <w:fldChar w:fldCharType="separate"/>
      </w:r>
      <w:r>
        <w:rPr>
          <w:rStyle w:val="45"/>
          <w:rFonts w:hint="eastAsia" w:ascii="Times New Roman" w:hAnsi="Times New Roman"/>
        </w:rPr>
        <w:t>1.1.4 建设地点</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_Toc221892828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"_Toc221892829" </w:instrText>
      </w:r>
      <w:r>
        <w:fldChar w:fldCharType="separate"/>
      </w:r>
      <w:r>
        <w:rPr>
          <w:rStyle w:val="45"/>
          <w:rFonts w:hint="eastAsia" w:ascii="Times New Roman" w:hAnsi="Times New Roman"/>
        </w:rPr>
        <w:t>1.1.5 建设内容和规模</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_Toc221892829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8</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"_Toc221892830" </w:instrText>
      </w:r>
      <w:r>
        <w:fldChar w:fldCharType="separate"/>
      </w:r>
      <w:r>
        <w:rPr>
          <w:rStyle w:val="45"/>
          <w:rFonts w:hint="eastAsia" w:ascii="Times New Roman" w:hAnsi="Times New Roman"/>
        </w:rPr>
        <w:t>1.1.6 建设工期</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_Toc221892830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"_Toc221892831" </w:instrText>
      </w:r>
      <w:r>
        <w:fldChar w:fldCharType="separate"/>
      </w:r>
      <w:r>
        <w:rPr>
          <w:rStyle w:val="45"/>
          <w:rFonts w:hint="eastAsia" w:ascii="Times New Roman" w:hAnsi="Times New Roman"/>
        </w:rPr>
        <w:t>1.1.7 投资规模和资金来源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_Toc221892831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11</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"_Toc221892832" </w:instrText>
      </w:r>
      <w:r>
        <w:fldChar w:fldCharType="separate"/>
      </w:r>
      <w:r>
        <w:rPr>
          <w:rStyle w:val="45"/>
          <w:rFonts w:hint="eastAsia" w:ascii="Times New Roman" w:hAnsi="Times New Roman"/>
        </w:rPr>
        <w:t>1.1.8 建设模式</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_Toc221892832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11</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"_Toc221892833" </w:instrText>
      </w:r>
      <w:r>
        <w:fldChar w:fldCharType="separate"/>
      </w:r>
      <w:r>
        <w:rPr>
          <w:rStyle w:val="45"/>
          <w:rFonts w:hint="eastAsia" w:ascii="Times New Roman" w:hAnsi="Times New Roman"/>
        </w:rPr>
        <w:t>1.1.9 主要技术经济指标</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_Toc221892833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11</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"_Toc221892834" </w:instrText>
      </w:r>
      <w:r>
        <w:fldChar w:fldCharType="separate"/>
      </w:r>
      <w:r>
        <w:rPr>
          <w:rStyle w:val="45"/>
          <w:rFonts w:hint="eastAsia" w:ascii="Times New Roman" w:hAnsi="Times New Roman"/>
        </w:rPr>
        <w:t>1.1.10 绩效目标</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_Toc221892834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13</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"_Toc221892835" </w:instrText>
      </w:r>
      <w:r>
        <w:fldChar w:fldCharType="separate"/>
      </w:r>
      <w:r>
        <w:rPr>
          <w:rStyle w:val="45"/>
          <w:rFonts w:hint="eastAsia" w:ascii="Times New Roman" w:hAnsi="Times New Roman"/>
        </w:rPr>
        <w:t>1.2 项目单位概况</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_Toc221892835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"_Toc221892836" </w:instrText>
      </w:r>
      <w:r>
        <w:fldChar w:fldCharType="separate"/>
      </w:r>
      <w:r>
        <w:rPr>
          <w:rStyle w:val="45"/>
          <w:rFonts w:hint="eastAsia" w:ascii="Times New Roman" w:hAnsi="Times New Roman"/>
        </w:rPr>
        <w:t>1.2.1 项目单位基本情况</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_Toc221892836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15</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"_Toc221892837" </w:instrText>
      </w:r>
      <w:r>
        <w:fldChar w:fldCharType="separate"/>
      </w:r>
      <w:r>
        <w:rPr>
          <w:rStyle w:val="45"/>
          <w:rFonts w:hint="eastAsia" w:ascii="Times New Roman" w:hAnsi="Times New Roman"/>
        </w:rPr>
        <w:t>1.3 编制依据</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_Toc221892837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16</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"_Toc221892838" </w:instrText>
      </w:r>
      <w:r>
        <w:fldChar w:fldCharType="separate"/>
      </w:r>
      <w:r>
        <w:rPr>
          <w:rStyle w:val="45"/>
          <w:rFonts w:hint="eastAsia" w:ascii="Times New Roman" w:hAnsi="Times New Roman"/>
        </w:rPr>
        <w:t>1.3.1 法律法规</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_Toc221892838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"_Toc221892839" </w:instrText>
      </w:r>
      <w:r>
        <w:fldChar w:fldCharType="separate"/>
      </w:r>
      <w:r>
        <w:rPr>
          <w:rStyle w:val="45"/>
          <w:rFonts w:hint="eastAsia" w:ascii="Times New Roman" w:hAnsi="Times New Roman"/>
        </w:rPr>
        <w:t>1.3.2 政策依据</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_Toc221892839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"_Toc221892840" </w:instrText>
      </w:r>
      <w:r>
        <w:fldChar w:fldCharType="separate"/>
      </w:r>
      <w:r>
        <w:rPr>
          <w:rStyle w:val="45"/>
          <w:rFonts w:hint="eastAsia" w:ascii="Times New Roman" w:hAnsi="Times New Roman"/>
        </w:rPr>
        <w:t>1.3.3 标准规范</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_Toc221892840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19</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"_Toc221892841" </w:instrText>
      </w:r>
      <w:r>
        <w:fldChar w:fldCharType="separate"/>
      </w:r>
      <w:r>
        <w:rPr>
          <w:rStyle w:val="45"/>
          <w:rFonts w:hint="eastAsia" w:ascii="Times New Roman" w:hAnsi="Times New Roman"/>
        </w:rPr>
        <w:t>1.4 主要结论和建议</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_Toc221892841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20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"_Toc221892842" </w:instrText>
      </w:r>
      <w:r>
        <w:fldChar w:fldCharType="separate"/>
      </w:r>
      <w:r>
        <w:rPr>
          <w:rStyle w:val="45"/>
          <w:rFonts w:hint="eastAsia" w:ascii="Times New Roman" w:hAnsi="Times New Roman"/>
        </w:rPr>
        <w:t>1.4.1 结论</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_Toc221892842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20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"_Toc221892843" </w:instrText>
      </w:r>
      <w:r>
        <w:fldChar w:fldCharType="separate"/>
      </w:r>
      <w:r>
        <w:rPr>
          <w:rStyle w:val="45"/>
          <w:rFonts w:hint="eastAsia" w:ascii="Times New Roman" w:hAnsi="Times New Roman"/>
        </w:rPr>
        <w:t>1.4.2 建议</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_Toc221892843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22</w:t>
      </w:r>
      <w:r>
        <w:rPr>
          <w:rFonts w:hint="eastAsia" w:ascii="Times New Roman" w:hAnsi="Times New Roman"/>
        </w:rPr>
        <w:fldChar w:fldCharType="end"/>
      </w:r>
      <w:r>
        <w:rPr>
          <w:rFonts w:hint="eastAsia" w:ascii="Times New Roman" w:hAnsi="Times New Roman"/>
        </w:rPr>
        <w:fldChar w:fldCharType="end"/>
      </w:r>
    </w:p>
    <w:p>
      <w:pPr>
        <w:pStyle w:val="93"/>
        <w:tabs>
          <w:tab w:val="right" w:leader="dot" w:pos="8296"/>
        </w:tabs>
        <w:rPr>
          <w:rFonts w:eastAsiaTheme="minorEastAsia" w:cstheme="minorBidi"/>
          <w:b w:val="0"/>
          <w:bCs w:val="0"/>
          <w:caps w:val="0"/>
          <w:sz w:val="22"/>
          <w14:ligatures w14:val="standardContextual"/>
        </w:rPr>
      </w:pPr>
      <w:r>
        <w:fldChar w:fldCharType="begin"/>
      </w:r>
      <w:r>
        <w:instrText xml:space="preserve"> HYPERLINK \l "_Toc221892844" </w:instrText>
      </w:r>
      <w:r>
        <w:fldChar w:fldCharType="separate"/>
      </w:r>
      <w:r>
        <w:rPr>
          <w:rStyle w:val="45"/>
          <w:rFonts w:hint="eastAsia" w:ascii="Times New Roman" w:hAnsi="Times New Roman"/>
        </w:rPr>
        <w:t>第二章 项目建设背景和必要性</w:t>
      </w:r>
      <w:r>
        <w:rPr>
          <w:rFonts w:hint="eastAsia"/>
        </w:rPr>
        <w:tab/>
      </w:r>
      <w:r>
        <w:rPr>
          <w:rFonts w:hint="eastAsia"/>
        </w:rPr>
        <w:fldChar w:fldCharType="begin"/>
      </w:r>
      <w:r>
        <w:rPr>
          <w:rFonts w:hint="eastAsia"/>
        </w:rPr>
        <w:instrText xml:space="preserve"> </w:instrText>
      </w:r>
      <w:r>
        <w:instrText xml:space="preserve">PAGEREF _Toc221892844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"_Toc221892845" </w:instrText>
      </w:r>
      <w:r>
        <w:fldChar w:fldCharType="separate"/>
      </w:r>
      <w:r>
        <w:rPr>
          <w:rStyle w:val="45"/>
          <w:rFonts w:hint="eastAsia" w:ascii="Times New Roman" w:hAnsi="Times New Roman"/>
        </w:rPr>
        <w:t>2.1 项目建设背景</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_Toc221892845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23</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"_Toc221892846" </w:instrText>
      </w:r>
      <w:r>
        <w:fldChar w:fldCharType="separate"/>
      </w:r>
      <w:r>
        <w:rPr>
          <w:rStyle w:val="45"/>
          <w:rFonts w:hint="eastAsia" w:ascii="Times New Roman" w:hAnsi="Times New Roman"/>
        </w:rPr>
        <w:t>2.1.1 项目立项背景</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_Toc221892846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23</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"_Toc221892847" </w:instrText>
      </w:r>
      <w:r>
        <w:fldChar w:fldCharType="separate"/>
      </w:r>
      <w:r>
        <w:rPr>
          <w:rStyle w:val="45"/>
          <w:rFonts w:hint="eastAsia" w:ascii="Times New Roman" w:hAnsi="Times New Roman"/>
        </w:rPr>
        <w:t>2.1.2 项目前期工作的进展</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_Toc221892847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24</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"_Toc221892848" </w:instrText>
      </w:r>
      <w:r>
        <w:fldChar w:fldCharType="separate"/>
      </w:r>
      <w:r>
        <w:rPr>
          <w:rStyle w:val="45"/>
          <w:rFonts w:hint="eastAsia" w:ascii="Times New Roman" w:hAnsi="Times New Roman"/>
        </w:rPr>
        <w:t>2.2 政策规划符合性</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_Toc221892848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26</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"_Toc221892849" </w:instrText>
      </w:r>
      <w:r>
        <w:fldChar w:fldCharType="separate"/>
      </w:r>
      <w:r>
        <w:rPr>
          <w:rStyle w:val="45"/>
          <w:rFonts w:hint="eastAsia" w:ascii="Times New Roman" w:hAnsi="Times New Roman"/>
        </w:rPr>
        <w:t>2.2.1 推动安防行业高质量发展，满足国家平安中国重大战略需求</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_Toc221892849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26</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"_Toc221892850" </w:instrText>
      </w:r>
      <w:r>
        <w:fldChar w:fldCharType="separate"/>
      </w:r>
      <w:r>
        <w:rPr>
          <w:rStyle w:val="45"/>
          <w:rFonts w:hint="eastAsia" w:ascii="Times New Roman" w:hAnsi="Times New Roman"/>
        </w:rPr>
        <w:t>2.2.2 贯彻党的二十大作出的重大战略部署，推进国家安全体系和能力现代化</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_Toc221892850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27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"_Toc221892851" </w:instrText>
      </w:r>
      <w:r>
        <w:fldChar w:fldCharType="separate"/>
      </w:r>
      <w:r>
        <w:rPr>
          <w:rStyle w:val="45"/>
          <w:rFonts w:hint="eastAsia" w:ascii="Times New Roman" w:hAnsi="Times New Roman"/>
        </w:rPr>
        <w:t>2.2.3 落实“人工智能+”行动计划，培育发展新质生产力的新动能</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_Toc221892851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28</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"_Toc221892852" </w:instrText>
      </w:r>
      <w:r>
        <w:fldChar w:fldCharType="separate"/>
      </w:r>
      <w:r>
        <w:rPr>
          <w:rStyle w:val="45"/>
          <w:rFonts w:hint="eastAsia" w:ascii="Times New Roman" w:hAnsi="Times New Roman"/>
        </w:rPr>
        <w:t>2.2.4 促进北京人工智能研发和应用，助力北京国际创新中心建设</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_Toc221892852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29</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"_Toc221892853" </w:instrText>
      </w:r>
      <w:r>
        <w:fldChar w:fldCharType="separate"/>
      </w:r>
      <w:r>
        <w:rPr>
          <w:rStyle w:val="45"/>
          <w:rFonts w:hint="eastAsia" w:ascii="Times New Roman" w:hAnsi="Times New Roman"/>
        </w:rPr>
        <w:t>2.3 项目建设必要性</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_Toc221892853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30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"_Toc221892854" </w:instrText>
      </w:r>
      <w:r>
        <w:fldChar w:fldCharType="separate"/>
      </w:r>
      <w:r>
        <w:rPr>
          <w:rStyle w:val="45"/>
          <w:rFonts w:hint="eastAsia" w:ascii="Times New Roman" w:hAnsi="Times New Roman"/>
        </w:rPr>
        <w:t>2.3.1 人工智能对安防行业的促进作用</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_Toc221892854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30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"_Toc221892855" </w:instrText>
      </w:r>
      <w:r>
        <w:fldChar w:fldCharType="separate"/>
      </w:r>
      <w:r>
        <w:rPr>
          <w:rStyle w:val="45"/>
          <w:rFonts w:hint="eastAsia" w:ascii="Times New Roman" w:hAnsi="Times New Roman"/>
        </w:rPr>
        <w:t>2.3.2 预期的市场空间</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_Toc221892855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31</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"_Toc221892856" </w:instrText>
      </w:r>
      <w:r>
        <w:fldChar w:fldCharType="separate"/>
      </w:r>
      <w:r>
        <w:rPr>
          <w:rStyle w:val="45"/>
          <w:rFonts w:hint="eastAsia" w:ascii="Times New Roman" w:hAnsi="Times New Roman"/>
        </w:rPr>
        <w:t>2.3.3 项目对提升“人工智能+安防行业”基础创新能力的作用</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_Toc221892856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33</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"_Toc221892857" </w:instrText>
      </w:r>
      <w:r>
        <w:fldChar w:fldCharType="separate"/>
      </w:r>
      <w:r>
        <w:rPr>
          <w:rStyle w:val="45"/>
          <w:rFonts w:hint="eastAsia" w:ascii="Times New Roman" w:hAnsi="Times New Roman"/>
        </w:rPr>
        <w:t>2.3.4 项目对本行业人工智能产业发展的影响</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_Toc221892857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35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"_Toc221892858" </w:instrText>
      </w:r>
      <w:r>
        <w:fldChar w:fldCharType="separate"/>
      </w:r>
      <w:r>
        <w:rPr>
          <w:rStyle w:val="45"/>
          <w:rFonts w:hint="eastAsia" w:ascii="Times New Roman" w:hAnsi="Times New Roman"/>
        </w:rPr>
        <w:t>2.3.5 项目对北京人工智能产业发展的影响</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_Toc221892858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35</w:t>
      </w:r>
      <w:r>
        <w:rPr>
          <w:rFonts w:hint="eastAsia" w:ascii="Times New Roman" w:hAnsi="Times New Roman"/>
        </w:rPr>
        <w:fldChar w:fldCharType="end"/>
      </w:r>
      <w:r>
        <w:rPr>
          <w:rFonts w:hint="eastAsia" w:ascii="Times New Roman" w:hAnsi="Times New Roman"/>
        </w:rPr>
        <w:fldChar w:fldCharType="end"/>
      </w:r>
    </w:p>
    <w:p>
      <w:pPr>
        <w:pStyle w:val="93"/>
        <w:tabs>
          <w:tab w:val="right" w:leader="dot" w:pos="8296"/>
        </w:tabs>
        <w:rPr>
          <w:rFonts w:eastAsiaTheme="minorEastAsia" w:cstheme="minorBidi"/>
          <w:b w:val="0"/>
          <w:bCs w:val="0"/>
          <w:caps w:val="0"/>
          <w:sz w:val="22"/>
          <w14:ligatures w14:val="standardContextual"/>
        </w:rPr>
      </w:pPr>
      <w:r>
        <w:fldChar w:fldCharType="begin"/>
      </w:r>
      <w:r>
        <w:instrText xml:space="preserve"> HYPERLINK \l "_Toc221892859" </w:instrText>
      </w:r>
      <w:r>
        <w:fldChar w:fldCharType="separate"/>
      </w:r>
      <w:r>
        <w:rPr>
          <w:rStyle w:val="45"/>
          <w:rFonts w:hint="eastAsia" w:ascii="Times New Roman" w:hAnsi="Times New Roman"/>
        </w:rPr>
        <w:t>第三章 项目需求分析与产出方案</w:t>
      </w:r>
      <w:r>
        <w:rPr>
          <w:rFonts w:hint="eastAsia"/>
        </w:rPr>
        <w:tab/>
      </w:r>
      <w:r>
        <w:rPr>
          <w:rFonts w:hint="eastAsia"/>
        </w:rPr>
        <w:fldChar w:fldCharType="begin"/>
      </w:r>
      <w:r>
        <w:rPr>
          <w:rFonts w:hint="eastAsia"/>
        </w:rPr>
        <w:instrText xml:space="preserve"> </w:instrText>
      </w:r>
      <w:r>
        <w:instrText xml:space="preserve">PAGEREF _Toc221892859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"_Toc221892860" </w:instrText>
      </w:r>
      <w:r>
        <w:fldChar w:fldCharType="separate"/>
      </w:r>
      <w:r>
        <w:rPr>
          <w:rStyle w:val="45"/>
          <w:rFonts w:hint="eastAsia" w:ascii="Times New Roman" w:hAnsi="Times New Roman"/>
        </w:rPr>
        <w:t>3.1 需求分析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_Toc221892860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37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"_Toc221892861" </w:instrText>
      </w:r>
      <w:r>
        <w:fldChar w:fldCharType="separate"/>
      </w:r>
      <w:r>
        <w:rPr>
          <w:rStyle w:val="45"/>
          <w:rFonts w:hint="eastAsia" w:ascii="Times New Roman" w:hAnsi="Times New Roman"/>
        </w:rPr>
        <w:t>3.1.1 国内外发展现状与产业布局</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_Toc221892861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37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"_Toc221892862" </w:instrText>
      </w:r>
      <w:r>
        <w:fldChar w:fldCharType="separate"/>
      </w:r>
      <w:r>
        <w:rPr>
          <w:rStyle w:val="45"/>
          <w:rFonts w:hint="eastAsia" w:ascii="Times New Roman" w:hAnsi="Times New Roman"/>
        </w:rPr>
        <w:t>3.1.2 智慧安防应用需求分析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_Toc221892862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41</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"_Toc221892863" </w:instrText>
      </w:r>
      <w:r>
        <w:fldChar w:fldCharType="separate"/>
      </w:r>
      <w:r>
        <w:rPr>
          <w:rStyle w:val="45"/>
          <w:rFonts w:hint="eastAsia" w:ascii="Times New Roman" w:hAnsi="Times New Roman"/>
        </w:rPr>
        <w:t>3.1.3 当前安防行业智能化发展瓶颈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_Toc221892863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43</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"_Toc221892864" </w:instrText>
      </w:r>
      <w:r>
        <w:fldChar w:fldCharType="separate"/>
      </w:r>
      <w:r>
        <w:rPr>
          <w:rStyle w:val="45"/>
          <w:rFonts w:hint="eastAsia" w:ascii="Times New Roman" w:hAnsi="Times New Roman"/>
        </w:rPr>
        <w:t>3.1.4 人工智能大模型赋能安防路径</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_Toc221892864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44</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"_Toc221892865" </w:instrText>
      </w:r>
      <w:r>
        <w:fldChar w:fldCharType="separate"/>
      </w:r>
      <w:r>
        <w:rPr>
          <w:rStyle w:val="45"/>
          <w:rFonts w:hint="eastAsia" w:ascii="Times New Roman" w:hAnsi="Times New Roman"/>
        </w:rPr>
        <w:t>3.1.5 人工智能大模型赋能安防存在的共性问题分析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_Toc221892865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48</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"_Toc221892866" </w:instrText>
      </w:r>
      <w:r>
        <w:fldChar w:fldCharType="separate"/>
      </w:r>
      <w:r>
        <w:rPr>
          <w:rStyle w:val="45"/>
          <w:rFonts w:hint="eastAsia" w:ascii="Times New Roman" w:hAnsi="Times New Roman"/>
        </w:rPr>
        <w:t>3.2 任务与目标</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_Toc221892866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"_Toc221892867" </w:instrText>
      </w:r>
      <w:r>
        <w:fldChar w:fldCharType="separate"/>
      </w:r>
      <w:r>
        <w:rPr>
          <w:rStyle w:val="45"/>
          <w:rFonts w:hint="eastAsia" w:ascii="Times New Roman" w:hAnsi="Times New Roman"/>
        </w:rPr>
        <w:t>3.2.1 项目功能定位</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_Toc221892867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"_Toc221892868" </w:instrText>
      </w:r>
      <w:r>
        <w:fldChar w:fldCharType="separate"/>
      </w:r>
      <w:r>
        <w:rPr>
          <w:rStyle w:val="45"/>
          <w:rFonts w:hint="eastAsia" w:ascii="Times New Roman" w:hAnsi="Times New Roman"/>
        </w:rPr>
        <w:t>3.2.2 发展战略与运行思路</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_Toc221892868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"_Toc221892869" </w:instrText>
      </w:r>
      <w:r>
        <w:fldChar w:fldCharType="separate"/>
      </w:r>
      <w:r>
        <w:rPr>
          <w:rStyle w:val="45"/>
          <w:rFonts w:hint="eastAsia" w:ascii="Times New Roman" w:hAnsi="Times New Roman"/>
        </w:rPr>
        <w:t>3.2.3 项目建设目标</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_Toc221892869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63</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"_Toc221892870" </w:instrText>
      </w:r>
      <w:r>
        <w:fldChar w:fldCharType="separate"/>
      </w:r>
      <w:r>
        <w:rPr>
          <w:rStyle w:val="45"/>
          <w:rFonts w:hint="eastAsia" w:ascii="Times New Roman" w:hAnsi="Times New Roman"/>
        </w:rPr>
        <w:t>3.2.4 需求总量和结构</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_Toc221892870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66</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"_Toc221892871" </w:instrText>
      </w:r>
      <w:r>
        <w:fldChar w:fldCharType="separate"/>
      </w:r>
      <w:r>
        <w:rPr>
          <w:rStyle w:val="45"/>
          <w:rFonts w:hint="eastAsia" w:ascii="Times New Roman" w:hAnsi="Times New Roman"/>
        </w:rPr>
        <w:t>3.3 建设内容和规模</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_Toc221892871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"_Toc221892872" </w:instrText>
      </w:r>
      <w:r>
        <w:fldChar w:fldCharType="separate"/>
      </w:r>
      <w:r>
        <w:rPr>
          <w:rStyle w:val="45"/>
          <w:rFonts w:hint="eastAsia" w:ascii="Times New Roman" w:hAnsi="Times New Roman"/>
        </w:rPr>
        <w:t>3.3.1 建设算力底座</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_Toc221892872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"_Toc221892873" </w:instrText>
      </w:r>
      <w:r>
        <w:fldChar w:fldCharType="separate"/>
      </w:r>
      <w:r>
        <w:rPr>
          <w:rStyle w:val="45"/>
          <w:rFonts w:hint="eastAsia" w:ascii="Times New Roman" w:hAnsi="Times New Roman"/>
        </w:rPr>
        <w:t>3.3.2 构建高质量行业语料数据集</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_Toc221892873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"_Toc221892874" </w:instrText>
      </w:r>
      <w:r>
        <w:fldChar w:fldCharType="separate"/>
      </w:r>
      <w:r>
        <w:rPr>
          <w:rStyle w:val="45"/>
          <w:rFonts w:hint="eastAsia" w:ascii="Times New Roman" w:hAnsi="Times New Roman"/>
        </w:rPr>
        <w:t>3.3.3 构建安防行业算法模型集</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_Toc221892874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"_Toc221892875" </w:instrText>
      </w:r>
      <w:r>
        <w:fldChar w:fldCharType="separate"/>
      </w:r>
      <w:r>
        <w:rPr>
          <w:rStyle w:val="45"/>
          <w:rFonts w:hint="eastAsia" w:ascii="Times New Roman" w:hAnsi="Times New Roman"/>
        </w:rPr>
        <w:t>3.3.4 建立安防行业人工智能共性服务平台</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_Toc221892875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"_Toc221892876" </w:instrText>
      </w:r>
      <w:r>
        <w:fldChar w:fldCharType="separate"/>
      </w:r>
      <w:r>
        <w:rPr>
          <w:rStyle w:val="45"/>
          <w:rFonts w:hint="eastAsia" w:ascii="Times New Roman" w:hAnsi="Times New Roman"/>
        </w:rPr>
        <w:t>3.3.5 构建产业共创中心</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_Toc221892876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71</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"_Toc221892877" </w:instrText>
      </w:r>
      <w:r>
        <w:fldChar w:fldCharType="separate"/>
      </w:r>
      <w:r>
        <w:rPr>
          <w:rStyle w:val="45"/>
          <w:rFonts w:hint="eastAsia" w:ascii="Times New Roman" w:hAnsi="Times New Roman"/>
        </w:rPr>
        <w:t>3.3.6 建立行业应用中心</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_Toc221892877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71</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"_Toc221892878" </w:instrText>
      </w:r>
      <w:r>
        <w:fldChar w:fldCharType="separate"/>
      </w:r>
      <w:r>
        <w:rPr>
          <w:rStyle w:val="45"/>
          <w:rFonts w:hint="eastAsia" w:ascii="Times New Roman" w:hAnsi="Times New Roman"/>
        </w:rPr>
        <w:t>3.4 项目产出方案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_Toc221892878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72</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"_Toc221892879" </w:instrText>
      </w:r>
      <w:r>
        <w:fldChar w:fldCharType="separate"/>
      </w:r>
      <w:r>
        <w:rPr>
          <w:rStyle w:val="45"/>
          <w:rFonts w:hint="eastAsia" w:ascii="Times New Roman" w:hAnsi="Times New Roman"/>
        </w:rPr>
        <w:t>3.4.1 行业数字资产</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_Toc221892879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72</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"_Toc221892880" </w:instrText>
      </w:r>
      <w:r>
        <w:fldChar w:fldCharType="separate"/>
      </w:r>
      <w:r>
        <w:rPr>
          <w:rStyle w:val="45"/>
          <w:rFonts w:hint="eastAsia" w:ascii="Times New Roman" w:hAnsi="Times New Roman"/>
        </w:rPr>
        <w:t>3.4.2 共性服务平台</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_Toc221892880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72</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"_Toc221892881" </w:instrText>
      </w:r>
      <w:r>
        <w:fldChar w:fldCharType="separate"/>
      </w:r>
      <w:r>
        <w:rPr>
          <w:rStyle w:val="45"/>
          <w:rFonts w:hint="eastAsia" w:ascii="Times New Roman" w:hAnsi="Times New Roman"/>
        </w:rPr>
        <w:t>3.4.3 开放资源服务</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_Toc221892881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73</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"_Toc221892882" </w:instrText>
      </w:r>
      <w:r>
        <w:fldChar w:fldCharType="separate"/>
      </w:r>
      <w:r>
        <w:rPr>
          <w:rStyle w:val="45"/>
          <w:rFonts w:hint="eastAsia" w:ascii="Times New Roman" w:hAnsi="Times New Roman"/>
        </w:rPr>
        <w:t>3.4.4 经济产出</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_Toc221892882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74</w:t>
      </w:r>
      <w:r>
        <w:rPr>
          <w:rFonts w:hint="eastAsia" w:ascii="Times New Roman" w:hAnsi="Times New Roman"/>
        </w:rPr>
        <w:fldChar w:fldCharType="end"/>
      </w:r>
      <w:r>
        <w:rPr>
          <w:rFonts w:hint="eastAsia" w:ascii="Times New Roman" w:hAnsi="Times New Roman"/>
        </w:rPr>
        <w:fldChar w:fldCharType="end"/>
      </w:r>
    </w:p>
    <w:p>
      <w:pPr>
        <w:pStyle w:val="93"/>
        <w:tabs>
          <w:tab w:val="right" w:leader="dot" w:pos="8296"/>
        </w:tabs>
        <w:rPr>
          <w:rFonts w:eastAsiaTheme="minorEastAsia" w:cstheme="minorBidi"/>
          <w:b w:val="0"/>
          <w:bCs w:val="0"/>
          <w:caps w:val="0"/>
          <w:sz w:val="22"/>
          <w14:ligatures w14:val="standardContextual"/>
        </w:rPr>
      </w:pPr>
      <w:r>
        <w:fldChar w:fldCharType="begin"/>
      </w:r>
      <w:r>
        <w:instrText xml:space="preserve"> HYPERLINK \l "_Toc221892883" </w:instrText>
      </w:r>
      <w:r>
        <w:fldChar w:fldCharType="separate"/>
      </w:r>
      <w:r>
        <w:rPr>
          <w:rStyle w:val="45"/>
          <w:rFonts w:hint="eastAsia" w:ascii="Times New Roman" w:hAnsi="Times New Roman"/>
        </w:rPr>
        <w:t>第四章 组织机构设计</w:t>
      </w:r>
      <w:r>
        <w:rPr>
          <w:rFonts w:hint="eastAsia"/>
        </w:rPr>
        <w:tab/>
      </w:r>
      <w:r>
        <w:rPr>
          <w:rFonts w:hint="eastAsia"/>
        </w:rPr>
        <w:fldChar w:fldCharType="begin"/>
      </w:r>
      <w:r>
        <w:rPr>
          <w:rFonts w:hint="eastAsia"/>
        </w:rPr>
        <w:instrText xml:space="preserve"> </w:instrText>
      </w:r>
      <w:r>
        <w:instrText xml:space="preserve">PAGEREF _Toc221892883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"_Toc221892884" </w:instrText>
      </w:r>
      <w:r>
        <w:fldChar w:fldCharType="separate"/>
      </w:r>
      <w:r>
        <w:rPr>
          <w:rStyle w:val="45"/>
          <w:rFonts w:hint="eastAsia" w:ascii="Times New Roman" w:hAnsi="Times New Roman"/>
        </w:rPr>
        <w:t>4.1 建设主体概况</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_Toc221892884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75</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"_Toc221892885" </w:instrText>
      </w:r>
      <w:r>
        <w:fldChar w:fldCharType="separate"/>
      </w:r>
      <w:r>
        <w:rPr>
          <w:rStyle w:val="45"/>
          <w:rFonts w:hint="eastAsia" w:ascii="Times New Roman" w:hAnsi="Times New Roman"/>
        </w:rPr>
        <w:t>4.2 基地运营组织机构设置及其职责</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_Toc221892885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76</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"_Toc221892886" </w:instrText>
      </w:r>
      <w:r>
        <w:fldChar w:fldCharType="separate"/>
      </w:r>
      <w:r>
        <w:rPr>
          <w:rStyle w:val="45"/>
          <w:rFonts w:hint="eastAsia" w:ascii="Times New Roman" w:hAnsi="Times New Roman"/>
        </w:rPr>
        <w:t>4.2.1 组织机构设置</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_Toc221892886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76</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"_Toc221892887" </w:instrText>
      </w:r>
      <w:r>
        <w:fldChar w:fldCharType="separate"/>
      </w:r>
      <w:r>
        <w:rPr>
          <w:rStyle w:val="45"/>
          <w:rFonts w:hint="eastAsia" w:ascii="Times New Roman" w:hAnsi="Times New Roman"/>
        </w:rPr>
        <w:t>4.2.1 项目组织机构职责</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_Toc221892887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"_Toc221892888" </w:instrText>
      </w:r>
      <w:r>
        <w:fldChar w:fldCharType="separate"/>
      </w:r>
      <w:r>
        <w:rPr>
          <w:rStyle w:val="45"/>
          <w:rFonts w:hint="eastAsia" w:ascii="Times New Roman" w:hAnsi="Times New Roman"/>
        </w:rPr>
        <w:t>4.2.2 建设团队情况</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_Toc221892888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78</w:t>
      </w:r>
      <w:r>
        <w:rPr>
          <w:rFonts w:hint="eastAsia" w:ascii="Times New Roman" w:hAnsi="Times New Roman"/>
        </w:rPr>
        <w:fldChar w:fldCharType="end"/>
      </w:r>
      <w:r>
        <w:rPr>
          <w:rFonts w:hint="eastAsia" w:ascii="Times New Roman" w:hAnsi="Times New Roman"/>
        </w:rPr>
        <w:fldChar w:fldCharType="end"/>
      </w:r>
    </w:p>
    <w:p>
      <w:pPr>
        <w:pStyle w:val="93"/>
        <w:tabs>
          <w:tab w:val="right" w:leader="dot" w:pos="8296"/>
        </w:tabs>
        <w:rPr>
          <w:rFonts w:eastAsiaTheme="minorEastAsia" w:cstheme="minorBidi"/>
          <w:b w:val="0"/>
          <w:bCs w:val="0"/>
          <w:caps w:val="0"/>
          <w:sz w:val="22"/>
          <w14:ligatures w14:val="standardContextual"/>
        </w:rPr>
      </w:pPr>
      <w:r>
        <w:fldChar w:fldCharType="begin"/>
      </w:r>
      <w:r>
        <w:instrText xml:space="preserve"> HYPERLINK \l "_Toc221892889" </w:instrText>
      </w:r>
      <w:r>
        <w:fldChar w:fldCharType="separate"/>
      </w:r>
      <w:r>
        <w:rPr>
          <w:rStyle w:val="45"/>
          <w:rFonts w:hint="eastAsia" w:ascii="Times New Roman" w:hAnsi="Times New Roman"/>
        </w:rPr>
        <w:t>第五章 项目选址和要素保障</w:t>
      </w:r>
      <w:r>
        <w:rPr>
          <w:rFonts w:hint="eastAsia"/>
        </w:rPr>
        <w:tab/>
      </w:r>
      <w:r>
        <w:rPr>
          <w:rFonts w:hint="eastAsia"/>
        </w:rPr>
        <w:fldChar w:fldCharType="begin"/>
      </w:r>
      <w:r>
        <w:rPr>
          <w:rFonts w:hint="eastAsia"/>
        </w:rPr>
        <w:instrText xml:space="preserve"> </w:instrText>
      </w:r>
      <w:r>
        <w:instrText xml:space="preserve">PAGEREF _Toc221892889 \h</w:instrText>
      </w:r>
      <w:r>
        <w:rPr>
          <w:rFonts w:hint="eastAsia"/>
        </w:rPr>
        <w:instrText xml:space="preserve"> </w:instrText>
      </w:r>
      <w:r>
        <w:rPr>
          <w:rFonts w:hint="eastAsia"/>
        </w:rPr>
        <w:fldChar w:fldCharType="separate"/>
      </w:r>
      <w:r>
        <w:t>83</w:t>
      </w:r>
      <w:r>
        <w:rPr>
          <w:rFonts w:hint="eastAsia"/>
        </w:rPr>
        <w:fldChar w:fldCharType="end"/>
      </w:r>
      <w:r>
        <w:rPr>
          <w:rFonts w:hint="eastAsia"/>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"_Toc221892890" </w:instrText>
      </w:r>
      <w:r>
        <w:fldChar w:fldCharType="separate"/>
      </w:r>
      <w:r>
        <w:rPr>
          <w:rStyle w:val="45"/>
          <w:rFonts w:hint="eastAsia" w:ascii="Times New Roman" w:hAnsi="Times New Roman"/>
        </w:rPr>
        <w:t>5.1 项目选址</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_Toc221892890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83</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"_Toc221892891" </w:instrText>
      </w:r>
      <w:r>
        <w:fldChar w:fldCharType="separate"/>
      </w:r>
      <w:r>
        <w:rPr>
          <w:rStyle w:val="45"/>
          <w:rFonts w:hint="eastAsia" w:ascii="Times New Roman" w:hAnsi="Times New Roman"/>
        </w:rPr>
        <w:t>5.2 项目建设条件</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_Toc221892891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84</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"_Toc221892892" </w:instrText>
      </w:r>
      <w:r>
        <w:fldChar w:fldCharType="separate"/>
      </w:r>
      <w:r>
        <w:rPr>
          <w:rStyle w:val="45"/>
          <w:rFonts w:hint="eastAsia" w:ascii="Times New Roman" w:hAnsi="Times New Roman"/>
        </w:rPr>
        <w:t>5.3 要素保障分析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_Toc221892892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85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"_Toc221892893" </w:instrText>
      </w:r>
      <w:r>
        <w:fldChar w:fldCharType="separate"/>
      </w:r>
      <w:r>
        <w:rPr>
          <w:rStyle w:val="45"/>
          <w:rFonts w:hint="eastAsia" w:ascii="Times New Roman" w:hAnsi="Times New Roman"/>
        </w:rPr>
        <w:t>5.3.1 土地要素保障</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_Toc221892893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85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"_Toc221892894" </w:instrText>
      </w:r>
      <w:r>
        <w:fldChar w:fldCharType="separate"/>
      </w:r>
      <w:r>
        <w:rPr>
          <w:rStyle w:val="45"/>
          <w:rFonts w:hint="eastAsia" w:ascii="Times New Roman" w:hAnsi="Times New Roman"/>
        </w:rPr>
        <w:t>5.3.2 环境要素保障</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_Toc221892894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85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"_Toc221892895" </w:instrText>
      </w:r>
      <w:r>
        <w:fldChar w:fldCharType="separate"/>
      </w:r>
      <w:r>
        <w:rPr>
          <w:rStyle w:val="45"/>
          <w:rFonts w:hint="eastAsia" w:ascii="Times New Roman" w:hAnsi="Times New Roman"/>
        </w:rPr>
        <w:t>5.3.3 能源要素保障</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_Toc221892895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85</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"_Toc221892896" </w:instrText>
      </w:r>
      <w:r>
        <w:fldChar w:fldCharType="separate"/>
      </w:r>
      <w:r>
        <w:rPr>
          <w:rStyle w:val="45"/>
          <w:rFonts w:hint="eastAsia" w:ascii="Times New Roman" w:hAnsi="Times New Roman"/>
        </w:rPr>
        <w:t>5.4 项目建设基础</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_Toc221892896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85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"_Toc221892897" </w:instrText>
      </w:r>
      <w:r>
        <w:fldChar w:fldCharType="separate"/>
      </w:r>
      <w:r>
        <w:rPr>
          <w:rStyle w:val="45"/>
          <w:rFonts w:hint="eastAsia" w:ascii="Times New Roman" w:hAnsi="Times New Roman"/>
        </w:rPr>
        <w:t>5.4.1 在安防领域的创新能力和突出优势</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_Toc221892897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85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"_Toc221892898" </w:instrText>
      </w:r>
      <w:r>
        <w:fldChar w:fldCharType="separate"/>
      </w:r>
      <w:r>
        <w:rPr>
          <w:rStyle w:val="45"/>
          <w:rFonts w:hint="eastAsia" w:ascii="Times New Roman" w:hAnsi="Times New Roman"/>
        </w:rPr>
        <w:t>5.4.2 场景化解决方案应用实践</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_Toc221892898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93</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"_Toc221892899" </w:instrText>
      </w:r>
      <w:r>
        <w:fldChar w:fldCharType="separate"/>
      </w:r>
      <w:r>
        <w:rPr>
          <w:rStyle w:val="45"/>
          <w:rFonts w:hint="eastAsia" w:ascii="Times New Roman" w:hAnsi="Times New Roman"/>
        </w:rPr>
        <w:t>5.4.3 高质量行业应用数据集基础</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_Toc221892899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110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"_Toc221892900" </w:instrText>
      </w:r>
      <w:r>
        <w:fldChar w:fldCharType="separate"/>
      </w:r>
      <w:r>
        <w:rPr>
          <w:rStyle w:val="45"/>
          <w:rFonts w:hint="eastAsia" w:ascii="Times New Roman" w:hAnsi="Times New Roman"/>
        </w:rPr>
        <w:t>5.4.4 产业融合度</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_Toc221892900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112</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"_Toc221892901" </w:instrText>
      </w:r>
      <w:r>
        <w:fldChar w:fldCharType="separate"/>
      </w:r>
      <w:r>
        <w:rPr>
          <w:rStyle w:val="45"/>
          <w:rFonts w:hint="eastAsia" w:ascii="Times New Roman" w:hAnsi="Times New Roman"/>
        </w:rPr>
        <w:t>5.4.5 人才基础</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_Toc221892901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117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"_Toc221892902" </w:instrText>
      </w:r>
      <w:r>
        <w:fldChar w:fldCharType="separate"/>
      </w:r>
      <w:r>
        <w:rPr>
          <w:rStyle w:val="45"/>
          <w:rFonts w:hint="eastAsia" w:ascii="Times New Roman" w:hAnsi="Times New Roman"/>
        </w:rPr>
        <w:t>5.4.6 专业研究资源基础</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_Toc221892902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117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"_Toc221892903" </w:instrText>
      </w:r>
      <w:r>
        <w:fldChar w:fldCharType="separate"/>
      </w:r>
      <w:r>
        <w:rPr>
          <w:rStyle w:val="45"/>
          <w:rFonts w:hint="eastAsia" w:ascii="Times New Roman" w:hAnsi="Times New Roman"/>
        </w:rPr>
        <w:t>5.4.7 行业组织及影响力</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_Toc221892903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117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"_Toc221892904" </w:instrText>
      </w:r>
      <w:r>
        <w:fldChar w:fldCharType="separate"/>
      </w:r>
      <w:r>
        <w:rPr>
          <w:rStyle w:val="45"/>
          <w:rFonts w:hint="eastAsia" w:ascii="Times New Roman" w:hAnsi="Times New Roman"/>
        </w:rPr>
        <w:t>5.4.8 人工智能应用投资建设情况</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_Toc221892904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118</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"_Toc221892905" </w:instrText>
      </w:r>
      <w:r>
        <w:fldChar w:fldCharType="separate"/>
      </w:r>
      <w:r>
        <w:rPr>
          <w:rStyle w:val="45"/>
          <w:rFonts w:hint="eastAsia" w:ascii="Times New Roman" w:hAnsi="Times New Roman"/>
        </w:rPr>
        <w:t>5.4.9 本地区已出台或拟出台的人工智能相关产业政策</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_Toc221892905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119</w:t>
      </w:r>
      <w:r>
        <w:rPr>
          <w:rFonts w:hint="eastAsia" w:ascii="Times New Roman" w:hAnsi="Times New Roman"/>
        </w:rPr>
        <w:fldChar w:fldCharType="end"/>
      </w:r>
      <w:r>
        <w:rPr>
          <w:rFonts w:hint="eastAsia" w:ascii="Times New Roman" w:hAnsi="Times New Roman"/>
        </w:rPr>
        <w:fldChar w:fldCharType="end"/>
      </w:r>
    </w:p>
    <w:p>
      <w:pPr>
        <w:pStyle w:val="93"/>
        <w:tabs>
          <w:tab w:val="right" w:leader="dot" w:pos="8296"/>
        </w:tabs>
        <w:rPr>
          <w:rFonts w:eastAsiaTheme="minorEastAsia" w:cstheme="minorBidi"/>
          <w:b w:val="0"/>
          <w:bCs w:val="0"/>
          <w:caps w:val="0"/>
          <w:sz w:val="22"/>
          <w14:ligatures w14:val="standardContextual"/>
        </w:rPr>
      </w:pPr>
      <w:r>
        <w:fldChar w:fldCharType="begin"/>
      </w:r>
      <w:r>
        <w:instrText xml:space="preserve"> HYPERLINK \l "_Toc221892906" </w:instrText>
      </w:r>
      <w:r>
        <w:fldChar w:fldCharType="separate"/>
      </w:r>
      <w:r>
        <w:rPr>
          <w:rStyle w:val="45"/>
          <w:rFonts w:hint="eastAsia" w:ascii="Times New Roman" w:hAnsi="Times New Roman"/>
        </w:rPr>
        <w:t>第六章 公共安全应用中试基地建设方案</w:t>
      </w:r>
      <w:r>
        <w:rPr>
          <w:rFonts w:hint="eastAsia"/>
        </w:rPr>
        <w:tab/>
      </w:r>
      <w:r>
        <w:rPr>
          <w:rFonts w:hint="eastAsia"/>
        </w:rPr>
        <w:fldChar w:fldCharType="begin"/>
      </w:r>
      <w:r>
        <w:rPr>
          <w:rFonts w:hint="eastAsia"/>
        </w:rPr>
        <w:instrText xml:space="preserve"> </w:instrText>
      </w:r>
      <w:r>
        <w:instrText xml:space="preserve">PAGEREF _Toc221892906 \h</w:instrText>
      </w:r>
      <w:r>
        <w:rPr>
          <w:rFonts w:hint="eastAsia"/>
        </w:rPr>
        <w:instrText xml:space="preserve"> </w:instrText>
      </w:r>
      <w:r>
        <w:rPr>
          <w:rFonts w:hint="eastAsia"/>
        </w:rPr>
        <w:fldChar w:fldCharType="separate"/>
      </w:r>
      <w:r>
        <w:t>122</w:t>
      </w:r>
      <w:r>
        <w:rPr>
          <w:rFonts w:hint="eastAsia"/>
        </w:rPr>
        <w:fldChar w:fldCharType="end"/>
      </w:r>
      <w:r>
        <w:rPr>
          <w:rFonts w:hint="eastAsia"/>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"_Toc221892907" </w:instrText>
      </w:r>
      <w:r>
        <w:fldChar w:fldCharType="separate"/>
      </w:r>
      <w:r>
        <w:rPr>
          <w:rStyle w:val="45"/>
          <w:rFonts w:hint="eastAsia" w:ascii="Times New Roman" w:hAnsi="Times New Roman"/>
        </w:rPr>
        <w:t>6.1 总体技术方案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_Toc221892907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122</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"_Toc221892908" </w:instrText>
      </w:r>
      <w:r>
        <w:fldChar w:fldCharType="separate"/>
      </w:r>
      <w:r>
        <w:rPr>
          <w:rStyle w:val="45"/>
          <w:rFonts w:hint="eastAsia" w:ascii="Times New Roman" w:hAnsi="Times New Roman"/>
        </w:rPr>
        <w:t>6.2 共性支撑能力建设方案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_Toc221892908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126</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"_Toc221892909" </w:instrText>
      </w:r>
      <w:r>
        <w:fldChar w:fldCharType="separate"/>
      </w:r>
      <w:r>
        <w:rPr>
          <w:rStyle w:val="45"/>
          <w:rFonts w:hint="eastAsia" w:ascii="Times New Roman" w:hAnsi="Times New Roman"/>
        </w:rPr>
        <w:t>6.2.1 算力底座技术方案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_Toc221892909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126</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"_Toc221892910" </w:instrText>
      </w:r>
      <w:r>
        <w:fldChar w:fldCharType="separate"/>
      </w:r>
      <w:r>
        <w:rPr>
          <w:rStyle w:val="45"/>
          <w:rFonts w:hint="eastAsia" w:ascii="Times New Roman" w:hAnsi="Times New Roman"/>
        </w:rPr>
        <w:t>6.2.2 语料数据服务方案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_Toc221892910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225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"_Toc221892911" </w:instrText>
      </w:r>
      <w:r>
        <w:fldChar w:fldCharType="separate"/>
      </w:r>
      <w:r>
        <w:rPr>
          <w:rStyle w:val="45"/>
          <w:rFonts w:hint="eastAsia" w:ascii="Times New Roman" w:hAnsi="Times New Roman"/>
        </w:rPr>
        <w:t>6.2.3 算法模型技术方案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_Toc221892911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271</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"_Toc221892912" </w:instrText>
      </w:r>
      <w:r>
        <w:fldChar w:fldCharType="separate"/>
      </w:r>
      <w:r>
        <w:rPr>
          <w:rStyle w:val="45"/>
          <w:rFonts w:hint="eastAsia" w:ascii="Times New Roman" w:hAnsi="Times New Roman"/>
        </w:rPr>
        <w:t>6.2.4 安防行业人工智能共性服务平台技术方案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_Toc221892912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315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"_Toc221892913" </w:instrText>
      </w:r>
      <w:r>
        <w:fldChar w:fldCharType="separate"/>
      </w:r>
      <w:r>
        <w:rPr>
          <w:rStyle w:val="45"/>
          <w:rFonts w:hint="eastAsia" w:ascii="Times New Roman" w:hAnsi="Times New Roman"/>
        </w:rPr>
        <w:t>6.2.5 安全和运维能力建设方案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_Toc221892913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350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"_Toc221892914" </w:instrText>
      </w:r>
      <w:r>
        <w:fldChar w:fldCharType="separate"/>
      </w:r>
      <w:r>
        <w:rPr>
          <w:rStyle w:val="45"/>
          <w:rFonts w:hint="eastAsia" w:ascii="Times New Roman" w:hAnsi="Times New Roman"/>
        </w:rPr>
        <w:t>6.2.6 产业共创中心技术方案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_Toc221892914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359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"_Toc221892915" </w:instrText>
      </w:r>
      <w:r>
        <w:fldChar w:fldCharType="separate"/>
      </w:r>
      <w:r>
        <w:rPr>
          <w:rStyle w:val="45"/>
          <w:rFonts w:hint="eastAsia" w:ascii="Times New Roman" w:hAnsi="Times New Roman"/>
        </w:rPr>
        <w:t>6.2.7 行业应用中心技术方案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_Toc221892915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365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"_Toc221892916" </w:instrText>
      </w:r>
      <w:r>
        <w:fldChar w:fldCharType="separate"/>
      </w:r>
      <w:r>
        <w:rPr>
          <w:rStyle w:val="45"/>
          <w:rFonts w:hint="eastAsia" w:ascii="Times New Roman" w:hAnsi="Times New Roman"/>
        </w:rPr>
        <w:t>6.2.8 关键设备论证</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_Toc221892916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366</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"_Toc221892917" </w:instrText>
      </w:r>
      <w:r>
        <w:fldChar w:fldCharType="separate"/>
      </w:r>
      <w:r>
        <w:rPr>
          <w:rStyle w:val="45"/>
          <w:rFonts w:hint="eastAsia" w:ascii="Times New Roman" w:hAnsi="Times New Roman"/>
        </w:rPr>
        <w:t>6.3 运行先导能力建设方案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_Toc221892917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405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"_Toc221892918" </w:instrText>
      </w:r>
      <w:r>
        <w:fldChar w:fldCharType="separate"/>
      </w:r>
      <w:r>
        <w:rPr>
          <w:rStyle w:val="45"/>
          <w:rFonts w:hint="eastAsia" w:ascii="Times New Roman" w:hAnsi="Times New Roman"/>
        </w:rPr>
        <w:t>6.3.1 运营服务子平台建设方案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_Toc221892918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405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"_Toc221892919" </w:instrText>
      </w:r>
      <w:r>
        <w:fldChar w:fldCharType="separate"/>
      </w:r>
      <w:r>
        <w:rPr>
          <w:rStyle w:val="45"/>
          <w:rFonts w:hint="eastAsia" w:ascii="Times New Roman" w:hAnsi="Times New Roman"/>
        </w:rPr>
        <w:t>6.3.2 综合管理子平台建设方案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_Toc221892919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410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"_Toc221892920" </w:instrText>
      </w:r>
      <w:r>
        <w:fldChar w:fldCharType="separate"/>
      </w:r>
      <w:r>
        <w:rPr>
          <w:rStyle w:val="45"/>
          <w:rFonts w:hint="eastAsia" w:ascii="Times New Roman" w:hAnsi="Times New Roman"/>
        </w:rPr>
        <w:t>6.3.3 场景应用验证方案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_Toc221892920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419</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"_Toc221892921" </w:instrText>
      </w:r>
      <w:r>
        <w:fldChar w:fldCharType="separate"/>
      </w:r>
      <w:r>
        <w:rPr>
          <w:rStyle w:val="45"/>
          <w:rFonts w:hint="eastAsia" w:ascii="Times New Roman" w:hAnsi="Times New Roman"/>
        </w:rPr>
        <w:t>6.4 保障措施</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_Toc221892921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468</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"_Toc221892922" </w:instrText>
      </w:r>
      <w:r>
        <w:fldChar w:fldCharType="separate"/>
      </w:r>
      <w:r>
        <w:rPr>
          <w:rStyle w:val="45"/>
          <w:rFonts w:hint="eastAsia" w:ascii="Times New Roman" w:hAnsi="Times New Roman"/>
        </w:rPr>
        <w:t>6.5 工程方案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_Toc221892922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469</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"_Toc221892923" </w:instrText>
      </w:r>
      <w:r>
        <w:fldChar w:fldCharType="separate"/>
      </w:r>
      <w:r>
        <w:rPr>
          <w:rStyle w:val="45"/>
          <w:rFonts w:hint="eastAsia" w:ascii="Times New Roman" w:hAnsi="Times New Roman"/>
        </w:rPr>
        <w:t>6.6 土地征收补偿方案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_Toc221892923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471</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"_Toc221892924" </w:instrText>
      </w:r>
      <w:r>
        <w:fldChar w:fldCharType="separate"/>
      </w:r>
      <w:r>
        <w:rPr>
          <w:rStyle w:val="45"/>
          <w:rFonts w:hint="eastAsia" w:ascii="Times New Roman" w:hAnsi="Times New Roman"/>
        </w:rPr>
        <w:t>6.7 数字化方案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_Toc221892924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471</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"_Toc221892925" </w:instrText>
      </w:r>
      <w:r>
        <w:fldChar w:fldCharType="separate"/>
      </w:r>
      <w:r>
        <w:rPr>
          <w:rStyle w:val="45"/>
          <w:rFonts w:hint="eastAsia" w:ascii="Times New Roman" w:hAnsi="Times New Roman"/>
        </w:rPr>
        <w:t>6.8 开放共享方案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_Toc221892925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471</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"_Toc221892926" </w:instrText>
      </w:r>
      <w:r>
        <w:fldChar w:fldCharType="separate"/>
      </w:r>
      <w:r>
        <w:rPr>
          <w:rStyle w:val="45"/>
          <w:rFonts w:hint="eastAsia" w:ascii="Times New Roman" w:hAnsi="Times New Roman"/>
        </w:rPr>
        <w:t>6.8.1 开放共享设计理念</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_Toc221892926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471</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"_Toc221892927" </w:instrText>
      </w:r>
      <w:r>
        <w:fldChar w:fldCharType="separate"/>
      </w:r>
      <w:r>
        <w:rPr>
          <w:rStyle w:val="45"/>
          <w:rFonts w:hint="eastAsia" w:ascii="Times New Roman" w:hAnsi="Times New Roman"/>
        </w:rPr>
        <w:t>6.8.2 开放共享设施说明</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_Toc221892927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472</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"_Toc221892928" </w:instrText>
      </w:r>
      <w:r>
        <w:fldChar w:fldCharType="separate"/>
      </w:r>
      <w:r>
        <w:rPr>
          <w:rStyle w:val="45"/>
          <w:rFonts w:hint="eastAsia" w:ascii="Times New Roman" w:hAnsi="Times New Roman"/>
        </w:rPr>
        <w:t>6.8.3 开发共享管理</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_Toc221892928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473</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"_Toc221892929" </w:instrText>
      </w:r>
      <w:r>
        <w:fldChar w:fldCharType="separate"/>
      </w:r>
      <w:r>
        <w:rPr>
          <w:rStyle w:val="45"/>
          <w:rFonts w:hint="eastAsia" w:ascii="Times New Roman" w:hAnsi="Times New Roman"/>
        </w:rPr>
        <w:t>6.8.4 开放共享清单</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_Toc221892929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476</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"_Toc221892930" </w:instrText>
      </w:r>
      <w:r>
        <w:fldChar w:fldCharType="separate"/>
      </w:r>
      <w:r>
        <w:rPr>
          <w:rStyle w:val="45"/>
          <w:rFonts w:hint="eastAsia" w:ascii="Times New Roman" w:hAnsi="Times New Roman"/>
        </w:rPr>
        <w:t>6.9 产业配套措施</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_Toc221892930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490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"_Toc221892931" </w:instrText>
      </w:r>
      <w:r>
        <w:fldChar w:fldCharType="separate"/>
      </w:r>
      <w:r>
        <w:rPr>
          <w:rStyle w:val="45"/>
          <w:rFonts w:hint="eastAsia" w:ascii="Times New Roman" w:hAnsi="Times New Roman"/>
        </w:rPr>
        <w:t>6.9.1 标准建设</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_Toc221892931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490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"_Toc221892932" </w:instrText>
      </w:r>
      <w:r>
        <w:fldChar w:fldCharType="separate"/>
      </w:r>
      <w:r>
        <w:rPr>
          <w:rStyle w:val="45"/>
          <w:rFonts w:hint="eastAsia" w:ascii="Times New Roman" w:hAnsi="Times New Roman"/>
        </w:rPr>
        <w:t>6.9.2 产业政策</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_Toc221892932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492</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"_Toc221892933" </w:instrText>
      </w:r>
      <w:r>
        <w:fldChar w:fldCharType="separate"/>
      </w:r>
      <w:r>
        <w:rPr>
          <w:rStyle w:val="45"/>
          <w:rFonts w:hint="eastAsia" w:ascii="Times New Roman" w:hAnsi="Times New Roman"/>
        </w:rPr>
        <w:t>6.9.3 指导文件</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_Toc221892933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493</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"_Toc221892934" </w:instrText>
      </w:r>
      <w:r>
        <w:fldChar w:fldCharType="separate"/>
      </w:r>
      <w:r>
        <w:rPr>
          <w:rStyle w:val="45"/>
          <w:rFonts w:hint="eastAsia" w:ascii="Times New Roman" w:hAnsi="Times New Roman"/>
        </w:rPr>
        <w:t>6.10 建设管理方案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_Toc221892934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494</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"_Toc221892935" </w:instrText>
      </w:r>
      <w:r>
        <w:fldChar w:fldCharType="separate"/>
      </w:r>
      <w:r>
        <w:rPr>
          <w:rStyle w:val="45"/>
          <w:rFonts w:hint="eastAsia" w:ascii="Times New Roman" w:hAnsi="Times New Roman"/>
        </w:rPr>
        <w:t>6.10.1 项目组织模式和机构设置</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_Toc221892935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494</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"_Toc221892936" </w:instrText>
      </w:r>
      <w:r>
        <w:fldChar w:fldCharType="separate"/>
      </w:r>
      <w:r>
        <w:rPr>
          <w:rStyle w:val="45"/>
          <w:rFonts w:hint="eastAsia" w:ascii="Times New Roman" w:hAnsi="Times New Roman"/>
        </w:rPr>
        <w:t>6.10.2 质量、安全管理与验收标准</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_Toc221892936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495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"_Toc221892937" </w:instrText>
      </w:r>
      <w:r>
        <w:fldChar w:fldCharType="separate"/>
      </w:r>
      <w:r>
        <w:rPr>
          <w:rStyle w:val="45"/>
          <w:rFonts w:hint="eastAsia" w:ascii="Times New Roman" w:hAnsi="Times New Roman"/>
        </w:rPr>
        <w:t>6.10.3 项目建设工期</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_Toc221892937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502</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"_Toc221892938" </w:instrText>
      </w:r>
      <w:r>
        <w:fldChar w:fldCharType="separate"/>
      </w:r>
      <w:r>
        <w:rPr>
          <w:rStyle w:val="45"/>
          <w:rFonts w:hint="eastAsia" w:ascii="Times New Roman" w:hAnsi="Times New Roman"/>
        </w:rPr>
        <w:t>6.10.4 招投标方式和招标范围</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_Toc221892938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506</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"_Toc221892939" </w:instrText>
      </w:r>
      <w:r>
        <w:fldChar w:fldCharType="separate"/>
      </w:r>
      <w:r>
        <w:rPr>
          <w:rStyle w:val="45"/>
          <w:rFonts w:hint="eastAsia" w:ascii="Times New Roman" w:hAnsi="Times New Roman"/>
        </w:rPr>
        <w:t>6.10.5 项目拟采用的建设管理模式</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_Toc221892939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510</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"_Toc221892940" </w:instrText>
      </w:r>
      <w:r>
        <w:fldChar w:fldCharType="separate"/>
      </w:r>
      <w:r>
        <w:rPr>
          <w:rStyle w:val="45"/>
          <w:rFonts w:hint="eastAsia" w:ascii="Times New Roman" w:hAnsi="Times New Roman"/>
        </w:rPr>
        <w:t>6.11 运行模式</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_Toc221892940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511</w:t>
      </w:r>
      <w:r>
        <w:rPr>
          <w:rFonts w:hint="eastAsia" w:ascii="Times New Roman" w:hAnsi="Times New Roman"/>
        </w:rPr>
        <w:fldChar w:fldCharType="end"/>
      </w:r>
      <w:r>
        <w:rPr>
          <w:rFonts w:hint="eastAsia" w:ascii="Times New Roman" w:hAnsi="Times New Roman"/>
        </w:rPr>
        <w:fldChar w:fldCharType="end"/>
      </w:r>
    </w:p>
    <w:p>
      <w:pPr>
        <w:pStyle w:val="93"/>
        <w:tabs>
          <w:tab w:val="right" w:leader="dot" w:pos="8296"/>
        </w:tabs>
        <w:rPr>
          <w:rFonts w:eastAsiaTheme="minorEastAsia" w:cstheme="minorBidi"/>
          <w:b w:val="0"/>
          <w:bCs w:val="0"/>
          <w:caps w:val="0"/>
          <w:sz w:val="22"/>
          <w14:ligatures w14:val="standardContextual"/>
        </w:rPr>
      </w:pPr>
      <w:r>
        <w:fldChar w:fldCharType="begin"/>
      </w:r>
      <w:r>
        <w:instrText xml:space="preserve"> HYPERLINK \l "_Toc221892941" </w:instrText>
      </w:r>
      <w:r>
        <w:fldChar w:fldCharType="separate"/>
      </w:r>
      <w:r>
        <w:rPr>
          <w:rStyle w:val="45"/>
          <w:rFonts w:hint="eastAsia" w:ascii="Times New Roman" w:hAnsi="Times New Roman"/>
        </w:rPr>
        <w:t>第七章 项目运行方案</w:t>
      </w:r>
      <w:r>
        <w:rPr>
          <w:rFonts w:hint="eastAsia"/>
        </w:rPr>
        <w:tab/>
      </w:r>
      <w:r>
        <w:rPr>
          <w:rFonts w:hint="eastAsia"/>
        </w:rPr>
        <w:fldChar w:fldCharType="begin"/>
      </w:r>
      <w:r>
        <w:rPr>
          <w:rFonts w:hint="eastAsia"/>
        </w:rPr>
        <w:instrText xml:space="preserve"> </w:instrText>
      </w:r>
      <w:r>
        <w:instrText xml:space="preserve">PAGEREF _Toc221892941 \h</w:instrText>
      </w:r>
      <w:r>
        <w:rPr>
          <w:rFonts w:hint="eastAsia"/>
        </w:rPr>
        <w:instrText xml:space="preserve"> </w:instrText>
      </w:r>
      <w:r>
        <w:rPr>
          <w:rFonts w:hint="eastAsia"/>
        </w:rPr>
        <w:fldChar w:fldCharType="separate"/>
      </w:r>
      <w:r>
        <w:t>511</w:t>
      </w:r>
      <w:r>
        <w:rPr>
          <w:rFonts w:hint="eastAsia"/>
        </w:rPr>
        <w:fldChar w:fldCharType="end"/>
      </w:r>
      <w:r>
        <w:rPr>
          <w:rFonts w:hint="eastAsia"/>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"_Toc221892942" </w:instrText>
      </w:r>
      <w:r>
        <w:fldChar w:fldCharType="separate"/>
      </w:r>
      <w:r>
        <w:rPr>
          <w:rStyle w:val="45"/>
          <w:rFonts w:hint="eastAsia" w:ascii="Times New Roman" w:hAnsi="Times New Roman"/>
        </w:rPr>
        <w:t>7.1 运行目标</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_Toc221892942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511</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"_Toc221892943" </w:instrText>
      </w:r>
      <w:r>
        <w:fldChar w:fldCharType="separate"/>
      </w:r>
      <w:r>
        <w:rPr>
          <w:rStyle w:val="45"/>
          <w:rFonts w:hint="eastAsia" w:ascii="Times New Roman" w:hAnsi="Times New Roman"/>
        </w:rPr>
        <w:t>7.2 建设合作机制</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_Toc221892943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515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"_Toc221892944" </w:instrText>
      </w:r>
      <w:r>
        <w:fldChar w:fldCharType="separate"/>
      </w:r>
      <w:r>
        <w:rPr>
          <w:rStyle w:val="45"/>
          <w:rFonts w:hint="eastAsia" w:ascii="Times New Roman" w:hAnsi="Times New Roman"/>
        </w:rPr>
        <w:t>7.2.1 各单位情况和优势</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_Toc221892944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516</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"_Toc221892945" </w:instrText>
      </w:r>
      <w:r>
        <w:fldChar w:fldCharType="separate"/>
      </w:r>
      <w:r>
        <w:rPr>
          <w:rStyle w:val="45"/>
          <w:rFonts w:hint="eastAsia" w:ascii="Times New Roman" w:hAnsi="Times New Roman"/>
        </w:rPr>
        <w:t>7.2.2 各单位参与方式</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_Toc221892945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549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"_Toc221892946" </w:instrText>
      </w:r>
      <w:r>
        <w:fldChar w:fldCharType="separate"/>
      </w:r>
      <w:r>
        <w:rPr>
          <w:rStyle w:val="45"/>
          <w:rFonts w:hint="eastAsia" w:ascii="Times New Roman" w:hAnsi="Times New Roman"/>
        </w:rPr>
        <w:t>7.2.3 各单位合作分工</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_Toc221892946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549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"_Toc221892947" </w:instrText>
      </w:r>
      <w:r>
        <w:fldChar w:fldCharType="separate"/>
      </w:r>
      <w:r>
        <w:rPr>
          <w:rStyle w:val="45"/>
          <w:rFonts w:hint="eastAsia" w:ascii="Times New Roman" w:hAnsi="Times New Roman"/>
        </w:rPr>
        <w:t>7.2.4 保障措施</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_Toc221892947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551</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"_Toc221892948" </w:instrText>
      </w:r>
      <w:r>
        <w:fldChar w:fldCharType="separate"/>
      </w:r>
      <w:r>
        <w:rPr>
          <w:rStyle w:val="45"/>
          <w:rFonts w:hint="eastAsia" w:ascii="Times New Roman" w:hAnsi="Times New Roman"/>
        </w:rPr>
        <w:t>7.3 供需对接机制</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_Toc221892948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553</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"_Toc221892949" </w:instrText>
      </w:r>
      <w:r>
        <w:fldChar w:fldCharType="separate"/>
      </w:r>
      <w:r>
        <w:rPr>
          <w:rStyle w:val="45"/>
          <w:rFonts w:hint="eastAsia" w:ascii="Times New Roman" w:hAnsi="Times New Roman"/>
        </w:rPr>
        <w:t>7.3.1 供需对象</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_Toc221892949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553</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"_Toc221892950" </w:instrText>
      </w:r>
      <w:r>
        <w:fldChar w:fldCharType="separate"/>
      </w:r>
      <w:r>
        <w:rPr>
          <w:rStyle w:val="45"/>
          <w:rFonts w:hint="eastAsia" w:ascii="Times New Roman" w:hAnsi="Times New Roman"/>
        </w:rPr>
        <w:t>7.3.2 供需对接内容</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_Toc221892950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554</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"_Toc221892951" </w:instrText>
      </w:r>
      <w:r>
        <w:fldChar w:fldCharType="separate"/>
      </w:r>
      <w:r>
        <w:rPr>
          <w:rStyle w:val="45"/>
          <w:rFonts w:hint="eastAsia" w:ascii="Times New Roman" w:hAnsi="Times New Roman"/>
        </w:rPr>
        <w:t>7.3.3 供需对接方式</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_Toc221892951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560</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"_Toc221892952" </w:instrText>
      </w:r>
      <w:r>
        <w:fldChar w:fldCharType="separate"/>
      </w:r>
      <w:r>
        <w:rPr>
          <w:rStyle w:val="45"/>
          <w:rFonts w:hint="eastAsia" w:ascii="Times New Roman" w:hAnsi="Times New Roman"/>
        </w:rPr>
        <w:t>7.4 收益共享机制</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_Toc221892952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561</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"_Toc221892953" </w:instrText>
      </w:r>
      <w:r>
        <w:fldChar w:fldCharType="separate"/>
      </w:r>
      <w:r>
        <w:rPr>
          <w:rStyle w:val="45"/>
          <w:rFonts w:hint="eastAsia" w:ascii="Times New Roman" w:hAnsi="Times New Roman"/>
        </w:rPr>
        <w:t>7.5 协同合作机制</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_Toc221892953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565</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"_Toc221892954" </w:instrText>
      </w:r>
      <w:r>
        <w:fldChar w:fldCharType="separate"/>
      </w:r>
      <w:r>
        <w:rPr>
          <w:rStyle w:val="45"/>
          <w:rFonts w:hint="eastAsia" w:ascii="Times New Roman" w:hAnsi="Times New Roman"/>
        </w:rPr>
        <w:t>7.6 安全保障方案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_Toc221892954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567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"_Toc221892955" </w:instrText>
      </w:r>
      <w:r>
        <w:fldChar w:fldCharType="separate"/>
      </w:r>
      <w:r>
        <w:rPr>
          <w:rStyle w:val="45"/>
          <w:rFonts w:hint="eastAsia" w:ascii="Times New Roman" w:hAnsi="Times New Roman"/>
        </w:rPr>
        <w:t>7.6.1 基地科研和运行安全措施</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_Toc221892955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567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"_Toc221892956" </w:instrText>
      </w:r>
      <w:r>
        <w:fldChar w:fldCharType="separate"/>
      </w:r>
      <w:r>
        <w:rPr>
          <w:rStyle w:val="45"/>
          <w:rFonts w:hint="eastAsia" w:ascii="Times New Roman" w:hAnsi="Times New Roman"/>
        </w:rPr>
        <w:t>7.6.2 安全应急管理预案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_Toc221892956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569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"_Toc221892957" </w:instrText>
      </w:r>
      <w:r>
        <w:fldChar w:fldCharType="separate"/>
      </w:r>
      <w:r>
        <w:rPr>
          <w:rStyle w:val="45"/>
          <w:rFonts w:hint="eastAsia" w:ascii="Times New Roman" w:hAnsi="Times New Roman"/>
        </w:rPr>
        <w:t>7.6.3 劳动安全措施</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_Toc221892957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570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"_Toc221892958" </w:instrText>
      </w:r>
      <w:r>
        <w:fldChar w:fldCharType="separate"/>
      </w:r>
      <w:r>
        <w:rPr>
          <w:rStyle w:val="45"/>
          <w:rFonts w:hint="eastAsia" w:ascii="Times New Roman" w:hAnsi="Times New Roman"/>
        </w:rPr>
        <w:t>7.6.4 消防安全措施</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_Toc221892958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571</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"_Toc221892959" </w:instrText>
      </w:r>
      <w:r>
        <w:fldChar w:fldCharType="separate"/>
      </w:r>
      <w:r>
        <w:rPr>
          <w:rStyle w:val="45"/>
          <w:rFonts w:hint="eastAsia" w:ascii="Times New Roman" w:hAnsi="Times New Roman"/>
        </w:rPr>
        <w:t>7.6.5 质量管理措施</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_Toc221892959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572</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"_Toc221892960" </w:instrText>
      </w:r>
      <w:r>
        <w:fldChar w:fldCharType="separate"/>
      </w:r>
      <w:r>
        <w:rPr>
          <w:rStyle w:val="45"/>
          <w:rFonts w:hint="eastAsia" w:ascii="Times New Roman" w:hAnsi="Times New Roman"/>
        </w:rPr>
        <w:t>7.6.6 供应链安全措施</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_Toc221892960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572</w:t>
      </w:r>
      <w:r>
        <w:rPr>
          <w:rFonts w:hint="eastAsia" w:ascii="Times New Roman" w:hAnsi="Times New Roman"/>
        </w:rPr>
        <w:fldChar w:fldCharType="end"/>
      </w:r>
      <w:r>
        <w:rPr>
          <w:rFonts w:hint="eastAsia" w:ascii="Times New Roman" w:hAnsi="Times New Roman"/>
        </w:rPr>
        <w:fldChar w:fldCharType="end"/>
      </w:r>
    </w:p>
    <w:p>
      <w:pPr>
        <w:pStyle w:val="93"/>
        <w:tabs>
          <w:tab w:val="right" w:leader="dot" w:pos="8296"/>
        </w:tabs>
        <w:rPr>
          <w:rFonts w:eastAsiaTheme="minorEastAsia" w:cstheme="minorBidi"/>
          <w:b w:val="0"/>
          <w:bCs w:val="0"/>
          <w:caps w:val="0"/>
          <w:sz w:val="22"/>
          <w14:ligatures w14:val="standardContextual"/>
        </w:rPr>
      </w:pPr>
      <w:r>
        <w:fldChar w:fldCharType="begin"/>
      </w:r>
      <w:r>
        <w:instrText xml:space="preserve"> HYPERLINK \l "_Toc221892961" </w:instrText>
      </w:r>
      <w:r>
        <w:fldChar w:fldCharType="separate"/>
      </w:r>
      <w:r>
        <w:rPr>
          <w:rStyle w:val="45"/>
          <w:rFonts w:hint="eastAsia" w:ascii="Times New Roman" w:hAnsi="Times New Roman"/>
        </w:rPr>
        <w:t>第八章 项目投融资与财务方案</w:t>
      </w:r>
      <w:r>
        <w:rPr>
          <w:rFonts w:hint="eastAsia"/>
        </w:rPr>
        <w:tab/>
      </w:r>
      <w:r>
        <w:rPr>
          <w:rFonts w:hint="eastAsia"/>
        </w:rPr>
        <w:fldChar w:fldCharType="begin"/>
      </w:r>
      <w:r>
        <w:rPr>
          <w:rFonts w:hint="eastAsia"/>
        </w:rPr>
        <w:instrText xml:space="preserve"> </w:instrText>
      </w:r>
      <w:r>
        <w:instrText xml:space="preserve">PAGEREF _Toc221892961 \h</w:instrText>
      </w:r>
      <w:r>
        <w:rPr>
          <w:rFonts w:hint="eastAsia"/>
        </w:rPr>
        <w:instrText xml:space="preserve"> </w:instrText>
      </w:r>
      <w:r>
        <w:rPr>
          <w:rFonts w:hint="eastAsia"/>
        </w:rPr>
        <w:fldChar w:fldCharType="separate"/>
      </w:r>
      <w:r>
        <w:t>574</w:t>
      </w:r>
      <w:r>
        <w:rPr>
          <w:rFonts w:hint="eastAsia"/>
        </w:rPr>
        <w:fldChar w:fldCharType="end"/>
      </w:r>
      <w:r>
        <w:rPr>
          <w:rFonts w:hint="eastAsia"/>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"_Toc221892962" </w:instrText>
      </w:r>
      <w:r>
        <w:fldChar w:fldCharType="separate"/>
      </w:r>
      <w:r>
        <w:rPr>
          <w:rStyle w:val="45"/>
          <w:rFonts w:hint="eastAsia" w:ascii="Times New Roman" w:hAnsi="Times New Roman"/>
        </w:rPr>
        <w:t>8.1 投资估算及筹措</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_Toc221892962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574</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"_Toc221892963" </w:instrText>
      </w:r>
      <w:r>
        <w:fldChar w:fldCharType="separate"/>
      </w:r>
      <w:r>
        <w:rPr>
          <w:rStyle w:val="45"/>
          <w:rFonts w:hint="eastAsia" w:ascii="Times New Roman" w:hAnsi="Times New Roman"/>
        </w:rPr>
        <w:t>8.1.1 投资估算编制依据及取费标准</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_Toc221892963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574</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"_Toc221892964" </w:instrText>
      </w:r>
      <w:r>
        <w:fldChar w:fldCharType="separate"/>
      </w:r>
      <w:r>
        <w:rPr>
          <w:rStyle w:val="45"/>
          <w:rFonts w:hint="eastAsia" w:ascii="Times New Roman" w:hAnsi="Times New Roman"/>
        </w:rPr>
        <w:t>8.1.2 总投资估算范围和内容</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_Toc221892964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574</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"_Toc221892965" </w:instrText>
      </w:r>
      <w:r>
        <w:fldChar w:fldCharType="separate"/>
      </w:r>
      <w:r>
        <w:rPr>
          <w:rStyle w:val="45"/>
          <w:rFonts w:hint="eastAsia" w:ascii="Times New Roman" w:hAnsi="Times New Roman"/>
        </w:rPr>
        <w:t>8.1.3 总投资估算构成及说明</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_Toc221892965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575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"_Toc221892966" </w:instrText>
      </w:r>
      <w:r>
        <w:fldChar w:fldCharType="separate"/>
      </w:r>
      <w:r>
        <w:rPr>
          <w:rStyle w:val="45"/>
          <w:rFonts w:hint="eastAsia" w:ascii="Times New Roman" w:hAnsi="Times New Roman"/>
        </w:rPr>
        <w:t>8.1.4 投资使用方案和资金筹措方案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_Toc221892966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662</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"_Toc221892967" </w:instrText>
      </w:r>
      <w:r>
        <w:fldChar w:fldCharType="separate"/>
      </w:r>
      <w:r>
        <w:rPr>
          <w:rStyle w:val="45"/>
          <w:rFonts w:hint="eastAsia" w:ascii="Times New Roman" w:hAnsi="Times New Roman"/>
        </w:rPr>
        <w:t>8.1.5 国家安排资金的具体使用方案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_Toc221892967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662</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"_Toc221892968" </w:instrText>
      </w:r>
      <w:r>
        <w:fldChar w:fldCharType="separate"/>
      </w:r>
      <w:r>
        <w:rPr>
          <w:rStyle w:val="45"/>
          <w:rFonts w:hint="eastAsia" w:ascii="Times New Roman" w:hAnsi="Times New Roman"/>
        </w:rPr>
        <w:t>8.2 融资方案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_Toc221892968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663</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"_Toc221892969" </w:instrText>
      </w:r>
      <w:r>
        <w:fldChar w:fldCharType="separate"/>
      </w:r>
      <w:r>
        <w:rPr>
          <w:rStyle w:val="45"/>
          <w:rFonts w:hint="eastAsia" w:ascii="Times New Roman" w:hAnsi="Times New Roman"/>
        </w:rPr>
        <w:t>8.3 债务清偿能力分析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_Toc221892969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663</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"_Toc221892970" </w:instrText>
      </w:r>
      <w:r>
        <w:fldChar w:fldCharType="separate"/>
      </w:r>
      <w:r>
        <w:rPr>
          <w:rStyle w:val="45"/>
          <w:rFonts w:hint="eastAsia" w:ascii="Times New Roman" w:hAnsi="Times New Roman"/>
        </w:rPr>
        <w:t>8.3.1 社会稳定风险</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_Toc221892970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663</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"_Toc221892971" </w:instrText>
      </w:r>
      <w:r>
        <w:fldChar w:fldCharType="separate"/>
      </w:r>
      <w:r>
        <w:rPr>
          <w:rStyle w:val="45"/>
          <w:rFonts w:hint="eastAsia" w:ascii="Times New Roman" w:hAnsi="Times New Roman"/>
        </w:rPr>
        <w:t>8.4 财务可持续性分析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_Toc221892971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667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"_Toc221892972" </w:instrText>
      </w:r>
      <w:r>
        <w:fldChar w:fldCharType="separate"/>
      </w:r>
      <w:r>
        <w:rPr>
          <w:rStyle w:val="45"/>
          <w:rFonts w:hint="eastAsia" w:ascii="Times New Roman" w:hAnsi="Times New Roman"/>
        </w:rPr>
        <w:t>8.4.1 财务效益计算的依据及说明</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_Toc221892972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667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"_Toc221892973" </w:instrText>
      </w:r>
      <w:r>
        <w:fldChar w:fldCharType="separate"/>
      </w:r>
      <w:r>
        <w:rPr>
          <w:rStyle w:val="45"/>
          <w:rFonts w:hint="eastAsia" w:ascii="Times New Roman" w:hAnsi="Times New Roman"/>
        </w:rPr>
        <w:t>8.4.2 项目成本估算</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_Toc221892973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667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"_Toc221892974" </w:instrText>
      </w:r>
      <w:r>
        <w:fldChar w:fldCharType="separate"/>
      </w:r>
      <w:r>
        <w:rPr>
          <w:rStyle w:val="45"/>
          <w:rFonts w:hint="eastAsia" w:ascii="Times New Roman" w:hAnsi="Times New Roman"/>
        </w:rPr>
        <w:t>8.4.3 项目营收、税金及利润估算</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_Toc221892974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669</w:t>
      </w:r>
      <w:r>
        <w:rPr>
          <w:rFonts w:hint="eastAsia" w:ascii="Times New Roman" w:hAnsi="Times New Roman"/>
        </w:rPr>
        <w:fldChar w:fldCharType="end"/>
      </w:r>
      <w:r>
        <w:rPr>
          <w:rFonts w:hint="eastAsia" w:ascii="Times New Roman" w:hAnsi="Times New Roman"/>
        </w:rPr>
        <w:fldChar w:fldCharType="end"/>
      </w:r>
    </w:p>
    <w:p>
      <w:pPr>
        <w:pStyle w:val="93"/>
        <w:tabs>
          <w:tab w:val="right" w:leader="dot" w:pos="8296"/>
        </w:tabs>
        <w:rPr>
          <w:rFonts w:eastAsiaTheme="minorEastAsia" w:cstheme="minorBidi"/>
          <w:b w:val="0"/>
          <w:bCs w:val="0"/>
          <w:caps w:val="0"/>
          <w:sz w:val="22"/>
          <w14:ligatures w14:val="standardContextual"/>
        </w:rPr>
      </w:pPr>
      <w:r>
        <w:fldChar w:fldCharType="begin"/>
      </w:r>
      <w:r>
        <w:instrText xml:space="preserve"> HYPERLINK \l "_Toc221892975" </w:instrText>
      </w:r>
      <w:r>
        <w:fldChar w:fldCharType="separate"/>
      </w:r>
      <w:r>
        <w:rPr>
          <w:rStyle w:val="45"/>
          <w:rFonts w:hint="eastAsia" w:ascii="Times New Roman" w:hAnsi="Times New Roman"/>
        </w:rPr>
        <w:t>第九章 项目影响效果分析</w:t>
      </w:r>
      <w:r>
        <w:rPr>
          <w:rFonts w:hint="eastAsia"/>
        </w:rPr>
        <w:tab/>
      </w:r>
      <w:r>
        <w:rPr>
          <w:rFonts w:hint="eastAsia"/>
        </w:rPr>
        <w:fldChar w:fldCharType="begin"/>
      </w:r>
      <w:r>
        <w:rPr>
          <w:rFonts w:hint="eastAsia"/>
        </w:rPr>
        <w:instrText xml:space="preserve"> </w:instrText>
      </w:r>
      <w:r>
        <w:instrText xml:space="preserve">PAGEREF _Toc221892975 \h</w:instrText>
      </w:r>
      <w:r>
        <w:rPr>
          <w:rFonts w:hint="eastAsia"/>
        </w:rPr>
        <w:instrText xml:space="preserve"> </w:instrText>
      </w:r>
      <w:r>
        <w:rPr>
          <w:rFonts w:hint="eastAsia"/>
        </w:rPr>
        <w:fldChar w:fldCharType="separate"/>
      </w:r>
      <w:r>
        <w:t>677</w:t>
      </w:r>
      <w:r>
        <w:rPr>
          <w:rFonts w:hint="eastAsia"/>
        </w:rPr>
        <w:fldChar w:fldCharType="end"/>
      </w:r>
      <w:r>
        <w:rPr>
          <w:rFonts w:hint="eastAsia"/>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"_Toc221892976" </w:instrText>
      </w:r>
      <w:r>
        <w:fldChar w:fldCharType="separate"/>
      </w:r>
      <w:r>
        <w:rPr>
          <w:rStyle w:val="45"/>
          <w:rFonts w:hint="eastAsia" w:ascii="Times New Roman" w:hAnsi="Times New Roman"/>
        </w:rPr>
        <w:t>9.1 社会影响分析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_Toc221892976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677</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"_Toc221892977" </w:instrText>
      </w:r>
      <w:r>
        <w:fldChar w:fldCharType="separate"/>
      </w:r>
      <w:r>
        <w:rPr>
          <w:rStyle w:val="45"/>
          <w:rFonts w:hint="eastAsia" w:ascii="Times New Roman" w:hAnsi="Times New Roman"/>
        </w:rPr>
        <w:t>9.2 经济影响分析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_Toc221892977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678</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"_Toc221892978" </w:instrText>
      </w:r>
      <w:r>
        <w:fldChar w:fldCharType="separate"/>
      </w:r>
      <w:r>
        <w:rPr>
          <w:rStyle w:val="45"/>
          <w:rFonts w:hint="eastAsia" w:ascii="Times New Roman" w:hAnsi="Times New Roman"/>
        </w:rPr>
        <w:t>9.3 生态环境影响分析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_Toc221892978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679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"_Toc221892979" </w:instrText>
      </w:r>
      <w:r>
        <w:fldChar w:fldCharType="separate"/>
      </w:r>
      <w:r>
        <w:rPr>
          <w:rStyle w:val="45"/>
          <w:rFonts w:hint="eastAsia" w:ascii="Times New Roman" w:hAnsi="Times New Roman"/>
        </w:rPr>
        <w:t>9.3.1 环境条件</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_Toc221892979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679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"_Toc221892980" </w:instrText>
      </w:r>
      <w:r>
        <w:fldChar w:fldCharType="separate"/>
      </w:r>
      <w:r>
        <w:rPr>
          <w:rStyle w:val="45"/>
          <w:rFonts w:hint="eastAsia" w:ascii="Times New Roman" w:hAnsi="Times New Roman"/>
        </w:rPr>
        <w:t>9.3.2 项目建设对环境影响</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_Toc221892980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679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"_Toc221892981" </w:instrText>
      </w:r>
      <w:r>
        <w:fldChar w:fldCharType="separate"/>
      </w:r>
      <w:r>
        <w:rPr>
          <w:rStyle w:val="45"/>
          <w:rFonts w:hint="eastAsia" w:ascii="Times New Roman" w:hAnsi="Times New Roman"/>
        </w:rPr>
        <w:t>9.3.3 项目建设期环境保护措施</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_Toc221892981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"_Toc221892982" </w:instrText>
      </w:r>
      <w:r>
        <w:fldChar w:fldCharType="separate"/>
      </w:r>
      <w:r>
        <w:rPr>
          <w:rStyle w:val="45"/>
          <w:rFonts w:hint="eastAsia" w:ascii="Times New Roman" w:hAnsi="Times New Roman"/>
        </w:rPr>
        <w:t>9.3.4 项目运营对环境影响</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_Toc221892982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"_Toc221892983" </w:instrText>
      </w:r>
      <w:r>
        <w:fldChar w:fldCharType="separate"/>
      </w:r>
      <w:r>
        <w:rPr>
          <w:rStyle w:val="45"/>
          <w:rFonts w:hint="eastAsia" w:ascii="Times New Roman" w:hAnsi="Times New Roman"/>
        </w:rPr>
        <w:t>9.3.5 项目运营期环境保护措施</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_Toc221892983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"_Toc221892984" </w:instrText>
      </w:r>
      <w:r>
        <w:fldChar w:fldCharType="separate"/>
      </w:r>
      <w:r>
        <w:rPr>
          <w:rStyle w:val="45"/>
          <w:rFonts w:hint="eastAsia" w:ascii="Times New Roman" w:hAnsi="Times New Roman"/>
        </w:rPr>
        <w:t>9.3.6 环境影响评价</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_Toc221892984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680</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"_Toc221892985" </w:instrText>
      </w:r>
      <w:r>
        <w:fldChar w:fldCharType="separate"/>
      </w:r>
      <w:r>
        <w:rPr>
          <w:rStyle w:val="45"/>
          <w:rFonts w:hint="eastAsia" w:ascii="Times New Roman" w:hAnsi="Times New Roman"/>
        </w:rPr>
        <w:t>9.4 资源和能源利用效果分析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_Toc221892985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681</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"_Toc221892986" </w:instrText>
      </w:r>
      <w:r>
        <w:fldChar w:fldCharType="separate"/>
      </w:r>
      <w:r>
        <w:rPr>
          <w:rStyle w:val="45"/>
          <w:rFonts w:hint="eastAsia" w:ascii="Times New Roman" w:hAnsi="Times New Roman"/>
        </w:rPr>
        <w:t>9.4.1 资源利用效果分析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_Toc221892986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681</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"_Toc221892987" </w:instrText>
      </w:r>
      <w:r>
        <w:fldChar w:fldCharType="separate"/>
      </w:r>
      <w:r>
        <w:rPr>
          <w:rStyle w:val="45"/>
          <w:rFonts w:hint="eastAsia" w:ascii="Times New Roman" w:hAnsi="Times New Roman"/>
        </w:rPr>
        <w:t>9.4.2 节能方案分析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_Toc221892987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681</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"_Toc221892988" </w:instrText>
      </w:r>
      <w:r>
        <w:fldChar w:fldCharType="separate"/>
      </w:r>
      <w:r>
        <w:rPr>
          <w:rStyle w:val="45"/>
          <w:rFonts w:hint="eastAsia" w:ascii="Times New Roman" w:hAnsi="Times New Roman"/>
        </w:rPr>
        <w:t>9.5 碳达标碳中和分析</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_Toc221892988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684</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"_Toc221892989" </w:instrText>
      </w:r>
      <w:r>
        <w:fldChar w:fldCharType="separate"/>
      </w:r>
      <w:r>
        <w:rPr>
          <w:rStyle w:val="45"/>
          <w:rFonts w:hint="eastAsia" w:ascii="Times New Roman" w:hAnsi="Times New Roman"/>
        </w:rPr>
        <w:t>9.5.1 碳排放量测算</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_Toc221892989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684</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"_Toc221892990" </w:instrText>
      </w:r>
      <w:r>
        <w:fldChar w:fldCharType="separate"/>
      </w:r>
      <w:r>
        <w:rPr>
          <w:rStyle w:val="45"/>
          <w:rFonts w:hint="eastAsia" w:ascii="Times New Roman" w:hAnsi="Times New Roman"/>
        </w:rPr>
        <w:t>9.5.2 项目碳排放控制方案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_Toc221892990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"_Toc221892991" </w:instrText>
      </w:r>
      <w:r>
        <w:fldChar w:fldCharType="separate"/>
      </w:r>
      <w:r>
        <w:rPr>
          <w:rStyle w:val="45"/>
          <w:rFonts w:hint="eastAsia" w:ascii="Times New Roman" w:hAnsi="Times New Roman"/>
        </w:rPr>
        <w:t>9.5.3 项目对北京市和内蒙古自治区碳达峰和碳中和目标实现的影响</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_Toc221892991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685</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"_Toc221892992" </w:instrText>
      </w:r>
      <w:r>
        <w:fldChar w:fldCharType="separate"/>
      </w:r>
      <w:r>
        <w:rPr>
          <w:rStyle w:val="45"/>
          <w:rFonts w:hint="eastAsia" w:ascii="Times New Roman" w:hAnsi="Times New Roman"/>
        </w:rPr>
        <w:t>9.6 风险识别与评价</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_Toc221892992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686</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"_Toc221892993" </w:instrText>
      </w:r>
      <w:r>
        <w:fldChar w:fldCharType="separate"/>
      </w:r>
      <w:r>
        <w:rPr>
          <w:rStyle w:val="45"/>
          <w:rFonts w:hint="eastAsia" w:ascii="Times New Roman" w:hAnsi="Times New Roman"/>
        </w:rPr>
        <w:t>9.6.1 技术风险</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_Toc221892993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686</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"_Toc221892994" </w:instrText>
      </w:r>
      <w:r>
        <w:fldChar w:fldCharType="separate"/>
      </w:r>
      <w:r>
        <w:rPr>
          <w:rStyle w:val="45"/>
          <w:rFonts w:hint="eastAsia" w:ascii="Times New Roman" w:hAnsi="Times New Roman"/>
        </w:rPr>
        <w:t>9.6.2 数据安全与隐私保护风险</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_Toc221892994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"_Toc221892995" </w:instrText>
      </w:r>
      <w:r>
        <w:fldChar w:fldCharType="separate"/>
      </w:r>
      <w:r>
        <w:rPr>
          <w:rStyle w:val="45"/>
          <w:rFonts w:hint="eastAsia" w:ascii="Times New Roman" w:hAnsi="Times New Roman"/>
        </w:rPr>
        <w:t>9.6.3 市场风险</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_Toc221892995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"_Toc221892996" </w:instrText>
      </w:r>
      <w:r>
        <w:fldChar w:fldCharType="separate"/>
      </w:r>
      <w:r>
        <w:rPr>
          <w:rStyle w:val="45"/>
          <w:rFonts w:hint="eastAsia" w:ascii="Times New Roman" w:hAnsi="Times New Roman"/>
        </w:rPr>
        <w:t>9.6.4 项目管理风险</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_Toc221892996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687</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"_Toc221892997" </w:instrText>
      </w:r>
      <w:r>
        <w:fldChar w:fldCharType="separate"/>
      </w:r>
      <w:r>
        <w:rPr>
          <w:rStyle w:val="45"/>
          <w:rFonts w:hint="eastAsia" w:ascii="Times New Roman" w:hAnsi="Times New Roman"/>
        </w:rPr>
        <w:t>9.6.5 财务运营风险</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_Toc221892997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688</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"_Toc221892998" </w:instrText>
      </w:r>
      <w:r>
        <w:fldChar w:fldCharType="separate"/>
      </w:r>
      <w:r>
        <w:rPr>
          <w:rStyle w:val="45"/>
          <w:rFonts w:hint="eastAsia" w:ascii="Times New Roman" w:hAnsi="Times New Roman"/>
        </w:rPr>
        <w:t>9.6.6 成果转化风险</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_Toc221892998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688</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"_Toc221892999" </w:instrText>
      </w:r>
      <w:r>
        <w:fldChar w:fldCharType="separate"/>
      </w:r>
      <w:r>
        <w:rPr>
          <w:rStyle w:val="45"/>
          <w:rFonts w:hint="eastAsia" w:ascii="Times New Roman" w:hAnsi="Times New Roman"/>
        </w:rPr>
        <w:t>9.6.7 协作风险</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_Toc221892999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688</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"_Toc221893000" </w:instrText>
      </w:r>
      <w:r>
        <w:fldChar w:fldCharType="separate"/>
      </w:r>
      <w:r>
        <w:rPr>
          <w:rStyle w:val="45"/>
          <w:rFonts w:hint="eastAsia" w:ascii="Times New Roman" w:hAnsi="Times New Roman"/>
        </w:rPr>
        <w:t>9.7 风险管控方案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_Toc221893000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"_Toc221893001" </w:instrText>
      </w:r>
      <w:r>
        <w:fldChar w:fldCharType="separate"/>
      </w:r>
      <w:r>
        <w:rPr>
          <w:rStyle w:val="45"/>
          <w:rFonts w:hint="eastAsia" w:ascii="Times New Roman" w:hAnsi="Times New Roman"/>
        </w:rPr>
        <w:t>9.7.1 技术风险管控</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_Toc221893001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"_Toc221893002" </w:instrText>
      </w:r>
      <w:r>
        <w:fldChar w:fldCharType="separate"/>
      </w:r>
      <w:r>
        <w:rPr>
          <w:rStyle w:val="45"/>
          <w:rFonts w:hint="eastAsia" w:ascii="Times New Roman" w:hAnsi="Times New Roman"/>
        </w:rPr>
        <w:t>9.7.2 数据安全与隐私保护风险管控</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_Toc221893002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"_Toc221893003" </w:instrText>
      </w:r>
      <w:r>
        <w:fldChar w:fldCharType="separate"/>
      </w:r>
      <w:r>
        <w:rPr>
          <w:rStyle w:val="45"/>
          <w:rFonts w:hint="eastAsia" w:ascii="Times New Roman" w:hAnsi="Times New Roman"/>
        </w:rPr>
        <w:t>9.7.3 市场风险管控</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_Toc221893003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"_Toc221893004" </w:instrText>
      </w:r>
      <w:r>
        <w:fldChar w:fldCharType="separate"/>
      </w:r>
      <w:r>
        <w:rPr>
          <w:rStyle w:val="45"/>
          <w:rFonts w:hint="eastAsia" w:ascii="Times New Roman" w:hAnsi="Times New Roman"/>
        </w:rPr>
        <w:t>9.7.4 项目管理风险管控</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_Toc221893004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689</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"_Toc221893005" </w:instrText>
      </w:r>
      <w:r>
        <w:fldChar w:fldCharType="separate"/>
      </w:r>
      <w:r>
        <w:rPr>
          <w:rStyle w:val="45"/>
          <w:rFonts w:hint="eastAsia" w:ascii="Times New Roman" w:hAnsi="Times New Roman"/>
        </w:rPr>
        <w:t>9.7.5 财务运营风险管控</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_Toc221893005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690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"_Toc221893006" </w:instrText>
      </w:r>
      <w:r>
        <w:fldChar w:fldCharType="separate"/>
      </w:r>
      <w:r>
        <w:rPr>
          <w:rStyle w:val="45"/>
          <w:rFonts w:hint="eastAsia" w:ascii="Times New Roman" w:hAnsi="Times New Roman"/>
        </w:rPr>
        <w:t>9.7.6 成果转化风险管控</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_Toc221893006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690</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"_Toc221893007" </w:instrText>
      </w:r>
      <w:r>
        <w:fldChar w:fldCharType="separate"/>
      </w:r>
      <w:r>
        <w:rPr>
          <w:rStyle w:val="45"/>
          <w:rFonts w:hint="eastAsia" w:ascii="Times New Roman" w:hAnsi="Times New Roman"/>
        </w:rPr>
        <w:t>9.7.7 协作风险管控</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_Toc221893007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691</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"_Toc221893008" </w:instrText>
      </w:r>
      <w:r>
        <w:fldChar w:fldCharType="separate"/>
      </w:r>
      <w:r>
        <w:rPr>
          <w:rStyle w:val="45"/>
          <w:rFonts w:hint="eastAsia" w:ascii="Times New Roman" w:hAnsi="Times New Roman"/>
        </w:rPr>
        <w:t>9.7.8 社会稳定风险管控</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_Toc221893008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692</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"_Toc221893009" </w:instrText>
      </w:r>
      <w:r>
        <w:fldChar w:fldCharType="separate"/>
      </w:r>
      <w:r>
        <w:rPr>
          <w:rStyle w:val="45"/>
          <w:rFonts w:hint="eastAsia" w:ascii="Times New Roman" w:hAnsi="Times New Roman"/>
        </w:rPr>
        <w:t>9.8 风险应急预案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_Toc221893009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695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"_Toc221893010" </w:instrText>
      </w:r>
      <w:r>
        <w:fldChar w:fldCharType="separate"/>
      </w:r>
      <w:r>
        <w:rPr>
          <w:rStyle w:val="45"/>
          <w:rFonts w:hint="eastAsia" w:ascii="Times New Roman" w:hAnsi="Times New Roman"/>
        </w:rPr>
        <w:t>9.8.1 风险应急预案适用范围</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_Toc221893010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695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"_Toc221893011" </w:instrText>
      </w:r>
      <w:r>
        <w:fldChar w:fldCharType="separate"/>
      </w:r>
      <w:r>
        <w:rPr>
          <w:rStyle w:val="45"/>
          <w:rFonts w:hint="eastAsia" w:ascii="Times New Roman" w:hAnsi="Times New Roman"/>
        </w:rPr>
        <w:t>9.8.2 应急工作优先原则</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_Toc221893011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695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"_Toc221893012" </w:instrText>
      </w:r>
      <w:r>
        <w:fldChar w:fldCharType="separate"/>
      </w:r>
      <w:r>
        <w:rPr>
          <w:rStyle w:val="45"/>
          <w:rFonts w:hint="eastAsia" w:ascii="Times New Roman" w:hAnsi="Times New Roman"/>
        </w:rPr>
        <w:t>9.8.3 应急救援机构设置</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_Toc221893012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695</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"_Toc221893013" </w:instrText>
      </w:r>
      <w:r>
        <w:fldChar w:fldCharType="separate"/>
      </w:r>
      <w:r>
        <w:rPr>
          <w:rStyle w:val="45"/>
          <w:rFonts w:hint="eastAsia" w:ascii="Times New Roman" w:hAnsi="Times New Roman"/>
        </w:rPr>
        <w:t>9.8.4 风险应急预案</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_Toc221893013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696</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"_Toc221893014" </w:instrText>
      </w:r>
      <w:r>
        <w:fldChar w:fldCharType="separate"/>
      </w:r>
      <w:r>
        <w:rPr>
          <w:rStyle w:val="45"/>
          <w:rFonts w:hint="eastAsia" w:ascii="Times New Roman" w:hAnsi="Times New Roman"/>
        </w:rPr>
        <w:t>9.8.5 预案管理</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_Toc221893014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698</w:t>
      </w:r>
      <w:r>
        <w:rPr>
          <w:rFonts w:hint="eastAsia" w:ascii="Times New Roman" w:hAnsi="Times New Roman"/>
        </w:rPr>
        <w:fldChar w:fldCharType="end"/>
      </w:r>
      <w:r>
        <w:rPr>
          <w:rFonts w:hint="eastAsia" w:ascii="Times New Roman" w:hAnsi="Times New Roman"/>
        </w:rPr>
        <w:fldChar w:fldCharType="end"/>
      </w:r>
    </w:p>
    <w:p>
      <w:pPr>
        <w:pStyle w:val="95"/>
        <w:tabs>
          <w:tab w:val="right" w:leader="dot" w:pos="8296"/>
        </w:tabs>
        <w:ind w:firstLine="560"/>
        <w:rPr>
          <w:rFonts w:ascii="Times New Roman" w:hAnsi="Times New Roman" w:eastAsiaTheme="minorEastAsia" w:cstheme="minorBidi"/>
          <w:iCs w:val="0"/>
          <w:sz w:val="22"/>
          <w:szCs w:val="24"/>
          <w14:ligatures w14:val="standardContextual"/>
        </w:rPr>
      </w:pPr>
      <w:r>
        <w:fldChar w:fldCharType="begin"/>
      </w:r>
      <w:r>
        <w:instrText xml:space="preserve"> HYPERLINK \l "_Toc221893015" </w:instrText>
      </w:r>
      <w:r>
        <w:fldChar w:fldCharType="separate"/>
      </w:r>
      <w:r>
        <w:rPr>
          <w:rStyle w:val="45"/>
          <w:rFonts w:hint="eastAsia" w:ascii="Times New Roman" w:hAnsi="Times New Roman"/>
        </w:rPr>
        <w:t>9.8.6 预案修订与完善</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_Toc221893015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699</w:t>
      </w:r>
      <w:r>
        <w:rPr>
          <w:rFonts w:hint="eastAsia" w:ascii="Times New Roman" w:hAnsi="Times New Roman"/>
        </w:rPr>
        <w:fldChar w:fldCharType="end"/>
      </w:r>
      <w:r>
        <w:rPr>
          <w:rFonts w:hint="eastAsia" w:ascii="Times New Roman" w:hAnsi="Times New Roman"/>
        </w:rPr>
        <w:fldChar w:fldCharType="end"/>
      </w:r>
    </w:p>
    <w:p>
      <w:pPr>
        <w:pStyle w:val="93"/>
        <w:tabs>
          <w:tab w:val="right" w:leader="dot" w:pos="8296"/>
        </w:tabs>
        <w:rPr>
          <w:rFonts w:eastAsiaTheme="minorEastAsia" w:cstheme="minorBidi"/>
          <w:b w:val="0"/>
          <w:bCs w:val="0"/>
          <w:caps w:val="0"/>
          <w:sz w:val="22"/>
          <w14:ligatures w14:val="standardContextual"/>
        </w:rPr>
      </w:pPr>
      <w:r>
        <w:fldChar w:fldCharType="begin"/>
      </w:r>
      <w:r>
        <w:instrText xml:space="preserve"> HYPERLINK \l "_Toc221893016" </w:instrText>
      </w:r>
      <w:r>
        <w:fldChar w:fldCharType="separate"/>
      </w:r>
      <w:r>
        <w:rPr>
          <w:rStyle w:val="45"/>
          <w:rFonts w:hint="eastAsia" w:ascii="Times New Roman" w:hAnsi="Times New Roman"/>
        </w:rPr>
        <w:t>第十章 研究结论与建议</w:t>
      </w:r>
      <w:r>
        <w:rPr>
          <w:rFonts w:hint="eastAsia"/>
        </w:rPr>
        <w:tab/>
      </w:r>
      <w:r>
        <w:rPr>
          <w:rFonts w:hint="eastAsia"/>
        </w:rPr>
        <w:fldChar w:fldCharType="begin"/>
      </w:r>
      <w:r>
        <w:rPr>
          <w:rFonts w:hint="eastAsia"/>
        </w:rPr>
        <w:instrText xml:space="preserve"> </w:instrText>
      </w:r>
      <w:r>
        <w:instrText xml:space="preserve">PAGEREF _Toc221893016 \h</w:instrText>
      </w:r>
      <w:r>
        <w:rPr>
          <w:rFonts w:hint="eastAsia"/>
        </w:rPr>
        <w:instrText xml:space="preserve"> </w:instrText>
      </w:r>
      <w:r>
        <w:rPr>
          <w:rFonts w:hint="eastAsia"/>
        </w:rPr>
        <w:fldChar w:fldCharType="separate"/>
      </w:r>
      <w:r>
        <w:t>700</w:t>
      </w:r>
      <w:r>
        <w:rPr>
          <w:rFonts w:hint="eastAsia"/>
        </w:rPr>
        <w:fldChar w:fldCharType="end"/>
      </w:r>
      <w:r>
        <w:rPr>
          <w:rFonts w:hint="eastAsia"/>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"_Toc221893017" </w:instrText>
      </w:r>
      <w:r>
        <w:fldChar w:fldCharType="separate"/>
      </w:r>
      <w:r>
        <w:rPr>
          <w:rStyle w:val="45"/>
          <w:rFonts w:hint="eastAsia" w:ascii="Times New Roman" w:hAnsi="Times New Roman"/>
        </w:rPr>
        <w:t>10.1 主要研究结论</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_Toc221893017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700</w:t>
      </w:r>
      <w:r>
        <w:rPr>
          <w:rFonts w:hint="eastAsia" w:ascii="Times New Roman" w:hAnsi="Times New Roman"/>
        </w:rPr>
        <w:fldChar w:fldCharType="end"/>
      </w:r>
      <w:r>
        <w:rPr>
          <w:rFonts w:hint="eastAsia" w:ascii="Times New Roman" w:hAnsi="Times New Roman"/>
        </w:rPr>
        <w:fldChar w:fldCharType="end"/>
      </w:r>
    </w:p>
    <w:p>
      <w:pPr>
        <w:pStyle w:val="94"/>
        <w:ind w:firstLine="280"/>
        <w:rPr>
          <w:rFonts w:ascii="Times New Roman" w:hAnsi="Times New Roman" w:eastAsiaTheme="minorEastAsia" w:cstheme="minorBidi"/>
          <w:smallCaps w:val="0"/>
          <w:sz w:val="22"/>
          <w:szCs w:val="24"/>
          <w14:ligatures w14:val="standardContextual"/>
        </w:rPr>
      </w:pPr>
      <w:r>
        <w:fldChar w:fldCharType="begin"/>
      </w:r>
      <w:r>
        <w:instrText xml:space="preserve"> HYPERLINK \l "_Toc221893018" </w:instrText>
      </w:r>
      <w:r>
        <w:fldChar w:fldCharType="separate"/>
      </w:r>
      <w:r>
        <w:rPr>
          <w:rStyle w:val="45"/>
          <w:rFonts w:hint="eastAsia" w:ascii="Times New Roman" w:hAnsi="Times New Roman"/>
        </w:rPr>
        <w:t>10.2 建议</w:t>
      </w:r>
      <w:r>
        <w:rPr>
          <w:rFonts w:hint="eastAsia" w:ascii="Times New Roman" w:hAnsi="Times New Roman"/>
        </w:rPr>
        <w:tab/>
      </w:r>
      <w:r>
        <w:rPr>
          <w:rFonts w:hint="eastAsia" w:ascii="Times New Roman" w:hAnsi="Times New Roman"/>
        </w:rPr>
        <w:fldChar w:fldCharType="begin"/>
      </w:r>
      <w:r>
        <w:rPr>
          <w:rFonts w:hint="eastAsia" w:ascii="Times New Roman" w:hAnsi="Times New Roman"/>
        </w:rPr>
        <w:instrText xml:space="preserve"> </w:instrText>
      </w:r>
      <w:r>
        <w:rPr>
          <w:rFonts w:ascii="Times New Roman" w:hAnsi="Times New Roman"/>
        </w:rPr>
        <w:instrText xml:space="preserve">PAGEREF _Toc221893018 \h</w:instrText>
      </w:r>
      <w:r>
        <w:rPr>
          <w:rFonts w:hint="eastAsia" w:ascii="Times New Roman" w:hAnsi="Times New Roman"/>
        </w:rPr>
        <w:instrText xml:space="preserve"> </w:instrText>
      </w:r>
      <w:r>
        <w:rPr>
          <w:rFonts w:hint="eastAsia" w:ascii="Times New Roman" w:hAnsi="Times New Roman"/>
        </w:rPr>
        <w:fldChar w:fldCharType="separate"/>
      </w:r>
      <w:r>
        <w:rPr>
          <w:rFonts w:hint="eastAsia" w:ascii="Times New Roman" w:hAnsi="Times New Roman"/>
        </w:rPr>
        <w:t>701</w:t>
      </w:r>
      <w:r>
        <w:rPr>
          <w:rFonts w:hint="eastAsia" w:ascii="Times New Roman" w:hAnsi="Times New Roman"/>
        </w:rPr>
        <w:fldChar w:fldCharType="end"/>
      </w:r>
      <w:r>
        <w:rPr>
          <w:rFonts w:hint="eastAsia" w:ascii="Times New Roman" w:hAnsi="Times New Roman"/>
        </w:rPr>
        <w:fldChar w:fldCharType="end"/>
      </w:r>
    </w:p>
    <w:p>
      <w:pPr>
        <w:spacing w:line="240" w:lineRule="auto"/>
        <w:ind w:firstLine="480"/>
        <w:rPr>
          <w:rFonts w:ascii="Times New Roman" w:hAnsi="Times New Roman"/>
          <w:b/>
          <w:bCs/>
          <w:sz w:val="24"/>
          <w:szCs w:val="24"/>
        </w:rPr>
      </w:pPr>
      <w:r>
        <w:rPr>
          <w:rFonts w:ascii="Times New Roman" w:hAnsi="Times New Roman" w:eastAsia="宋体"/>
          <w:sz w:val="24"/>
          <w:szCs w:val="24"/>
        </w:rPr>
        <w:fldChar w:fldCharType="end"/>
      </w:r>
    </w:p>
    <w:p>
      <w:pPr>
        <w:pStyle w:val="286"/>
        <w:spacing w:line="240" w:lineRule="auto"/>
        <w:ind w:firstLine="482"/>
        <w:jc w:val="center"/>
        <w:rPr>
          <w:rFonts w:ascii="Times New Roman" w:hAnsi="Times New Roman" w:eastAsia="仿宋"/>
          <w:b/>
          <w:bCs/>
          <w:sz w:val="24"/>
        </w:rPr>
        <w:sectPr>
          <w:headerReference r:id="rId15" w:type="first"/>
          <w:footerReference r:id="rId18" w:type="first"/>
          <w:headerReference r:id="rId13" w:type="default"/>
          <w:footerReference r:id="rId16" w:type="default"/>
          <w:headerReference r:id="rId14" w:type="even"/>
          <w:footerReference r:id="rId17" w:type="even"/>
          <w:pgSz w:w="11906" w:h="16838"/>
          <w:pgMar w:top="1440" w:right="1800" w:bottom="1440" w:left="1800" w:header="851" w:footer="992" w:gutter="0"/>
          <w:pgNumType w:start="1"/>
          <w:cols w:space="720" w:num="1"/>
          <w:docGrid w:type="lines" w:linePitch="312" w:charSpace="0"/>
        </w:sectPr>
      </w:pPr>
      <w:bookmarkStart w:id="0" w:name="_Hlt513090424"/>
      <w:bookmarkEnd w:id="0"/>
      <w:bookmarkStart w:id="1" w:name="_Hlt183684228"/>
      <w:bookmarkEnd w:id="1"/>
      <w:bookmarkStart w:id="2" w:name="_Toc172058699"/>
    </w:p>
    <w:p>
      <w:pPr>
        <w:pStyle w:val="286"/>
        <w:spacing w:line="240" w:lineRule="auto"/>
        <w:ind w:firstLine="0" w:firstLineChars="0"/>
        <w:jc w:val="center"/>
        <w:rPr>
          <w:rFonts w:ascii="Times New Roman" w:hAnsi="Times New Roman" w:eastAsia="仿宋"/>
          <w:b/>
          <w:bCs/>
          <w:sz w:val="30"/>
          <w:szCs w:val="30"/>
        </w:rPr>
      </w:pPr>
      <w:r>
        <w:rPr>
          <w:rFonts w:ascii="Times New Roman" w:hAnsi="Times New Roman" w:eastAsia="仿宋"/>
          <w:b/>
          <w:bCs/>
          <w:sz w:val="30"/>
          <w:szCs w:val="30"/>
        </w:rPr>
        <w:t>图  目  录</w:t>
      </w:r>
    </w:p>
    <w:p>
      <w:pPr>
        <w:pStyle w:val="89"/>
        <w:tabs>
          <w:tab w:val="right" w:leader="dot" w:pos="8296"/>
        </w:tabs>
        <w:ind w:left="1042" w:hanging="482"/>
        <w:rPr>
          <w:rFonts w:eastAsiaTheme="minorEastAsia" w:cstheme="minorBidi"/>
          <w:sz w:val="22"/>
          <w14:ligatures w14:val="standardContextual"/>
        </w:rPr>
      </w:pPr>
      <w:r>
        <w:rPr>
          <w:rFonts w:eastAsia="仿宋"/>
          <w:b/>
          <w:bCs/>
          <w:sz w:val="24"/>
        </w:rPr>
        <w:fldChar w:fldCharType="begin"/>
      </w:r>
      <w:r>
        <w:rPr>
          <w:rFonts w:eastAsia="仿宋"/>
          <w:b/>
          <w:bCs/>
          <w:sz w:val="24"/>
        </w:rPr>
        <w:instrText xml:space="preserve"> TOC \c "图" </w:instrText>
      </w:r>
      <w:r>
        <w:rPr>
          <w:rFonts w:eastAsia="仿宋"/>
          <w:b/>
          <w:bCs/>
          <w:sz w:val="24"/>
        </w:rPr>
        <w:fldChar w:fldCharType="separate"/>
      </w:r>
      <w:r>
        <w:rPr>
          <w:rFonts w:hint="eastAsia"/>
        </w:rPr>
        <w:t>图1人工智能大模型赋能安防方式</w:t>
      </w:r>
      <w:r>
        <w:rPr>
          <w:rFonts w:hint="eastAsia"/>
        </w:rPr>
        <w:tab/>
      </w:r>
      <w:r>
        <w:rPr>
          <w:rFonts w:hint="eastAsia"/>
        </w:rPr>
        <w:fldChar w:fldCharType="begin"/>
      </w:r>
      <w:r>
        <w:rPr>
          <w:rFonts w:hint="eastAsia"/>
        </w:rPr>
        <w:instrText xml:space="preserve"> </w:instrText>
      </w:r>
      <w:r>
        <w:instrText xml:space="preserve">PAGEREF _Toc221893019 \h</w:instrText>
      </w:r>
      <w:r>
        <w:rPr>
          <w:rFonts w:hint="eastAsia"/>
        </w:rPr>
        <w:instrText xml:space="preserve"> </w:instrText>
      </w:r>
      <w:r>
        <w:rPr>
          <w:rFonts w:hint="eastAsia"/>
        </w:rPr>
        <w:fldChar w:fldCharType="separate"/>
      </w:r>
      <w:r>
        <w:t>47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图2 基地建设内容</w:t>
      </w:r>
      <w:r>
        <w:rPr>
          <w:rFonts w:hint="eastAsia"/>
        </w:rPr>
        <w:tab/>
      </w:r>
      <w:r>
        <w:rPr>
          <w:rFonts w:hint="eastAsia"/>
        </w:rPr>
        <w:fldChar w:fldCharType="begin"/>
      </w:r>
      <w:r>
        <w:rPr>
          <w:rFonts w:hint="eastAsia"/>
        </w:rPr>
        <w:instrText xml:space="preserve"> </w:instrText>
      </w:r>
      <w:r>
        <w:instrText xml:space="preserve">PAGEREF _Toc221893020 \h</w:instrText>
      </w:r>
      <w:r>
        <w:rPr>
          <w:rFonts w:hint="eastAsia"/>
        </w:rPr>
        <w:instrText xml:space="preserve"> </w:instrText>
      </w:r>
      <w:r>
        <w:rPr>
          <w:rFonts w:hint="eastAsia"/>
        </w:rPr>
        <w:fldChar w:fldCharType="separate"/>
      </w:r>
      <w:r>
        <w:t>69</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图3 基地运营组织架构</w:t>
      </w:r>
      <w:r>
        <w:rPr>
          <w:rFonts w:hint="eastAsia"/>
        </w:rPr>
        <w:tab/>
      </w:r>
      <w:r>
        <w:rPr>
          <w:rFonts w:hint="eastAsia"/>
        </w:rPr>
        <w:fldChar w:fldCharType="begin"/>
      </w:r>
      <w:r>
        <w:rPr>
          <w:rFonts w:hint="eastAsia"/>
        </w:rPr>
        <w:instrText xml:space="preserve"> </w:instrText>
      </w:r>
      <w:r>
        <w:instrText xml:space="preserve">PAGEREF _Toc221893021 \h</w:instrText>
      </w:r>
      <w:r>
        <w:rPr>
          <w:rFonts w:hint="eastAsia"/>
        </w:rPr>
        <w:instrText xml:space="preserve"> </w:instrText>
      </w:r>
      <w:r>
        <w:rPr>
          <w:rFonts w:hint="eastAsia"/>
        </w:rPr>
        <w:fldChar w:fldCharType="separate"/>
      </w:r>
      <w:r>
        <w:t>77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图4 公安部部级全国视频联网平台</w:t>
      </w:r>
      <w:r>
        <w:rPr>
          <w:rFonts w:hint="eastAsia"/>
        </w:rPr>
        <w:tab/>
      </w:r>
      <w:r>
        <w:rPr>
          <w:rFonts w:hint="eastAsia"/>
        </w:rPr>
        <w:fldChar w:fldCharType="begin"/>
      </w:r>
      <w:r>
        <w:rPr>
          <w:rFonts w:hint="eastAsia"/>
        </w:rPr>
        <w:instrText xml:space="preserve"> </w:instrText>
      </w:r>
      <w:r>
        <w:instrText xml:space="preserve">PAGEREF _Toc221893022 \h</w:instrText>
      </w:r>
      <w:r>
        <w:rPr>
          <w:rFonts w:hint="eastAsia"/>
        </w:rPr>
        <w:instrText xml:space="preserve"> </w:instrText>
      </w:r>
      <w:r>
        <w:rPr>
          <w:rFonts w:hint="eastAsia"/>
        </w:rPr>
        <w:fldChar w:fldCharType="separate"/>
      </w:r>
      <w:r>
        <w:t>95</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图5 公安部视频图像信息数据库</w:t>
      </w:r>
      <w:r>
        <w:rPr>
          <w:rFonts w:hint="eastAsia"/>
        </w:rPr>
        <w:tab/>
      </w:r>
      <w:r>
        <w:rPr>
          <w:rFonts w:hint="eastAsia"/>
        </w:rPr>
        <w:fldChar w:fldCharType="begin"/>
      </w:r>
      <w:r>
        <w:rPr>
          <w:rFonts w:hint="eastAsia"/>
        </w:rPr>
        <w:instrText xml:space="preserve"> </w:instrText>
      </w:r>
      <w:r>
        <w:instrText xml:space="preserve">PAGEREF _Toc221893023 \h</w:instrText>
      </w:r>
      <w:r>
        <w:rPr>
          <w:rFonts w:hint="eastAsia"/>
        </w:rPr>
        <w:instrText xml:space="preserve"> </w:instrText>
      </w:r>
      <w:r>
        <w:rPr>
          <w:rFonts w:hint="eastAsia"/>
        </w:rPr>
        <w:fldChar w:fldCharType="separate"/>
      </w:r>
      <w:r>
        <w:t>96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图6 部级全国联网视图库案例展示</w:t>
      </w:r>
      <w:r>
        <w:rPr>
          <w:rFonts w:hint="eastAsia"/>
        </w:rPr>
        <w:tab/>
      </w:r>
      <w:r>
        <w:rPr>
          <w:rFonts w:hint="eastAsia"/>
        </w:rPr>
        <w:fldChar w:fldCharType="begin"/>
      </w:r>
      <w:r>
        <w:rPr>
          <w:rFonts w:hint="eastAsia"/>
        </w:rPr>
        <w:instrText xml:space="preserve"> </w:instrText>
      </w:r>
      <w:r>
        <w:instrText xml:space="preserve">PAGEREF _Toc221893024 \h</w:instrText>
      </w:r>
      <w:r>
        <w:rPr>
          <w:rFonts w:hint="eastAsia"/>
        </w:rPr>
        <w:instrText xml:space="preserve"> </w:instrText>
      </w:r>
      <w:r>
        <w:rPr>
          <w:rFonts w:hint="eastAsia"/>
        </w:rPr>
        <w:fldChar w:fldCharType="separate"/>
      </w:r>
      <w:r>
        <w:t>97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图7 用户使用报告</w:t>
      </w:r>
      <w:r>
        <w:rPr>
          <w:rFonts w:hint="eastAsia"/>
        </w:rPr>
        <w:tab/>
      </w:r>
      <w:r>
        <w:rPr>
          <w:rFonts w:hint="eastAsia"/>
        </w:rPr>
        <w:fldChar w:fldCharType="begin"/>
      </w:r>
      <w:r>
        <w:rPr>
          <w:rFonts w:hint="eastAsia"/>
        </w:rPr>
        <w:instrText xml:space="preserve"> </w:instrText>
      </w:r>
      <w:r>
        <w:instrText xml:space="preserve">PAGEREF _Toc221893025 \h</w:instrText>
      </w:r>
      <w:r>
        <w:rPr>
          <w:rFonts w:hint="eastAsia"/>
        </w:rPr>
        <w:instrText xml:space="preserve"> </w:instrText>
      </w:r>
      <w:r>
        <w:rPr>
          <w:rFonts w:hint="eastAsia"/>
        </w:rPr>
        <w:fldChar w:fldCharType="separate"/>
      </w:r>
      <w:r>
        <w:t>97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图8 视频图像分析算法融合应用服务平台—以图搜图功能</w:t>
      </w:r>
      <w:r>
        <w:rPr>
          <w:rFonts w:hint="eastAsia"/>
        </w:rPr>
        <w:tab/>
      </w:r>
      <w:r>
        <w:rPr>
          <w:rFonts w:hint="eastAsia"/>
        </w:rPr>
        <w:fldChar w:fldCharType="begin"/>
      </w:r>
      <w:r>
        <w:rPr>
          <w:rFonts w:hint="eastAsia"/>
        </w:rPr>
        <w:instrText xml:space="preserve"> </w:instrText>
      </w:r>
      <w:r>
        <w:instrText xml:space="preserve">PAGEREF _Toc221893026 \h</w:instrText>
      </w:r>
      <w:r>
        <w:rPr>
          <w:rFonts w:hint="eastAsia"/>
        </w:rPr>
        <w:instrText xml:space="preserve"> </w:instrText>
      </w:r>
      <w:r>
        <w:rPr>
          <w:rFonts w:hint="eastAsia"/>
        </w:rPr>
        <w:fldChar w:fldCharType="separate"/>
      </w:r>
      <w:r>
        <w:t>100</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图9 FAT人脸识别应用关键指标基线-2019</w:t>
      </w:r>
      <w:r>
        <w:rPr>
          <w:rFonts w:hint="eastAsia"/>
        </w:rPr>
        <w:tab/>
      </w:r>
      <w:r>
        <w:rPr>
          <w:rFonts w:hint="eastAsia"/>
        </w:rPr>
        <w:fldChar w:fldCharType="begin"/>
      </w:r>
      <w:r>
        <w:rPr>
          <w:rFonts w:hint="eastAsia"/>
        </w:rPr>
        <w:instrText xml:space="preserve"> </w:instrText>
      </w:r>
      <w:r>
        <w:instrText xml:space="preserve">PAGEREF _Toc221893027 \h</w:instrText>
      </w:r>
      <w:r>
        <w:rPr>
          <w:rFonts w:hint="eastAsia"/>
        </w:rPr>
        <w:instrText xml:space="preserve"> </w:instrText>
      </w:r>
      <w:r>
        <w:rPr>
          <w:rFonts w:hint="eastAsia"/>
        </w:rPr>
        <w:fldChar w:fldCharType="separate"/>
      </w:r>
      <w:r>
        <w:t>102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图10 人脸识别自动测试平台</w:t>
      </w:r>
      <w:r>
        <w:rPr>
          <w:rFonts w:hint="eastAsia"/>
        </w:rPr>
        <w:tab/>
      </w:r>
      <w:r>
        <w:rPr>
          <w:rFonts w:hint="eastAsia"/>
        </w:rPr>
        <w:fldChar w:fldCharType="begin"/>
      </w:r>
      <w:r>
        <w:rPr>
          <w:rFonts w:hint="eastAsia"/>
        </w:rPr>
        <w:instrText xml:space="preserve"> </w:instrText>
      </w:r>
      <w:r>
        <w:instrText xml:space="preserve">PAGEREF _Toc221893028 \h</w:instrText>
      </w:r>
      <w:r>
        <w:rPr>
          <w:rFonts w:hint="eastAsia"/>
        </w:rPr>
        <w:instrText xml:space="preserve"> </w:instrText>
      </w:r>
      <w:r>
        <w:rPr>
          <w:rFonts w:hint="eastAsia"/>
        </w:rPr>
        <w:fldChar w:fldCharType="separate"/>
      </w:r>
      <w:r>
        <w:t>103</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图11 人脸识别自动测试平台应用成果</w:t>
      </w:r>
      <w:r>
        <w:rPr>
          <w:rFonts w:hint="eastAsia"/>
        </w:rPr>
        <w:tab/>
      </w:r>
      <w:r>
        <w:rPr>
          <w:rFonts w:hint="eastAsia"/>
        </w:rPr>
        <w:fldChar w:fldCharType="begin"/>
      </w:r>
      <w:r>
        <w:rPr>
          <w:rFonts w:hint="eastAsia"/>
        </w:rPr>
        <w:instrText xml:space="preserve"> </w:instrText>
      </w:r>
      <w:r>
        <w:instrText xml:space="preserve">PAGEREF _Toc221893029 \h</w:instrText>
      </w:r>
      <w:r>
        <w:rPr>
          <w:rFonts w:hint="eastAsia"/>
        </w:rPr>
        <w:instrText xml:space="preserve"> </w:instrText>
      </w:r>
      <w:r>
        <w:rPr>
          <w:rFonts w:hint="eastAsia"/>
        </w:rPr>
        <w:fldChar w:fldCharType="separate"/>
      </w:r>
      <w:r>
        <w:t>104</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图12 半自动多引擎数据精准标注工具集应用界面</w:t>
      </w:r>
      <w:r>
        <w:rPr>
          <w:rFonts w:hint="eastAsia"/>
        </w:rPr>
        <w:tab/>
      </w:r>
      <w:r>
        <w:rPr>
          <w:rFonts w:hint="eastAsia"/>
        </w:rPr>
        <w:fldChar w:fldCharType="begin"/>
      </w:r>
      <w:r>
        <w:rPr>
          <w:rFonts w:hint="eastAsia"/>
        </w:rPr>
        <w:instrText xml:space="preserve"> </w:instrText>
      </w:r>
      <w:r>
        <w:instrText xml:space="preserve">PAGEREF _Toc221893030 \h</w:instrText>
      </w:r>
      <w:r>
        <w:rPr>
          <w:rFonts w:hint="eastAsia"/>
        </w:rPr>
        <w:instrText xml:space="preserve"> </w:instrText>
      </w:r>
      <w:r>
        <w:rPr>
          <w:rFonts w:hint="eastAsia"/>
        </w:rPr>
        <w:fldChar w:fldCharType="separate"/>
      </w:r>
      <w:r>
        <w:t>105</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图13 亿级人脸测试数据集</w:t>
      </w:r>
      <w:r>
        <w:rPr>
          <w:rFonts w:hint="eastAsia"/>
        </w:rPr>
        <w:tab/>
      </w:r>
      <w:r>
        <w:rPr>
          <w:rFonts w:hint="eastAsia"/>
        </w:rPr>
        <w:fldChar w:fldCharType="begin"/>
      </w:r>
      <w:r>
        <w:rPr>
          <w:rFonts w:hint="eastAsia"/>
        </w:rPr>
        <w:instrText xml:space="preserve"> </w:instrText>
      </w:r>
      <w:r>
        <w:instrText xml:space="preserve">PAGEREF _Toc221893031 \h</w:instrText>
      </w:r>
      <w:r>
        <w:rPr>
          <w:rFonts w:hint="eastAsia"/>
        </w:rPr>
        <w:instrText xml:space="preserve"> </w:instrText>
      </w:r>
      <w:r>
        <w:rPr>
          <w:rFonts w:hint="eastAsia"/>
        </w:rPr>
        <w:fldChar w:fldCharType="separate"/>
      </w:r>
      <w:r>
        <w:t>106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图14 车辆属性测试数据集</w:t>
      </w:r>
      <w:r>
        <w:rPr>
          <w:rFonts w:hint="eastAsia"/>
        </w:rPr>
        <w:tab/>
      </w:r>
      <w:r>
        <w:rPr>
          <w:rFonts w:hint="eastAsia"/>
        </w:rPr>
        <w:fldChar w:fldCharType="begin"/>
      </w:r>
      <w:r>
        <w:rPr>
          <w:rFonts w:hint="eastAsia"/>
        </w:rPr>
        <w:instrText xml:space="preserve"> </w:instrText>
      </w:r>
      <w:r>
        <w:instrText xml:space="preserve">PAGEREF _Toc221893032 \h</w:instrText>
      </w:r>
      <w:r>
        <w:rPr>
          <w:rFonts w:hint="eastAsia"/>
        </w:rPr>
        <w:instrText xml:space="preserve"> </w:instrText>
      </w:r>
      <w:r>
        <w:rPr>
          <w:rFonts w:hint="eastAsia"/>
        </w:rPr>
        <w:fldChar w:fldCharType="separate"/>
      </w:r>
      <w:r>
        <w:t>106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图15 人脸识别终端全国应用情况</w:t>
      </w:r>
      <w:r>
        <w:rPr>
          <w:rFonts w:hint="eastAsia"/>
        </w:rPr>
        <w:tab/>
      </w:r>
      <w:r>
        <w:rPr>
          <w:rFonts w:hint="eastAsia"/>
        </w:rPr>
        <w:fldChar w:fldCharType="begin"/>
      </w:r>
      <w:r>
        <w:rPr>
          <w:rFonts w:hint="eastAsia"/>
        </w:rPr>
        <w:instrText xml:space="preserve"> </w:instrText>
      </w:r>
      <w:r>
        <w:instrText xml:space="preserve">PAGEREF _Toc221893033 \h</w:instrText>
      </w:r>
      <w:r>
        <w:rPr>
          <w:rFonts w:hint="eastAsia"/>
        </w:rPr>
        <w:instrText xml:space="preserve"> </w:instrText>
      </w:r>
      <w:r>
        <w:rPr>
          <w:rFonts w:hint="eastAsia"/>
        </w:rPr>
        <w:fldChar w:fldCharType="separate"/>
      </w:r>
      <w:r>
        <w:t>108</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图16 热成像AI测温仪</w:t>
      </w:r>
      <w:r>
        <w:rPr>
          <w:rFonts w:hint="eastAsia"/>
        </w:rPr>
        <w:tab/>
      </w:r>
      <w:r>
        <w:rPr>
          <w:rFonts w:hint="eastAsia"/>
        </w:rPr>
        <w:fldChar w:fldCharType="begin"/>
      </w:r>
      <w:r>
        <w:rPr>
          <w:rFonts w:hint="eastAsia"/>
        </w:rPr>
        <w:instrText xml:space="preserve"> </w:instrText>
      </w:r>
      <w:r>
        <w:instrText xml:space="preserve">PAGEREF _Toc221893034 \h</w:instrText>
      </w:r>
      <w:r>
        <w:rPr>
          <w:rFonts w:hint="eastAsia"/>
        </w:rPr>
        <w:instrText xml:space="preserve"> </w:instrText>
      </w:r>
      <w:r>
        <w:rPr>
          <w:rFonts w:hint="eastAsia"/>
        </w:rPr>
        <w:fldChar w:fldCharType="separate"/>
      </w:r>
      <w:r>
        <w:t>110</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图17 亿级人脸测试数据集</w:t>
      </w:r>
      <w:r>
        <w:rPr>
          <w:rFonts w:hint="eastAsia"/>
        </w:rPr>
        <w:tab/>
      </w:r>
      <w:r>
        <w:rPr>
          <w:rFonts w:hint="eastAsia"/>
        </w:rPr>
        <w:fldChar w:fldCharType="begin"/>
      </w:r>
      <w:r>
        <w:rPr>
          <w:rFonts w:hint="eastAsia"/>
        </w:rPr>
        <w:instrText xml:space="preserve"> </w:instrText>
      </w:r>
      <w:r>
        <w:instrText xml:space="preserve">PAGEREF _Toc221893035 \h</w:instrText>
      </w:r>
      <w:r>
        <w:rPr>
          <w:rFonts w:hint="eastAsia"/>
        </w:rPr>
        <w:instrText xml:space="preserve"> </w:instrText>
      </w:r>
      <w:r>
        <w:rPr>
          <w:rFonts w:hint="eastAsia"/>
        </w:rPr>
        <w:fldChar w:fldCharType="separate"/>
      </w:r>
      <w:r>
        <w:t>112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图18 总体框架</w:t>
      </w:r>
      <w:r>
        <w:rPr>
          <w:rFonts w:hint="eastAsia"/>
        </w:rPr>
        <w:tab/>
      </w:r>
      <w:r>
        <w:rPr>
          <w:rFonts w:hint="eastAsia"/>
        </w:rPr>
        <w:fldChar w:fldCharType="begin"/>
      </w:r>
      <w:r>
        <w:rPr>
          <w:rFonts w:hint="eastAsia"/>
        </w:rPr>
        <w:instrText xml:space="preserve"> </w:instrText>
      </w:r>
      <w:r>
        <w:instrText xml:space="preserve">PAGEREF _Toc221893036 \h</w:instrText>
      </w:r>
      <w:r>
        <w:rPr>
          <w:rFonts w:hint="eastAsia"/>
        </w:rPr>
        <w:instrText xml:space="preserve"> </w:instrText>
      </w:r>
      <w:r>
        <w:rPr>
          <w:rFonts w:hint="eastAsia"/>
        </w:rPr>
        <w:fldChar w:fldCharType="separate"/>
      </w:r>
      <w:r>
        <w:t>123</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图19 技术架构</w:t>
      </w:r>
      <w:r>
        <w:rPr>
          <w:rFonts w:hint="eastAsia"/>
        </w:rPr>
        <w:tab/>
      </w:r>
      <w:r>
        <w:rPr>
          <w:rFonts w:hint="eastAsia"/>
        </w:rPr>
        <w:fldChar w:fldCharType="begin"/>
      </w:r>
      <w:r>
        <w:rPr>
          <w:rFonts w:hint="eastAsia"/>
        </w:rPr>
        <w:instrText xml:space="preserve"> </w:instrText>
      </w:r>
      <w:r>
        <w:instrText xml:space="preserve">PAGEREF _Toc221893037 \h</w:instrText>
      </w:r>
      <w:r>
        <w:rPr>
          <w:rFonts w:hint="eastAsia"/>
        </w:rPr>
        <w:instrText xml:space="preserve"> </w:instrText>
      </w:r>
      <w:r>
        <w:rPr>
          <w:rFonts w:hint="eastAsia"/>
        </w:rPr>
        <w:fldChar w:fldCharType="separate"/>
      </w:r>
      <w:r>
        <w:t>124</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图20 部署架构</w:t>
      </w:r>
      <w:r>
        <w:rPr>
          <w:rFonts w:hint="eastAsia"/>
        </w:rPr>
        <w:tab/>
      </w:r>
      <w:r>
        <w:rPr>
          <w:rFonts w:hint="eastAsia"/>
        </w:rPr>
        <w:fldChar w:fldCharType="begin"/>
      </w:r>
      <w:r>
        <w:rPr>
          <w:rFonts w:hint="eastAsia"/>
        </w:rPr>
        <w:instrText xml:space="preserve"> </w:instrText>
      </w:r>
      <w:r>
        <w:instrText xml:space="preserve">PAGEREF _Toc221893038 \h</w:instrText>
      </w:r>
      <w:r>
        <w:rPr>
          <w:rFonts w:hint="eastAsia"/>
        </w:rPr>
        <w:instrText xml:space="preserve"> </w:instrText>
      </w:r>
      <w:r>
        <w:rPr>
          <w:rFonts w:hint="eastAsia"/>
        </w:rPr>
        <w:fldChar w:fldCharType="separate"/>
      </w:r>
      <w:r>
        <w:t>125</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图21 算力底座部署架构</w:t>
      </w:r>
      <w:r>
        <w:rPr>
          <w:rFonts w:hint="eastAsia"/>
        </w:rPr>
        <w:tab/>
      </w:r>
      <w:r>
        <w:rPr>
          <w:rFonts w:hint="eastAsia"/>
        </w:rPr>
        <w:fldChar w:fldCharType="begin"/>
      </w:r>
      <w:r>
        <w:rPr>
          <w:rFonts w:hint="eastAsia"/>
        </w:rPr>
        <w:instrText xml:space="preserve"> </w:instrText>
      </w:r>
      <w:r>
        <w:instrText xml:space="preserve">PAGEREF _Toc221893039 \h</w:instrText>
      </w:r>
      <w:r>
        <w:rPr>
          <w:rFonts w:hint="eastAsia"/>
        </w:rPr>
        <w:instrText xml:space="preserve"> </w:instrText>
      </w:r>
      <w:r>
        <w:rPr>
          <w:rFonts w:hint="eastAsia"/>
        </w:rPr>
        <w:fldChar w:fldCharType="separate"/>
      </w:r>
      <w:r>
        <w:t>140</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图22 AI计算系统总体逻辑架构</w:t>
      </w:r>
      <w:r>
        <w:rPr>
          <w:rFonts w:hint="eastAsia"/>
        </w:rPr>
        <w:tab/>
      </w:r>
      <w:r>
        <w:rPr>
          <w:rFonts w:hint="eastAsia"/>
        </w:rPr>
        <w:fldChar w:fldCharType="begin"/>
      </w:r>
      <w:r>
        <w:rPr>
          <w:rFonts w:hint="eastAsia"/>
        </w:rPr>
        <w:instrText xml:space="preserve"> </w:instrText>
      </w:r>
      <w:r>
        <w:instrText xml:space="preserve">PAGEREF _Toc221893040 \h</w:instrText>
      </w:r>
      <w:r>
        <w:rPr>
          <w:rFonts w:hint="eastAsia"/>
        </w:rPr>
        <w:instrText xml:space="preserve"> </w:instrText>
      </w:r>
      <w:r>
        <w:rPr>
          <w:rFonts w:hint="eastAsia"/>
        </w:rPr>
        <w:fldChar w:fldCharType="separate"/>
      </w:r>
      <w:r>
        <w:t>142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图23 训练推理一体集群物理架构</w:t>
      </w:r>
      <w:r>
        <w:rPr>
          <w:rFonts w:hint="eastAsia"/>
        </w:rPr>
        <w:tab/>
      </w:r>
      <w:r>
        <w:rPr>
          <w:rFonts w:hint="eastAsia"/>
        </w:rPr>
        <w:fldChar w:fldCharType="begin"/>
      </w:r>
      <w:r>
        <w:rPr>
          <w:rFonts w:hint="eastAsia"/>
        </w:rPr>
        <w:instrText xml:space="preserve"> </w:instrText>
      </w:r>
      <w:r>
        <w:instrText xml:space="preserve">PAGEREF _Toc221893041 \h</w:instrText>
      </w:r>
      <w:r>
        <w:rPr>
          <w:rFonts w:hint="eastAsia"/>
        </w:rPr>
        <w:instrText xml:space="preserve"> </w:instrText>
      </w:r>
      <w:r>
        <w:rPr>
          <w:rFonts w:hint="eastAsia"/>
        </w:rPr>
        <w:fldChar w:fldCharType="separate"/>
      </w:r>
      <w:r>
        <w:t>144</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图24公安网业务区推理服务器物理架构</w:t>
      </w:r>
      <w:r>
        <w:rPr>
          <w:rFonts w:hint="eastAsia"/>
        </w:rPr>
        <w:tab/>
      </w:r>
      <w:r>
        <w:rPr>
          <w:rFonts w:hint="eastAsia"/>
        </w:rPr>
        <w:fldChar w:fldCharType="begin"/>
      </w:r>
      <w:r>
        <w:rPr>
          <w:rFonts w:hint="eastAsia"/>
        </w:rPr>
        <w:instrText xml:space="preserve"> </w:instrText>
      </w:r>
      <w:r>
        <w:instrText xml:space="preserve">PAGEREF _Toc221893042 \h</w:instrText>
      </w:r>
      <w:r>
        <w:rPr>
          <w:rFonts w:hint="eastAsia"/>
        </w:rPr>
        <w:instrText xml:space="preserve"> </w:instrText>
      </w:r>
      <w:r>
        <w:rPr>
          <w:rFonts w:hint="eastAsia"/>
        </w:rPr>
        <w:fldChar w:fldCharType="separate"/>
      </w:r>
      <w:r>
        <w:t>145</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图25 训推业务数据流图</w:t>
      </w:r>
      <w:r>
        <w:rPr>
          <w:rFonts w:hint="eastAsia"/>
        </w:rPr>
        <w:tab/>
      </w:r>
      <w:r>
        <w:rPr>
          <w:rFonts w:hint="eastAsia"/>
        </w:rPr>
        <w:fldChar w:fldCharType="begin"/>
      </w:r>
      <w:r>
        <w:rPr>
          <w:rFonts w:hint="eastAsia"/>
        </w:rPr>
        <w:instrText xml:space="preserve"> </w:instrText>
      </w:r>
      <w:r>
        <w:instrText xml:space="preserve">PAGEREF _Toc221893043 \h</w:instrText>
      </w:r>
      <w:r>
        <w:rPr>
          <w:rFonts w:hint="eastAsia"/>
        </w:rPr>
        <w:instrText xml:space="preserve"> </w:instrText>
      </w:r>
      <w:r>
        <w:rPr>
          <w:rFonts w:hint="eastAsia"/>
        </w:rPr>
        <w:fldChar w:fldCharType="separate"/>
      </w:r>
      <w:r>
        <w:t>151</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图26 国产AI处理器芯片设计</w:t>
      </w:r>
      <w:r>
        <w:rPr>
          <w:rFonts w:hint="eastAsia"/>
        </w:rPr>
        <w:tab/>
      </w:r>
      <w:r>
        <w:rPr>
          <w:rFonts w:hint="eastAsia"/>
        </w:rPr>
        <w:fldChar w:fldCharType="begin"/>
      </w:r>
      <w:r>
        <w:rPr>
          <w:rFonts w:hint="eastAsia"/>
        </w:rPr>
        <w:instrText xml:space="preserve"> </w:instrText>
      </w:r>
      <w:r>
        <w:instrText xml:space="preserve">PAGEREF _Toc221893044 \h</w:instrText>
      </w:r>
      <w:r>
        <w:rPr>
          <w:rFonts w:hint="eastAsia"/>
        </w:rPr>
        <w:instrText xml:space="preserve"> </w:instrText>
      </w:r>
      <w:r>
        <w:rPr>
          <w:rFonts w:hint="eastAsia"/>
        </w:rPr>
        <w:fldChar w:fldCharType="separate"/>
      </w:r>
      <w:r>
        <w:t>152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图27 AI Core架构图</w:t>
      </w:r>
      <w:r>
        <w:rPr>
          <w:rFonts w:hint="eastAsia"/>
        </w:rPr>
        <w:tab/>
      </w:r>
      <w:r>
        <w:rPr>
          <w:rFonts w:hint="eastAsia"/>
        </w:rPr>
        <w:fldChar w:fldCharType="begin"/>
      </w:r>
      <w:r>
        <w:rPr>
          <w:rFonts w:hint="eastAsia"/>
        </w:rPr>
        <w:instrText xml:space="preserve"> </w:instrText>
      </w:r>
      <w:r>
        <w:instrText xml:space="preserve">PAGEREF _Toc221893045 \h</w:instrText>
      </w:r>
      <w:r>
        <w:rPr>
          <w:rFonts w:hint="eastAsia"/>
        </w:rPr>
        <w:instrText xml:space="preserve"> </w:instrText>
      </w:r>
      <w:r>
        <w:rPr>
          <w:rFonts w:hint="eastAsia"/>
        </w:rPr>
        <w:fldChar w:fldCharType="separate"/>
      </w:r>
      <w:r>
        <w:t>153</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图28 断点续训流程</w:t>
      </w:r>
      <w:r>
        <w:rPr>
          <w:rFonts w:hint="eastAsia"/>
        </w:rPr>
        <w:tab/>
      </w:r>
      <w:r>
        <w:rPr>
          <w:rFonts w:hint="eastAsia"/>
        </w:rPr>
        <w:fldChar w:fldCharType="begin"/>
      </w:r>
      <w:r>
        <w:rPr>
          <w:rFonts w:hint="eastAsia"/>
        </w:rPr>
        <w:instrText xml:space="preserve"> </w:instrText>
      </w:r>
      <w:r>
        <w:instrText xml:space="preserve">PAGEREF _Toc221893046 \h</w:instrText>
      </w:r>
      <w:r>
        <w:rPr>
          <w:rFonts w:hint="eastAsia"/>
        </w:rPr>
        <w:instrText xml:space="preserve"> </w:instrText>
      </w:r>
      <w:r>
        <w:rPr>
          <w:rFonts w:hint="eastAsia"/>
        </w:rPr>
        <w:fldChar w:fldCharType="separate"/>
      </w:r>
      <w:r>
        <w:t>156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图29 通用计算规划</w:t>
      </w:r>
      <w:r>
        <w:rPr>
          <w:rFonts w:hint="eastAsia"/>
        </w:rPr>
        <w:tab/>
      </w:r>
      <w:r>
        <w:rPr>
          <w:rFonts w:hint="eastAsia"/>
        </w:rPr>
        <w:fldChar w:fldCharType="begin"/>
      </w:r>
      <w:r>
        <w:rPr>
          <w:rFonts w:hint="eastAsia"/>
        </w:rPr>
        <w:instrText xml:space="preserve"> </w:instrText>
      </w:r>
      <w:r>
        <w:instrText xml:space="preserve">PAGEREF _Toc221893047 \h</w:instrText>
      </w:r>
      <w:r>
        <w:rPr>
          <w:rFonts w:hint="eastAsia"/>
        </w:rPr>
        <w:instrText xml:space="preserve"> </w:instrText>
      </w:r>
      <w:r>
        <w:rPr>
          <w:rFonts w:hint="eastAsia"/>
        </w:rPr>
        <w:fldChar w:fldCharType="separate"/>
      </w:r>
      <w:r>
        <w:t>159</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图30 计算建设</w:t>
      </w:r>
      <w:r>
        <w:rPr>
          <w:rFonts w:hint="eastAsia"/>
        </w:rPr>
        <w:tab/>
      </w:r>
      <w:r>
        <w:rPr>
          <w:rFonts w:hint="eastAsia"/>
        </w:rPr>
        <w:fldChar w:fldCharType="begin"/>
      </w:r>
      <w:r>
        <w:rPr>
          <w:rFonts w:hint="eastAsia"/>
        </w:rPr>
        <w:instrText xml:space="preserve"> </w:instrText>
      </w:r>
      <w:r>
        <w:instrText xml:space="preserve">PAGEREF _Toc221893048 \h</w:instrText>
      </w:r>
      <w:r>
        <w:rPr>
          <w:rFonts w:hint="eastAsia"/>
        </w:rPr>
        <w:instrText xml:space="preserve"> </w:instrText>
      </w:r>
      <w:r>
        <w:rPr>
          <w:rFonts w:hint="eastAsia"/>
        </w:rPr>
        <w:fldChar w:fldCharType="separate"/>
      </w:r>
      <w:r>
        <w:t>160</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图31 公安网计算物理架构</w:t>
      </w:r>
      <w:r>
        <w:rPr>
          <w:rFonts w:hint="eastAsia"/>
        </w:rPr>
        <w:tab/>
      </w:r>
      <w:r>
        <w:rPr>
          <w:rFonts w:hint="eastAsia"/>
        </w:rPr>
        <w:fldChar w:fldCharType="begin"/>
      </w:r>
      <w:r>
        <w:rPr>
          <w:rFonts w:hint="eastAsia"/>
        </w:rPr>
        <w:instrText xml:space="preserve"> </w:instrText>
      </w:r>
      <w:r>
        <w:instrText xml:space="preserve">PAGEREF _Toc221893049 \h</w:instrText>
      </w:r>
      <w:r>
        <w:rPr>
          <w:rFonts w:hint="eastAsia"/>
        </w:rPr>
        <w:instrText xml:space="preserve"> </w:instrText>
      </w:r>
      <w:r>
        <w:rPr>
          <w:rFonts w:hint="eastAsia"/>
        </w:rPr>
        <w:fldChar w:fldCharType="separate"/>
      </w:r>
      <w:r>
        <w:t>161</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图32 行业专网计算物理架构</w:t>
      </w:r>
      <w:r>
        <w:rPr>
          <w:rFonts w:hint="eastAsia"/>
        </w:rPr>
        <w:tab/>
      </w:r>
      <w:r>
        <w:rPr>
          <w:rFonts w:hint="eastAsia"/>
        </w:rPr>
        <w:fldChar w:fldCharType="begin"/>
      </w:r>
      <w:r>
        <w:rPr>
          <w:rFonts w:hint="eastAsia"/>
        </w:rPr>
        <w:instrText xml:space="preserve"> </w:instrText>
      </w:r>
      <w:r>
        <w:instrText xml:space="preserve">PAGEREF _Toc221893050 \h</w:instrText>
      </w:r>
      <w:r>
        <w:rPr>
          <w:rFonts w:hint="eastAsia"/>
        </w:rPr>
        <w:instrText xml:space="preserve"> </w:instrText>
      </w:r>
      <w:r>
        <w:rPr>
          <w:rFonts w:hint="eastAsia"/>
        </w:rPr>
        <w:fldChar w:fldCharType="separate"/>
      </w:r>
      <w:r>
        <w:t>161</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图33 存储系统总体设计</w:t>
      </w:r>
      <w:r>
        <w:rPr>
          <w:rFonts w:hint="eastAsia"/>
        </w:rPr>
        <w:tab/>
      </w:r>
      <w:r>
        <w:rPr>
          <w:rFonts w:hint="eastAsia"/>
        </w:rPr>
        <w:fldChar w:fldCharType="begin"/>
      </w:r>
      <w:r>
        <w:rPr>
          <w:rFonts w:hint="eastAsia"/>
        </w:rPr>
        <w:instrText xml:space="preserve"> </w:instrText>
      </w:r>
      <w:r>
        <w:instrText xml:space="preserve">PAGEREF _Toc221893051 \h</w:instrText>
      </w:r>
      <w:r>
        <w:rPr>
          <w:rFonts w:hint="eastAsia"/>
        </w:rPr>
        <w:instrText xml:space="preserve"> </w:instrText>
      </w:r>
      <w:r>
        <w:rPr>
          <w:rFonts w:hint="eastAsia"/>
        </w:rPr>
        <w:fldChar w:fldCharType="separate"/>
      </w:r>
      <w:r>
        <w:t>170</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图34 存储逻辑架构</w:t>
      </w:r>
      <w:r>
        <w:rPr>
          <w:rFonts w:hint="eastAsia"/>
        </w:rPr>
        <w:tab/>
      </w:r>
      <w:r>
        <w:rPr>
          <w:rFonts w:hint="eastAsia"/>
        </w:rPr>
        <w:fldChar w:fldCharType="begin"/>
      </w:r>
      <w:r>
        <w:rPr>
          <w:rFonts w:hint="eastAsia"/>
        </w:rPr>
        <w:instrText xml:space="preserve"> </w:instrText>
      </w:r>
      <w:r>
        <w:instrText xml:space="preserve">PAGEREF _Toc221893052 \h</w:instrText>
      </w:r>
      <w:r>
        <w:rPr>
          <w:rFonts w:hint="eastAsia"/>
        </w:rPr>
        <w:instrText xml:space="preserve"> </w:instrText>
      </w:r>
      <w:r>
        <w:rPr>
          <w:rFonts w:hint="eastAsia"/>
        </w:rPr>
        <w:fldChar w:fldCharType="separate"/>
      </w:r>
      <w:r>
        <w:t>172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图35 存储部署架构</w:t>
      </w:r>
      <w:r>
        <w:rPr>
          <w:rFonts w:hint="eastAsia"/>
        </w:rPr>
        <w:tab/>
      </w:r>
      <w:r>
        <w:rPr>
          <w:rFonts w:hint="eastAsia"/>
        </w:rPr>
        <w:fldChar w:fldCharType="begin"/>
      </w:r>
      <w:r>
        <w:rPr>
          <w:rFonts w:hint="eastAsia"/>
        </w:rPr>
        <w:instrText xml:space="preserve"> </w:instrText>
      </w:r>
      <w:r>
        <w:instrText xml:space="preserve">PAGEREF _Toc221893053 \h</w:instrText>
      </w:r>
      <w:r>
        <w:rPr>
          <w:rFonts w:hint="eastAsia"/>
        </w:rPr>
        <w:instrText xml:space="preserve"> </w:instrText>
      </w:r>
      <w:r>
        <w:rPr>
          <w:rFonts w:hint="eastAsia"/>
        </w:rPr>
        <w:fldChar w:fldCharType="separate"/>
      </w:r>
      <w:r>
        <w:t>173</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图36 高性能文件存储池</w:t>
      </w:r>
      <w:r>
        <w:rPr>
          <w:rFonts w:hint="eastAsia"/>
        </w:rPr>
        <w:tab/>
      </w:r>
      <w:r>
        <w:rPr>
          <w:rFonts w:hint="eastAsia"/>
        </w:rPr>
        <w:fldChar w:fldCharType="begin"/>
      </w:r>
      <w:r>
        <w:rPr>
          <w:rFonts w:hint="eastAsia"/>
        </w:rPr>
        <w:instrText xml:space="preserve"> </w:instrText>
      </w:r>
      <w:r>
        <w:instrText xml:space="preserve">PAGEREF _Toc221893054 \h</w:instrText>
      </w:r>
      <w:r>
        <w:rPr>
          <w:rFonts w:hint="eastAsia"/>
        </w:rPr>
        <w:instrText xml:space="preserve"> </w:instrText>
      </w:r>
      <w:r>
        <w:rPr>
          <w:rFonts w:hint="eastAsia"/>
        </w:rPr>
        <w:fldChar w:fldCharType="separate"/>
      </w:r>
      <w:r>
        <w:t>175</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图37 全对称分布式架构图</w:t>
      </w:r>
      <w:r>
        <w:rPr>
          <w:rFonts w:hint="eastAsia"/>
        </w:rPr>
        <w:tab/>
      </w:r>
      <w:r>
        <w:rPr>
          <w:rFonts w:hint="eastAsia"/>
        </w:rPr>
        <w:fldChar w:fldCharType="begin"/>
      </w:r>
      <w:r>
        <w:rPr>
          <w:rFonts w:hint="eastAsia"/>
        </w:rPr>
        <w:instrText xml:space="preserve"> </w:instrText>
      </w:r>
      <w:r>
        <w:instrText xml:space="preserve">PAGEREF _Toc221893055 \h</w:instrText>
      </w:r>
      <w:r>
        <w:rPr>
          <w:rFonts w:hint="eastAsia"/>
        </w:rPr>
        <w:instrText xml:space="preserve"> </w:instrText>
      </w:r>
      <w:r>
        <w:rPr>
          <w:rFonts w:hint="eastAsia"/>
        </w:rPr>
        <w:fldChar w:fldCharType="separate"/>
      </w:r>
      <w:r>
        <w:t>183</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图38 统一元数据视图</w:t>
      </w:r>
      <w:r>
        <w:rPr>
          <w:rFonts w:hint="eastAsia"/>
        </w:rPr>
        <w:tab/>
      </w:r>
      <w:r>
        <w:rPr>
          <w:rFonts w:hint="eastAsia"/>
        </w:rPr>
        <w:fldChar w:fldCharType="begin"/>
      </w:r>
      <w:r>
        <w:rPr>
          <w:rFonts w:hint="eastAsia"/>
        </w:rPr>
        <w:instrText xml:space="preserve"> </w:instrText>
      </w:r>
      <w:r>
        <w:instrText xml:space="preserve">PAGEREF _Toc221893056 \h</w:instrText>
      </w:r>
      <w:r>
        <w:rPr>
          <w:rFonts w:hint="eastAsia"/>
        </w:rPr>
        <w:instrText xml:space="preserve"> </w:instrText>
      </w:r>
      <w:r>
        <w:rPr>
          <w:rFonts w:hint="eastAsia"/>
        </w:rPr>
        <w:fldChar w:fldCharType="separate"/>
      </w:r>
      <w:r>
        <w:t>185</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图39 大小I/O自适应数据流，应对混合负载访问高性能</w:t>
      </w:r>
      <w:r>
        <w:rPr>
          <w:rFonts w:hint="eastAsia"/>
        </w:rPr>
        <w:tab/>
      </w:r>
      <w:r>
        <w:rPr>
          <w:rFonts w:hint="eastAsia"/>
        </w:rPr>
        <w:fldChar w:fldCharType="begin"/>
      </w:r>
      <w:r>
        <w:rPr>
          <w:rFonts w:hint="eastAsia"/>
        </w:rPr>
        <w:instrText xml:space="preserve"> </w:instrText>
      </w:r>
      <w:r>
        <w:instrText xml:space="preserve">PAGEREF _Toc221893057 \h</w:instrText>
      </w:r>
      <w:r>
        <w:rPr>
          <w:rFonts w:hint="eastAsia"/>
        </w:rPr>
        <w:instrText xml:space="preserve"> </w:instrText>
      </w:r>
      <w:r>
        <w:rPr>
          <w:rFonts w:hint="eastAsia"/>
        </w:rPr>
        <w:fldChar w:fldCharType="separate"/>
      </w:r>
      <w:r>
        <w:t>186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图40 冷热数据自动分级</w:t>
      </w:r>
      <w:r>
        <w:rPr>
          <w:rFonts w:hint="eastAsia"/>
        </w:rPr>
        <w:tab/>
      </w:r>
      <w:r>
        <w:rPr>
          <w:rFonts w:hint="eastAsia"/>
        </w:rPr>
        <w:fldChar w:fldCharType="begin"/>
      </w:r>
      <w:r>
        <w:rPr>
          <w:rFonts w:hint="eastAsia"/>
        </w:rPr>
        <w:instrText xml:space="preserve"> </w:instrText>
      </w:r>
      <w:r>
        <w:instrText xml:space="preserve">PAGEREF _Toc221893058 \h</w:instrText>
      </w:r>
      <w:r>
        <w:rPr>
          <w:rFonts w:hint="eastAsia"/>
        </w:rPr>
        <w:instrText xml:space="preserve"> </w:instrText>
      </w:r>
      <w:r>
        <w:rPr>
          <w:rFonts w:hint="eastAsia"/>
        </w:rPr>
        <w:fldChar w:fldCharType="separate"/>
      </w:r>
      <w:r>
        <w:t>187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图41 弹性EC设计</w:t>
      </w:r>
      <w:r>
        <w:rPr>
          <w:rFonts w:hint="eastAsia"/>
        </w:rPr>
        <w:tab/>
      </w:r>
      <w:r>
        <w:rPr>
          <w:rFonts w:hint="eastAsia"/>
        </w:rPr>
        <w:fldChar w:fldCharType="begin"/>
      </w:r>
      <w:r>
        <w:rPr>
          <w:rFonts w:hint="eastAsia"/>
        </w:rPr>
        <w:instrText xml:space="preserve"> </w:instrText>
      </w:r>
      <w:r>
        <w:instrText xml:space="preserve">PAGEREF _Toc221893059 \h</w:instrText>
      </w:r>
      <w:r>
        <w:rPr>
          <w:rFonts w:hint="eastAsia"/>
        </w:rPr>
        <w:instrText xml:space="preserve"> </w:instrText>
      </w:r>
      <w:r>
        <w:rPr>
          <w:rFonts w:hint="eastAsia"/>
        </w:rPr>
        <w:fldChar w:fldCharType="separate"/>
      </w:r>
      <w:r>
        <w:t>189</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图42 网络总体设计</w:t>
      </w:r>
      <w:r>
        <w:rPr>
          <w:rFonts w:hint="eastAsia"/>
        </w:rPr>
        <w:tab/>
      </w:r>
      <w:r>
        <w:rPr>
          <w:rFonts w:hint="eastAsia"/>
        </w:rPr>
        <w:fldChar w:fldCharType="begin"/>
      </w:r>
      <w:r>
        <w:rPr>
          <w:rFonts w:hint="eastAsia"/>
        </w:rPr>
        <w:instrText xml:space="preserve"> </w:instrText>
      </w:r>
      <w:r>
        <w:instrText xml:space="preserve">PAGEREF _Toc221893060 \h</w:instrText>
      </w:r>
      <w:r>
        <w:rPr>
          <w:rFonts w:hint="eastAsia"/>
        </w:rPr>
        <w:instrText xml:space="preserve"> </w:instrText>
      </w:r>
      <w:r>
        <w:rPr>
          <w:rFonts w:hint="eastAsia"/>
        </w:rPr>
        <w:fldChar w:fldCharType="separate"/>
      </w:r>
      <w:r>
        <w:t>192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图43 业务资源区网络设计</w:t>
      </w:r>
      <w:r>
        <w:rPr>
          <w:rFonts w:hint="eastAsia"/>
        </w:rPr>
        <w:tab/>
      </w:r>
      <w:r>
        <w:rPr>
          <w:rFonts w:hint="eastAsia"/>
        </w:rPr>
        <w:fldChar w:fldCharType="begin"/>
      </w:r>
      <w:r>
        <w:rPr>
          <w:rFonts w:hint="eastAsia"/>
        </w:rPr>
        <w:instrText xml:space="preserve"> </w:instrText>
      </w:r>
      <w:r>
        <w:instrText xml:space="preserve">PAGEREF _Toc221893061 \h</w:instrText>
      </w:r>
      <w:r>
        <w:rPr>
          <w:rFonts w:hint="eastAsia"/>
        </w:rPr>
        <w:instrText xml:space="preserve"> </w:instrText>
      </w:r>
      <w:r>
        <w:rPr>
          <w:rFonts w:hint="eastAsia"/>
        </w:rPr>
        <w:fldChar w:fldCharType="separate"/>
      </w:r>
      <w:r>
        <w:t>193</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图44 计算集群区网络设计</w:t>
      </w:r>
      <w:r>
        <w:rPr>
          <w:rFonts w:hint="eastAsia"/>
        </w:rPr>
        <w:tab/>
      </w:r>
      <w:r>
        <w:rPr>
          <w:rFonts w:hint="eastAsia"/>
        </w:rPr>
        <w:fldChar w:fldCharType="begin"/>
      </w:r>
      <w:r>
        <w:rPr>
          <w:rFonts w:hint="eastAsia"/>
        </w:rPr>
        <w:instrText xml:space="preserve"> </w:instrText>
      </w:r>
      <w:r>
        <w:instrText xml:space="preserve">PAGEREF _Toc221893062 \h</w:instrText>
      </w:r>
      <w:r>
        <w:rPr>
          <w:rFonts w:hint="eastAsia"/>
        </w:rPr>
        <w:instrText xml:space="preserve"> </w:instrText>
      </w:r>
      <w:r>
        <w:rPr>
          <w:rFonts w:hint="eastAsia"/>
        </w:rPr>
        <w:fldChar w:fldCharType="separate"/>
      </w:r>
      <w:r>
        <w:t>195</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图45 超融合以太网络典型物理组网</w:t>
      </w:r>
      <w:r>
        <w:rPr>
          <w:rFonts w:hint="eastAsia"/>
        </w:rPr>
        <w:tab/>
      </w:r>
      <w:r>
        <w:rPr>
          <w:rFonts w:hint="eastAsia"/>
        </w:rPr>
        <w:fldChar w:fldCharType="begin"/>
      </w:r>
      <w:r>
        <w:rPr>
          <w:rFonts w:hint="eastAsia"/>
        </w:rPr>
        <w:instrText xml:space="preserve"> </w:instrText>
      </w:r>
      <w:r>
        <w:instrText xml:space="preserve">PAGEREF _Toc221893063 \h</w:instrText>
      </w:r>
      <w:r>
        <w:rPr>
          <w:rFonts w:hint="eastAsia"/>
        </w:rPr>
        <w:instrText xml:space="preserve"> </w:instrText>
      </w:r>
      <w:r>
        <w:rPr>
          <w:rFonts w:hint="eastAsia"/>
        </w:rPr>
        <w:fldChar w:fldCharType="separate"/>
      </w:r>
      <w:r>
        <w:t>196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图46 组网接入设计</w:t>
      </w:r>
      <w:r>
        <w:rPr>
          <w:rFonts w:hint="eastAsia"/>
        </w:rPr>
        <w:tab/>
      </w:r>
      <w:r>
        <w:rPr>
          <w:rFonts w:hint="eastAsia"/>
        </w:rPr>
        <w:fldChar w:fldCharType="begin"/>
      </w:r>
      <w:r>
        <w:rPr>
          <w:rFonts w:hint="eastAsia"/>
        </w:rPr>
        <w:instrText xml:space="preserve"> </w:instrText>
      </w:r>
      <w:r>
        <w:instrText xml:space="preserve">PAGEREF _Toc221893064 \h</w:instrText>
      </w:r>
      <w:r>
        <w:rPr>
          <w:rFonts w:hint="eastAsia"/>
        </w:rPr>
        <w:instrText xml:space="preserve"> </w:instrText>
      </w:r>
      <w:r>
        <w:rPr>
          <w:rFonts w:hint="eastAsia"/>
        </w:rPr>
        <w:fldChar w:fldCharType="separate"/>
      </w:r>
      <w:r>
        <w:t>197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图47 路由设计</w:t>
      </w:r>
      <w:r>
        <w:rPr>
          <w:rFonts w:hint="eastAsia"/>
        </w:rPr>
        <w:tab/>
      </w:r>
      <w:r>
        <w:rPr>
          <w:rFonts w:hint="eastAsia"/>
        </w:rPr>
        <w:fldChar w:fldCharType="begin"/>
      </w:r>
      <w:r>
        <w:rPr>
          <w:rFonts w:hint="eastAsia"/>
        </w:rPr>
        <w:instrText xml:space="preserve"> </w:instrText>
      </w:r>
      <w:r>
        <w:instrText xml:space="preserve">PAGEREF _Toc221893065 \h</w:instrText>
      </w:r>
      <w:r>
        <w:rPr>
          <w:rFonts w:hint="eastAsia"/>
        </w:rPr>
        <w:instrText xml:space="preserve"> </w:instrText>
      </w:r>
      <w:r>
        <w:rPr>
          <w:rFonts w:hint="eastAsia"/>
        </w:rPr>
        <w:fldChar w:fldCharType="separate"/>
      </w:r>
      <w:r>
        <w:t>197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图48 设备组网设计</w:t>
      </w:r>
      <w:r>
        <w:rPr>
          <w:rFonts w:hint="eastAsia"/>
        </w:rPr>
        <w:tab/>
      </w:r>
      <w:r>
        <w:rPr>
          <w:rFonts w:hint="eastAsia"/>
        </w:rPr>
        <w:fldChar w:fldCharType="begin"/>
      </w:r>
      <w:r>
        <w:rPr>
          <w:rFonts w:hint="eastAsia"/>
        </w:rPr>
        <w:instrText xml:space="preserve"> </w:instrText>
      </w:r>
      <w:r>
        <w:instrText xml:space="preserve">PAGEREF _Toc221893066 \h</w:instrText>
      </w:r>
      <w:r>
        <w:rPr>
          <w:rFonts w:hint="eastAsia"/>
        </w:rPr>
        <w:instrText xml:space="preserve"> </w:instrText>
      </w:r>
      <w:r>
        <w:rPr>
          <w:rFonts w:hint="eastAsia"/>
        </w:rPr>
        <w:fldChar w:fldCharType="separate"/>
      </w:r>
      <w:r>
        <w:t>198</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图49 业务网络设计</w:t>
      </w:r>
      <w:r>
        <w:rPr>
          <w:rFonts w:hint="eastAsia"/>
        </w:rPr>
        <w:tab/>
      </w:r>
      <w:r>
        <w:rPr>
          <w:rFonts w:hint="eastAsia"/>
        </w:rPr>
        <w:fldChar w:fldCharType="begin"/>
      </w:r>
      <w:r>
        <w:rPr>
          <w:rFonts w:hint="eastAsia"/>
        </w:rPr>
        <w:instrText xml:space="preserve"> </w:instrText>
      </w:r>
      <w:r>
        <w:instrText xml:space="preserve">PAGEREF _Toc221893067 \h</w:instrText>
      </w:r>
      <w:r>
        <w:rPr>
          <w:rFonts w:hint="eastAsia"/>
        </w:rPr>
        <w:instrText xml:space="preserve"> </w:instrText>
      </w:r>
      <w:r>
        <w:rPr>
          <w:rFonts w:hint="eastAsia"/>
        </w:rPr>
        <w:fldChar w:fldCharType="separate"/>
      </w:r>
      <w:r>
        <w:t>198</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图50 汇聚层与接入层设计</w:t>
      </w:r>
      <w:r>
        <w:rPr>
          <w:rFonts w:hint="eastAsia"/>
        </w:rPr>
        <w:tab/>
      </w:r>
      <w:r>
        <w:rPr>
          <w:rFonts w:hint="eastAsia"/>
        </w:rPr>
        <w:fldChar w:fldCharType="begin"/>
      </w:r>
      <w:r>
        <w:rPr>
          <w:rFonts w:hint="eastAsia"/>
        </w:rPr>
        <w:instrText xml:space="preserve"> </w:instrText>
      </w:r>
      <w:r>
        <w:instrText xml:space="preserve">PAGEREF _Toc221893068 \h</w:instrText>
      </w:r>
      <w:r>
        <w:rPr>
          <w:rFonts w:hint="eastAsia"/>
        </w:rPr>
        <w:instrText xml:space="preserve"> </w:instrText>
      </w:r>
      <w:r>
        <w:rPr>
          <w:rFonts w:hint="eastAsia"/>
        </w:rPr>
        <w:fldChar w:fldCharType="separate"/>
      </w:r>
      <w:r>
        <w:t>199</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图51 物理网络设计</w:t>
      </w:r>
      <w:r>
        <w:rPr>
          <w:rFonts w:hint="eastAsia"/>
        </w:rPr>
        <w:tab/>
      </w:r>
      <w:r>
        <w:rPr>
          <w:rFonts w:hint="eastAsia"/>
        </w:rPr>
        <w:fldChar w:fldCharType="begin"/>
      </w:r>
      <w:r>
        <w:rPr>
          <w:rFonts w:hint="eastAsia"/>
        </w:rPr>
        <w:instrText xml:space="preserve"> </w:instrText>
      </w:r>
      <w:r>
        <w:instrText xml:space="preserve">PAGEREF _Toc221893069 \h</w:instrText>
      </w:r>
      <w:r>
        <w:rPr>
          <w:rFonts w:hint="eastAsia"/>
        </w:rPr>
        <w:instrText xml:space="preserve"> </w:instrText>
      </w:r>
      <w:r>
        <w:rPr>
          <w:rFonts w:hint="eastAsia"/>
        </w:rPr>
        <w:fldChar w:fldCharType="separate"/>
      </w:r>
      <w:r>
        <w:t>200</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图52 多IP不绑定</w:t>
      </w:r>
      <w:r>
        <w:rPr>
          <w:rFonts w:hint="eastAsia"/>
        </w:rPr>
        <w:tab/>
      </w:r>
      <w:r>
        <w:rPr>
          <w:rFonts w:hint="eastAsia"/>
        </w:rPr>
        <w:fldChar w:fldCharType="begin"/>
      </w:r>
      <w:r>
        <w:rPr>
          <w:rFonts w:hint="eastAsia"/>
        </w:rPr>
        <w:instrText xml:space="preserve"> </w:instrText>
      </w:r>
      <w:r>
        <w:instrText xml:space="preserve">PAGEREF _Toc221893070 \h</w:instrText>
      </w:r>
      <w:r>
        <w:rPr>
          <w:rFonts w:hint="eastAsia"/>
        </w:rPr>
        <w:instrText xml:space="preserve"> </w:instrText>
      </w:r>
      <w:r>
        <w:rPr>
          <w:rFonts w:hint="eastAsia"/>
        </w:rPr>
        <w:fldChar w:fldCharType="separate"/>
      </w:r>
      <w:r>
        <w:t>201</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图53 路由设计</w:t>
      </w:r>
      <w:r>
        <w:rPr>
          <w:rFonts w:hint="eastAsia"/>
        </w:rPr>
        <w:tab/>
      </w:r>
      <w:r>
        <w:rPr>
          <w:rFonts w:hint="eastAsia"/>
        </w:rPr>
        <w:fldChar w:fldCharType="begin"/>
      </w:r>
      <w:r>
        <w:rPr>
          <w:rFonts w:hint="eastAsia"/>
        </w:rPr>
        <w:instrText xml:space="preserve"> </w:instrText>
      </w:r>
      <w:r>
        <w:instrText xml:space="preserve">PAGEREF _Toc221893071 \h</w:instrText>
      </w:r>
      <w:r>
        <w:rPr>
          <w:rFonts w:hint="eastAsia"/>
        </w:rPr>
        <w:instrText xml:space="preserve"> </w:instrText>
      </w:r>
      <w:r>
        <w:rPr>
          <w:rFonts w:hint="eastAsia"/>
        </w:rPr>
        <w:fldChar w:fldCharType="separate"/>
      </w:r>
      <w:r>
        <w:t>202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图54 行业专网数据中心网络设计</w:t>
      </w:r>
      <w:r>
        <w:rPr>
          <w:rFonts w:hint="eastAsia"/>
        </w:rPr>
        <w:tab/>
      </w:r>
      <w:r>
        <w:rPr>
          <w:rFonts w:hint="eastAsia"/>
        </w:rPr>
        <w:fldChar w:fldCharType="begin"/>
      </w:r>
      <w:r>
        <w:rPr>
          <w:rFonts w:hint="eastAsia"/>
        </w:rPr>
        <w:instrText xml:space="preserve"> </w:instrText>
      </w:r>
      <w:r>
        <w:instrText xml:space="preserve">PAGEREF _Toc221893072 \h</w:instrText>
      </w:r>
      <w:r>
        <w:rPr>
          <w:rFonts w:hint="eastAsia"/>
        </w:rPr>
        <w:instrText xml:space="preserve"> </w:instrText>
      </w:r>
      <w:r>
        <w:rPr>
          <w:rFonts w:hint="eastAsia"/>
        </w:rPr>
        <w:fldChar w:fldCharType="separate"/>
      </w:r>
      <w:r>
        <w:t>202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图55 负载均衡设计</w:t>
      </w:r>
      <w:r>
        <w:rPr>
          <w:rFonts w:hint="eastAsia"/>
        </w:rPr>
        <w:tab/>
      </w:r>
      <w:r>
        <w:rPr>
          <w:rFonts w:hint="eastAsia"/>
        </w:rPr>
        <w:fldChar w:fldCharType="begin"/>
      </w:r>
      <w:r>
        <w:rPr>
          <w:rFonts w:hint="eastAsia"/>
        </w:rPr>
        <w:instrText xml:space="preserve"> </w:instrText>
      </w:r>
      <w:r>
        <w:instrText xml:space="preserve">PAGEREF _Toc221893073 \h</w:instrText>
      </w:r>
      <w:r>
        <w:rPr>
          <w:rFonts w:hint="eastAsia"/>
        </w:rPr>
        <w:instrText xml:space="preserve"> </w:instrText>
      </w:r>
      <w:r>
        <w:rPr>
          <w:rFonts w:hint="eastAsia"/>
        </w:rPr>
        <w:fldChar w:fldCharType="separate"/>
      </w:r>
      <w:r>
        <w:t>205</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图56 Ring算法场景单任务AI训练集群性能</w:t>
      </w:r>
      <w:r>
        <w:rPr>
          <w:rFonts w:hint="eastAsia"/>
        </w:rPr>
        <w:tab/>
      </w:r>
      <w:r>
        <w:rPr>
          <w:rFonts w:hint="eastAsia"/>
        </w:rPr>
        <w:fldChar w:fldCharType="begin"/>
      </w:r>
      <w:r>
        <w:rPr>
          <w:rFonts w:hint="eastAsia"/>
        </w:rPr>
        <w:instrText xml:space="preserve"> </w:instrText>
      </w:r>
      <w:r>
        <w:instrText xml:space="preserve">PAGEREF _Toc221893074 \h</w:instrText>
      </w:r>
      <w:r>
        <w:rPr>
          <w:rFonts w:hint="eastAsia"/>
        </w:rPr>
        <w:instrText xml:space="preserve"> </w:instrText>
      </w:r>
      <w:r>
        <w:rPr>
          <w:rFonts w:hint="eastAsia"/>
        </w:rPr>
        <w:fldChar w:fldCharType="separate"/>
      </w:r>
      <w:r>
        <w:t>206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图57 Ring算法场景双任务AI训练集群性能</w:t>
      </w:r>
      <w:r>
        <w:rPr>
          <w:rFonts w:hint="eastAsia"/>
        </w:rPr>
        <w:tab/>
      </w:r>
      <w:r>
        <w:rPr>
          <w:rFonts w:hint="eastAsia"/>
        </w:rPr>
        <w:fldChar w:fldCharType="begin"/>
      </w:r>
      <w:r>
        <w:rPr>
          <w:rFonts w:hint="eastAsia"/>
        </w:rPr>
        <w:instrText xml:space="preserve"> </w:instrText>
      </w:r>
      <w:r>
        <w:instrText xml:space="preserve">PAGEREF _Toc221893075 \h</w:instrText>
      </w:r>
      <w:r>
        <w:rPr>
          <w:rFonts w:hint="eastAsia"/>
        </w:rPr>
        <w:instrText xml:space="preserve"> </w:instrText>
      </w:r>
      <w:r>
        <w:rPr>
          <w:rFonts w:hint="eastAsia"/>
        </w:rPr>
        <w:fldChar w:fldCharType="separate"/>
      </w:r>
      <w:r>
        <w:t>206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图58 PFC无损设计图</w:t>
      </w:r>
      <w:r>
        <w:rPr>
          <w:rFonts w:hint="eastAsia"/>
        </w:rPr>
        <w:tab/>
      </w:r>
      <w:r>
        <w:rPr>
          <w:rFonts w:hint="eastAsia"/>
        </w:rPr>
        <w:fldChar w:fldCharType="begin"/>
      </w:r>
      <w:r>
        <w:rPr>
          <w:rFonts w:hint="eastAsia"/>
        </w:rPr>
        <w:instrText xml:space="preserve"> </w:instrText>
      </w:r>
      <w:r>
        <w:instrText xml:space="preserve">PAGEREF _Toc221893076 \h</w:instrText>
      </w:r>
      <w:r>
        <w:rPr>
          <w:rFonts w:hint="eastAsia"/>
        </w:rPr>
        <w:instrText xml:space="preserve"> </w:instrText>
      </w:r>
      <w:r>
        <w:rPr>
          <w:rFonts w:hint="eastAsia"/>
        </w:rPr>
        <w:fldChar w:fldCharType="separate"/>
      </w:r>
      <w:r>
        <w:t>207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图59 数据集构建流程</w:t>
      </w:r>
      <w:r>
        <w:rPr>
          <w:rFonts w:hint="eastAsia"/>
        </w:rPr>
        <w:tab/>
      </w:r>
      <w:r>
        <w:rPr>
          <w:rFonts w:hint="eastAsia"/>
        </w:rPr>
        <w:fldChar w:fldCharType="begin"/>
      </w:r>
      <w:r>
        <w:rPr>
          <w:rFonts w:hint="eastAsia"/>
        </w:rPr>
        <w:instrText xml:space="preserve"> </w:instrText>
      </w:r>
      <w:r>
        <w:instrText xml:space="preserve">PAGEREF _Toc221893077 \h</w:instrText>
      </w:r>
      <w:r>
        <w:rPr>
          <w:rFonts w:hint="eastAsia"/>
        </w:rPr>
        <w:instrText xml:space="preserve"> </w:instrText>
      </w:r>
      <w:r>
        <w:rPr>
          <w:rFonts w:hint="eastAsia"/>
        </w:rPr>
        <w:fldChar w:fldCharType="separate"/>
      </w:r>
      <w:r>
        <w:t>242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图60 安防语料数据集标签体</w:t>
      </w:r>
      <w:r>
        <w:rPr>
          <w:rFonts w:hint="eastAsia"/>
        </w:rPr>
        <w:tab/>
      </w:r>
      <w:r>
        <w:rPr>
          <w:rFonts w:hint="eastAsia"/>
        </w:rPr>
        <w:fldChar w:fldCharType="begin"/>
      </w:r>
      <w:r>
        <w:rPr>
          <w:rFonts w:hint="eastAsia"/>
        </w:rPr>
        <w:instrText xml:space="preserve"> </w:instrText>
      </w:r>
      <w:r>
        <w:instrText xml:space="preserve">PAGEREF _Toc221893078 \h</w:instrText>
      </w:r>
      <w:r>
        <w:rPr>
          <w:rFonts w:hint="eastAsia"/>
        </w:rPr>
        <w:instrText xml:space="preserve"> </w:instrText>
      </w:r>
      <w:r>
        <w:rPr>
          <w:rFonts w:hint="eastAsia"/>
        </w:rPr>
        <w:fldChar w:fldCharType="separate"/>
      </w:r>
      <w:r>
        <w:t>244</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图61 高质量语料数据集共享流程</w:t>
      </w:r>
      <w:r>
        <w:rPr>
          <w:rFonts w:hint="eastAsia"/>
        </w:rPr>
        <w:tab/>
      </w:r>
      <w:r>
        <w:rPr>
          <w:rFonts w:hint="eastAsia"/>
        </w:rPr>
        <w:fldChar w:fldCharType="begin"/>
      </w:r>
      <w:r>
        <w:rPr>
          <w:rFonts w:hint="eastAsia"/>
        </w:rPr>
        <w:instrText xml:space="preserve"> </w:instrText>
      </w:r>
      <w:r>
        <w:instrText xml:space="preserve">PAGEREF _Toc221893079 \h</w:instrText>
      </w:r>
      <w:r>
        <w:rPr>
          <w:rFonts w:hint="eastAsia"/>
        </w:rPr>
        <w:instrText xml:space="preserve"> </w:instrText>
      </w:r>
      <w:r>
        <w:rPr>
          <w:rFonts w:hint="eastAsia"/>
        </w:rPr>
        <w:fldChar w:fldCharType="separate"/>
      </w:r>
      <w:r>
        <w:t>270</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图62 高质量语料数据集推动产业生态示意图</w:t>
      </w:r>
      <w:r>
        <w:rPr>
          <w:rFonts w:hint="eastAsia"/>
        </w:rPr>
        <w:tab/>
      </w:r>
      <w:r>
        <w:rPr>
          <w:rFonts w:hint="eastAsia"/>
        </w:rPr>
        <w:fldChar w:fldCharType="begin"/>
      </w:r>
      <w:r>
        <w:rPr>
          <w:rFonts w:hint="eastAsia"/>
        </w:rPr>
        <w:instrText xml:space="preserve"> </w:instrText>
      </w:r>
      <w:r>
        <w:instrText xml:space="preserve">PAGEREF _Toc221893080 \h</w:instrText>
      </w:r>
      <w:r>
        <w:rPr>
          <w:rFonts w:hint="eastAsia"/>
        </w:rPr>
        <w:instrText xml:space="preserve"> </w:instrText>
      </w:r>
      <w:r>
        <w:rPr>
          <w:rFonts w:hint="eastAsia"/>
        </w:rPr>
        <w:fldChar w:fldCharType="separate"/>
      </w:r>
      <w:r>
        <w:t>271</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图63 安防算法模型技术方案全景图</w:t>
      </w:r>
      <w:r>
        <w:rPr>
          <w:rFonts w:hint="eastAsia"/>
        </w:rPr>
        <w:tab/>
      </w:r>
      <w:r>
        <w:rPr>
          <w:rFonts w:hint="eastAsia"/>
        </w:rPr>
        <w:fldChar w:fldCharType="begin"/>
      </w:r>
      <w:r>
        <w:rPr>
          <w:rFonts w:hint="eastAsia"/>
        </w:rPr>
        <w:instrText xml:space="preserve"> </w:instrText>
      </w:r>
      <w:r>
        <w:instrText xml:space="preserve">PAGEREF _Toc221893081 \h</w:instrText>
      </w:r>
      <w:r>
        <w:rPr>
          <w:rFonts w:hint="eastAsia"/>
        </w:rPr>
        <w:instrText xml:space="preserve"> </w:instrText>
      </w:r>
      <w:r>
        <w:rPr>
          <w:rFonts w:hint="eastAsia"/>
        </w:rPr>
        <w:fldChar w:fldCharType="separate"/>
      </w:r>
      <w:r>
        <w:t>273</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图64 模型架构图</w:t>
      </w:r>
      <w:r>
        <w:rPr>
          <w:rFonts w:hint="eastAsia"/>
        </w:rPr>
        <w:tab/>
      </w:r>
      <w:r>
        <w:rPr>
          <w:rFonts w:hint="eastAsia"/>
        </w:rPr>
        <w:fldChar w:fldCharType="begin"/>
      </w:r>
      <w:r>
        <w:rPr>
          <w:rFonts w:hint="eastAsia"/>
        </w:rPr>
        <w:instrText xml:space="preserve"> </w:instrText>
      </w:r>
      <w:r>
        <w:instrText xml:space="preserve">PAGEREF _Toc221893082 \h</w:instrText>
      </w:r>
      <w:r>
        <w:rPr>
          <w:rFonts w:hint="eastAsia"/>
        </w:rPr>
        <w:instrText xml:space="preserve"> </w:instrText>
      </w:r>
      <w:r>
        <w:rPr>
          <w:rFonts w:hint="eastAsia"/>
        </w:rPr>
        <w:fldChar w:fldCharType="separate"/>
      </w:r>
      <w:r>
        <w:t>276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图65 多模态特征融合方法</w:t>
      </w:r>
      <w:r>
        <w:rPr>
          <w:rFonts w:hint="eastAsia"/>
        </w:rPr>
        <w:tab/>
      </w:r>
      <w:r>
        <w:rPr>
          <w:rFonts w:hint="eastAsia"/>
        </w:rPr>
        <w:fldChar w:fldCharType="begin"/>
      </w:r>
      <w:r>
        <w:rPr>
          <w:rFonts w:hint="eastAsia"/>
        </w:rPr>
        <w:instrText xml:space="preserve"> </w:instrText>
      </w:r>
      <w:r>
        <w:instrText xml:space="preserve">PAGEREF _Toc221893083 \h</w:instrText>
      </w:r>
      <w:r>
        <w:rPr>
          <w:rFonts w:hint="eastAsia"/>
        </w:rPr>
        <w:instrText xml:space="preserve"> </w:instrText>
      </w:r>
      <w:r>
        <w:rPr>
          <w:rFonts w:hint="eastAsia"/>
        </w:rPr>
        <w:fldChar w:fldCharType="separate"/>
      </w:r>
      <w:r>
        <w:t>278</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图66 行业大模型预训练步骤“三步走”</w:t>
      </w:r>
      <w:r>
        <w:rPr>
          <w:rFonts w:hint="eastAsia"/>
        </w:rPr>
        <w:tab/>
      </w:r>
      <w:r>
        <w:rPr>
          <w:rFonts w:hint="eastAsia"/>
        </w:rPr>
        <w:fldChar w:fldCharType="begin"/>
      </w:r>
      <w:r>
        <w:rPr>
          <w:rFonts w:hint="eastAsia"/>
        </w:rPr>
        <w:instrText xml:space="preserve"> </w:instrText>
      </w:r>
      <w:r>
        <w:instrText xml:space="preserve">PAGEREF _Toc221893084 \h</w:instrText>
      </w:r>
      <w:r>
        <w:rPr>
          <w:rFonts w:hint="eastAsia"/>
        </w:rPr>
        <w:instrText xml:space="preserve"> </w:instrText>
      </w:r>
      <w:r>
        <w:rPr>
          <w:rFonts w:hint="eastAsia"/>
        </w:rPr>
        <w:fldChar w:fldCharType="separate"/>
      </w:r>
      <w:r>
        <w:t>282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图67 Q-Fromer图像编码映射</w:t>
      </w:r>
      <w:r>
        <w:rPr>
          <w:rFonts w:hint="eastAsia"/>
        </w:rPr>
        <w:tab/>
      </w:r>
      <w:r>
        <w:rPr>
          <w:rFonts w:hint="eastAsia"/>
        </w:rPr>
        <w:fldChar w:fldCharType="begin"/>
      </w:r>
      <w:r>
        <w:rPr>
          <w:rFonts w:hint="eastAsia"/>
        </w:rPr>
        <w:instrText xml:space="preserve"> </w:instrText>
      </w:r>
      <w:r>
        <w:instrText xml:space="preserve">PAGEREF _Toc221893085 \h</w:instrText>
      </w:r>
      <w:r>
        <w:rPr>
          <w:rFonts w:hint="eastAsia"/>
        </w:rPr>
        <w:instrText xml:space="preserve"> </w:instrText>
      </w:r>
      <w:r>
        <w:rPr>
          <w:rFonts w:hint="eastAsia"/>
        </w:rPr>
        <w:fldChar w:fldCharType="separate"/>
      </w:r>
      <w:r>
        <w:t>283</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图68 融合结构</w:t>
      </w:r>
      <w:r>
        <w:rPr>
          <w:rFonts w:hint="eastAsia"/>
        </w:rPr>
        <w:tab/>
      </w:r>
      <w:r>
        <w:rPr>
          <w:rFonts w:hint="eastAsia"/>
        </w:rPr>
        <w:fldChar w:fldCharType="begin"/>
      </w:r>
      <w:r>
        <w:rPr>
          <w:rFonts w:hint="eastAsia"/>
        </w:rPr>
        <w:instrText xml:space="preserve"> </w:instrText>
      </w:r>
      <w:r>
        <w:instrText xml:space="preserve">PAGEREF _Toc221893086 \h</w:instrText>
      </w:r>
      <w:r>
        <w:rPr>
          <w:rFonts w:hint="eastAsia"/>
        </w:rPr>
        <w:instrText xml:space="preserve"> </w:instrText>
      </w:r>
      <w:r>
        <w:rPr>
          <w:rFonts w:hint="eastAsia"/>
        </w:rPr>
        <w:fldChar w:fldCharType="separate"/>
      </w:r>
      <w:r>
        <w:t>284</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图69 低秩适配微调示意图</w:t>
      </w:r>
      <w:r>
        <w:rPr>
          <w:rFonts w:hint="eastAsia"/>
        </w:rPr>
        <w:tab/>
      </w:r>
      <w:r>
        <w:rPr>
          <w:rFonts w:hint="eastAsia"/>
        </w:rPr>
        <w:fldChar w:fldCharType="begin"/>
      </w:r>
      <w:r>
        <w:rPr>
          <w:rFonts w:hint="eastAsia"/>
        </w:rPr>
        <w:instrText xml:space="preserve"> </w:instrText>
      </w:r>
      <w:r>
        <w:instrText xml:space="preserve">PAGEREF _Toc221893087 \h</w:instrText>
      </w:r>
      <w:r>
        <w:rPr>
          <w:rFonts w:hint="eastAsia"/>
        </w:rPr>
        <w:instrText xml:space="preserve"> </w:instrText>
      </w:r>
      <w:r>
        <w:rPr>
          <w:rFonts w:hint="eastAsia"/>
        </w:rPr>
        <w:fldChar w:fldCharType="separate"/>
      </w:r>
      <w:r>
        <w:t>288</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图70 适配器微调示意图</w:t>
      </w:r>
      <w:r>
        <w:rPr>
          <w:rFonts w:hint="eastAsia"/>
        </w:rPr>
        <w:tab/>
      </w:r>
      <w:r>
        <w:rPr>
          <w:rFonts w:hint="eastAsia"/>
        </w:rPr>
        <w:fldChar w:fldCharType="begin"/>
      </w:r>
      <w:r>
        <w:rPr>
          <w:rFonts w:hint="eastAsia"/>
        </w:rPr>
        <w:instrText xml:space="preserve"> </w:instrText>
      </w:r>
      <w:r>
        <w:instrText xml:space="preserve">PAGEREF _Toc221893088 \h</w:instrText>
      </w:r>
      <w:r>
        <w:rPr>
          <w:rFonts w:hint="eastAsia"/>
        </w:rPr>
        <w:instrText xml:space="preserve"> </w:instrText>
      </w:r>
      <w:r>
        <w:rPr>
          <w:rFonts w:hint="eastAsia"/>
        </w:rPr>
        <w:fldChar w:fldCharType="separate"/>
      </w:r>
      <w:r>
        <w:t>290</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图71 前缀微调示意图</w:t>
      </w:r>
      <w:r>
        <w:rPr>
          <w:rFonts w:hint="eastAsia"/>
        </w:rPr>
        <w:tab/>
      </w:r>
      <w:r>
        <w:rPr>
          <w:rFonts w:hint="eastAsia"/>
        </w:rPr>
        <w:fldChar w:fldCharType="begin"/>
      </w:r>
      <w:r>
        <w:rPr>
          <w:rFonts w:hint="eastAsia"/>
        </w:rPr>
        <w:instrText xml:space="preserve"> </w:instrText>
      </w:r>
      <w:r>
        <w:instrText xml:space="preserve">PAGEREF _Toc221893089 \h</w:instrText>
      </w:r>
      <w:r>
        <w:rPr>
          <w:rFonts w:hint="eastAsia"/>
        </w:rPr>
        <w:instrText xml:space="preserve"> </w:instrText>
      </w:r>
      <w:r>
        <w:rPr>
          <w:rFonts w:hint="eastAsia"/>
        </w:rPr>
        <w:fldChar w:fldCharType="separate"/>
      </w:r>
      <w:r>
        <w:t>291</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图72 提示调优示意图</w:t>
      </w:r>
      <w:r>
        <w:rPr>
          <w:rFonts w:hint="eastAsia"/>
        </w:rPr>
        <w:tab/>
      </w:r>
      <w:r>
        <w:rPr>
          <w:rFonts w:hint="eastAsia"/>
        </w:rPr>
        <w:fldChar w:fldCharType="begin"/>
      </w:r>
      <w:r>
        <w:rPr>
          <w:rFonts w:hint="eastAsia"/>
        </w:rPr>
        <w:instrText xml:space="preserve"> </w:instrText>
      </w:r>
      <w:r>
        <w:instrText xml:space="preserve">PAGEREF _Toc221893090 \h</w:instrText>
      </w:r>
      <w:r>
        <w:rPr>
          <w:rFonts w:hint="eastAsia"/>
        </w:rPr>
        <w:instrText xml:space="preserve"> </w:instrText>
      </w:r>
      <w:r>
        <w:rPr>
          <w:rFonts w:hint="eastAsia"/>
        </w:rPr>
        <w:fldChar w:fldCharType="separate"/>
      </w:r>
      <w:r>
        <w:t>292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图73 量化网格搜索自动化搜索量化位宽</w:t>
      </w:r>
      <w:r>
        <w:rPr>
          <w:rFonts w:hint="eastAsia"/>
        </w:rPr>
        <w:tab/>
      </w:r>
      <w:r>
        <w:rPr>
          <w:rFonts w:hint="eastAsia"/>
        </w:rPr>
        <w:fldChar w:fldCharType="begin"/>
      </w:r>
      <w:r>
        <w:rPr>
          <w:rFonts w:hint="eastAsia"/>
        </w:rPr>
        <w:instrText xml:space="preserve"> </w:instrText>
      </w:r>
      <w:r>
        <w:instrText xml:space="preserve">PAGEREF _Toc221893091 \h</w:instrText>
      </w:r>
      <w:r>
        <w:rPr>
          <w:rFonts w:hint="eastAsia"/>
        </w:rPr>
        <w:instrText xml:space="preserve"> </w:instrText>
      </w:r>
      <w:r>
        <w:rPr>
          <w:rFonts w:hint="eastAsia"/>
        </w:rPr>
        <w:fldChar w:fldCharType="separate"/>
      </w:r>
      <w:r>
        <w:t>299</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图74 端边云协同示意图</w:t>
      </w:r>
      <w:r>
        <w:rPr>
          <w:rFonts w:hint="eastAsia"/>
        </w:rPr>
        <w:tab/>
      </w:r>
      <w:r>
        <w:rPr>
          <w:rFonts w:hint="eastAsia"/>
        </w:rPr>
        <w:fldChar w:fldCharType="begin"/>
      </w:r>
      <w:r>
        <w:rPr>
          <w:rFonts w:hint="eastAsia"/>
        </w:rPr>
        <w:instrText xml:space="preserve"> </w:instrText>
      </w:r>
      <w:r>
        <w:instrText xml:space="preserve">PAGEREF _Toc221893092 \h</w:instrText>
      </w:r>
      <w:r>
        <w:rPr>
          <w:rFonts w:hint="eastAsia"/>
        </w:rPr>
        <w:instrText xml:space="preserve"> </w:instrText>
      </w:r>
      <w:r>
        <w:rPr>
          <w:rFonts w:hint="eastAsia"/>
        </w:rPr>
        <w:fldChar w:fldCharType="separate"/>
      </w:r>
      <w:r>
        <w:t>301</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图75 测评体系结构图</w:t>
      </w:r>
      <w:r>
        <w:rPr>
          <w:rFonts w:hint="eastAsia"/>
        </w:rPr>
        <w:tab/>
      </w:r>
      <w:r>
        <w:rPr>
          <w:rFonts w:hint="eastAsia"/>
        </w:rPr>
        <w:fldChar w:fldCharType="begin"/>
      </w:r>
      <w:r>
        <w:rPr>
          <w:rFonts w:hint="eastAsia"/>
        </w:rPr>
        <w:instrText xml:space="preserve"> </w:instrText>
      </w:r>
      <w:r>
        <w:instrText xml:space="preserve">PAGEREF _Toc221893093 \h</w:instrText>
      </w:r>
      <w:r>
        <w:rPr>
          <w:rFonts w:hint="eastAsia"/>
        </w:rPr>
        <w:instrText xml:space="preserve"> </w:instrText>
      </w:r>
      <w:r>
        <w:rPr>
          <w:rFonts w:hint="eastAsia"/>
        </w:rPr>
        <w:fldChar w:fldCharType="separate"/>
      </w:r>
      <w:r>
        <w:t>303</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图76 安防行业大模型应用能力测评方向</w:t>
      </w:r>
      <w:r>
        <w:rPr>
          <w:rFonts w:hint="eastAsia"/>
        </w:rPr>
        <w:tab/>
      </w:r>
      <w:r>
        <w:rPr>
          <w:rFonts w:hint="eastAsia"/>
        </w:rPr>
        <w:fldChar w:fldCharType="begin"/>
      </w:r>
      <w:r>
        <w:rPr>
          <w:rFonts w:hint="eastAsia"/>
        </w:rPr>
        <w:instrText xml:space="preserve"> </w:instrText>
      </w:r>
      <w:r>
        <w:instrText xml:space="preserve">PAGEREF _Toc221893094 \h</w:instrText>
      </w:r>
      <w:r>
        <w:rPr>
          <w:rFonts w:hint="eastAsia"/>
        </w:rPr>
        <w:instrText xml:space="preserve"> </w:instrText>
      </w:r>
      <w:r>
        <w:rPr>
          <w:rFonts w:hint="eastAsia"/>
        </w:rPr>
        <w:fldChar w:fldCharType="separate"/>
      </w:r>
      <w:r>
        <w:t>304</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图77 人工智能共性服务平台整体架构</w:t>
      </w:r>
      <w:r>
        <w:rPr>
          <w:rFonts w:hint="eastAsia"/>
        </w:rPr>
        <w:tab/>
      </w:r>
      <w:r>
        <w:rPr>
          <w:rFonts w:hint="eastAsia"/>
        </w:rPr>
        <w:fldChar w:fldCharType="begin"/>
      </w:r>
      <w:r>
        <w:rPr>
          <w:rFonts w:hint="eastAsia"/>
        </w:rPr>
        <w:instrText xml:space="preserve"> </w:instrText>
      </w:r>
      <w:r>
        <w:instrText xml:space="preserve">PAGEREF _Toc221893095 \h</w:instrText>
      </w:r>
      <w:r>
        <w:rPr>
          <w:rFonts w:hint="eastAsia"/>
        </w:rPr>
        <w:instrText xml:space="preserve"> </w:instrText>
      </w:r>
      <w:r>
        <w:rPr>
          <w:rFonts w:hint="eastAsia"/>
        </w:rPr>
        <w:fldChar w:fldCharType="separate"/>
      </w:r>
      <w:r>
        <w:t>316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图78 数据工程模块组成</w:t>
      </w:r>
      <w:r>
        <w:rPr>
          <w:rFonts w:hint="eastAsia"/>
        </w:rPr>
        <w:tab/>
      </w:r>
      <w:r>
        <w:rPr>
          <w:rFonts w:hint="eastAsia"/>
        </w:rPr>
        <w:fldChar w:fldCharType="begin"/>
      </w:r>
      <w:r>
        <w:rPr>
          <w:rFonts w:hint="eastAsia"/>
        </w:rPr>
        <w:instrText xml:space="preserve"> </w:instrText>
      </w:r>
      <w:r>
        <w:instrText xml:space="preserve">PAGEREF _Toc221893096 \h</w:instrText>
      </w:r>
      <w:r>
        <w:rPr>
          <w:rFonts w:hint="eastAsia"/>
        </w:rPr>
        <w:instrText xml:space="preserve"> </w:instrText>
      </w:r>
      <w:r>
        <w:rPr>
          <w:rFonts w:hint="eastAsia"/>
        </w:rPr>
        <w:fldChar w:fldCharType="separate"/>
      </w:r>
      <w:r>
        <w:t>327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图79 基地安全运维系统总体框架</w:t>
      </w:r>
      <w:r>
        <w:rPr>
          <w:rFonts w:hint="eastAsia"/>
        </w:rPr>
        <w:tab/>
      </w:r>
      <w:r>
        <w:rPr>
          <w:rFonts w:hint="eastAsia"/>
        </w:rPr>
        <w:fldChar w:fldCharType="begin"/>
      </w:r>
      <w:r>
        <w:rPr>
          <w:rFonts w:hint="eastAsia"/>
        </w:rPr>
        <w:instrText xml:space="preserve"> </w:instrText>
      </w:r>
      <w:r>
        <w:instrText xml:space="preserve">PAGEREF _Toc221893097 \h</w:instrText>
      </w:r>
      <w:r>
        <w:rPr>
          <w:rFonts w:hint="eastAsia"/>
        </w:rPr>
        <w:instrText xml:space="preserve"> </w:instrText>
      </w:r>
      <w:r>
        <w:rPr>
          <w:rFonts w:hint="eastAsia"/>
        </w:rPr>
        <w:fldChar w:fldCharType="separate"/>
      </w:r>
      <w:r>
        <w:t>351</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图80 智慧安防人工智能技术标准及规范</w:t>
      </w:r>
      <w:r>
        <w:rPr>
          <w:rFonts w:hint="eastAsia"/>
        </w:rPr>
        <w:tab/>
      </w:r>
      <w:r>
        <w:rPr>
          <w:rFonts w:hint="eastAsia"/>
        </w:rPr>
        <w:fldChar w:fldCharType="begin"/>
      </w:r>
      <w:r>
        <w:rPr>
          <w:rFonts w:hint="eastAsia"/>
        </w:rPr>
        <w:instrText xml:space="preserve"> </w:instrText>
      </w:r>
      <w:r>
        <w:instrText xml:space="preserve">PAGEREF _Toc221893098 \h</w:instrText>
      </w:r>
      <w:r>
        <w:rPr>
          <w:rFonts w:hint="eastAsia"/>
        </w:rPr>
        <w:instrText xml:space="preserve"> </w:instrText>
      </w:r>
      <w:r>
        <w:rPr>
          <w:rFonts w:hint="eastAsia"/>
        </w:rPr>
        <w:fldChar w:fldCharType="separate"/>
      </w:r>
      <w:r>
        <w:t>362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图81 计算量、数据量和参数量</w:t>
      </w:r>
      <w:r>
        <w:rPr>
          <w:rFonts w:hint="eastAsia"/>
        </w:rPr>
        <w:tab/>
      </w:r>
      <w:r>
        <w:rPr>
          <w:rFonts w:hint="eastAsia"/>
        </w:rPr>
        <w:fldChar w:fldCharType="begin"/>
      </w:r>
      <w:r>
        <w:rPr>
          <w:rFonts w:hint="eastAsia"/>
        </w:rPr>
        <w:instrText xml:space="preserve"> </w:instrText>
      </w:r>
      <w:r>
        <w:instrText xml:space="preserve">PAGEREF _Toc221893099 \h</w:instrText>
      </w:r>
      <w:r>
        <w:rPr>
          <w:rFonts w:hint="eastAsia"/>
        </w:rPr>
        <w:instrText xml:space="preserve"> </w:instrText>
      </w:r>
      <w:r>
        <w:rPr>
          <w:rFonts w:hint="eastAsia"/>
        </w:rPr>
        <w:fldChar w:fldCharType="separate"/>
      </w:r>
      <w:r>
        <w:t>367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图82 昇腾计算产业架构</w:t>
      </w:r>
      <w:r>
        <w:rPr>
          <w:rFonts w:hint="eastAsia"/>
        </w:rPr>
        <w:tab/>
      </w:r>
      <w:r>
        <w:rPr>
          <w:rFonts w:hint="eastAsia"/>
        </w:rPr>
        <w:fldChar w:fldCharType="begin"/>
      </w:r>
      <w:r>
        <w:rPr>
          <w:rFonts w:hint="eastAsia"/>
        </w:rPr>
        <w:instrText xml:space="preserve"> </w:instrText>
      </w:r>
      <w:r>
        <w:instrText xml:space="preserve">PAGEREF _Toc221893100 \h</w:instrText>
      </w:r>
      <w:r>
        <w:rPr>
          <w:rFonts w:hint="eastAsia"/>
        </w:rPr>
        <w:instrText xml:space="preserve"> </w:instrText>
      </w:r>
      <w:r>
        <w:rPr>
          <w:rFonts w:hint="eastAsia"/>
        </w:rPr>
        <w:fldChar w:fldCharType="separate"/>
      </w:r>
      <w:r>
        <w:t>369</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图83 华为服务器（AT800）报价单</w:t>
      </w:r>
      <w:r>
        <w:rPr>
          <w:rFonts w:hint="eastAsia"/>
        </w:rPr>
        <w:tab/>
      </w:r>
      <w:r>
        <w:rPr>
          <w:rFonts w:hint="eastAsia"/>
        </w:rPr>
        <w:fldChar w:fldCharType="begin"/>
      </w:r>
      <w:r>
        <w:rPr>
          <w:rFonts w:hint="eastAsia"/>
        </w:rPr>
        <w:instrText xml:space="preserve"> </w:instrText>
      </w:r>
      <w:r>
        <w:instrText xml:space="preserve">PAGEREF _Toc221893101 \h</w:instrText>
      </w:r>
      <w:r>
        <w:rPr>
          <w:rFonts w:hint="eastAsia"/>
        </w:rPr>
        <w:instrText xml:space="preserve"> </w:instrText>
      </w:r>
      <w:r>
        <w:rPr>
          <w:rFonts w:hint="eastAsia"/>
        </w:rPr>
        <w:fldChar w:fldCharType="separate"/>
      </w:r>
      <w:r>
        <w:t>374</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图84 中科曙光服务器（X7840H0）报价单</w:t>
      </w:r>
      <w:r>
        <w:rPr>
          <w:rFonts w:hint="eastAsia"/>
        </w:rPr>
        <w:tab/>
      </w:r>
      <w:r>
        <w:rPr>
          <w:rFonts w:hint="eastAsia"/>
        </w:rPr>
        <w:fldChar w:fldCharType="begin"/>
      </w:r>
      <w:r>
        <w:rPr>
          <w:rFonts w:hint="eastAsia"/>
        </w:rPr>
        <w:instrText xml:space="preserve"> </w:instrText>
      </w:r>
      <w:r>
        <w:instrText xml:space="preserve">PAGEREF _Toc221893102 \h</w:instrText>
      </w:r>
      <w:r>
        <w:rPr>
          <w:rFonts w:hint="eastAsia"/>
        </w:rPr>
        <w:instrText xml:space="preserve"> </w:instrText>
      </w:r>
      <w:r>
        <w:rPr>
          <w:rFonts w:hint="eastAsia"/>
        </w:rPr>
        <w:fldChar w:fldCharType="separate"/>
      </w:r>
      <w:r>
        <w:t>376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图85 华为存储（oceanstor9550）报价单</w:t>
      </w:r>
      <w:r>
        <w:rPr>
          <w:rFonts w:hint="eastAsia"/>
        </w:rPr>
        <w:tab/>
      </w:r>
      <w:r>
        <w:rPr>
          <w:rFonts w:hint="eastAsia"/>
        </w:rPr>
        <w:fldChar w:fldCharType="begin"/>
      </w:r>
      <w:r>
        <w:rPr>
          <w:rFonts w:hint="eastAsia"/>
        </w:rPr>
        <w:instrText xml:space="preserve"> </w:instrText>
      </w:r>
      <w:r>
        <w:instrText xml:space="preserve">PAGEREF _Toc221893103 \h</w:instrText>
      </w:r>
      <w:r>
        <w:rPr>
          <w:rFonts w:hint="eastAsia"/>
        </w:rPr>
        <w:instrText xml:space="preserve"> </w:instrText>
      </w:r>
      <w:r>
        <w:rPr>
          <w:rFonts w:hint="eastAsia"/>
        </w:rPr>
        <w:fldChar w:fldCharType="separate"/>
      </w:r>
      <w:r>
        <w:t>387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图86 浪潮存储（AS13000G7）报价单</w:t>
      </w:r>
      <w:r>
        <w:rPr>
          <w:rFonts w:hint="eastAsia"/>
        </w:rPr>
        <w:tab/>
      </w:r>
      <w:r>
        <w:rPr>
          <w:rFonts w:hint="eastAsia"/>
        </w:rPr>
        <w:fldChar w:fldCharType="begin"/>
      </w:r>
      <w:r>
        <w:rPr>
          <w:rFonts w:hint="eastAsia"/>
        </w:rPr>
        <w:instrText xml:space="preserve"> </w:instrText>
      </w:r>
      <w:r>
        <w:instrText xml:space="preserve">PAGEREF _Toc221893104 \h</w:instrText>
      </w:r>
      <w:r>
        <w:rPr>
          <w:rFonts w:hint="eastAsia"/>
        </w:rPr>
        <w:instrText xml:space="preserve"> </w:instrText>
      </w:r>
      <w:r>
        <w:rPr>
          <w:rFonts w:hint="eastAsia"/>
        </w:rPr>
        <w:fldChar w:fldCharType="separate"/>
      </w:r>
      <w:r>
        <w:t>388</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图87 华三存储（X10360）报价单</w:t>
      </w:r>
      <w:r>
        <w:rPr>
          <w:rFonts w:hint="eastAsia"/>
        </w:rPr>
        <w:tab/>
      </w:r>
      <w:r>
        <w:rPr>
          <w:rFonts w:hint="eastAsia"/>
        </w:rPr>
        <w:fldChar w:fldCharType="begin"/>
      </w:r>
      <w:r>
        <w:rPr>
          <w:rFonts w:hint="eastAsia"/>
        </w:rPr>
        <w:instrText xml:space="preserve"> </w:instrText>
      </w:r>
      <w:r>
        <w:instrText xml:space="preserve">PAGEREF _Toc221893105 \h</w:instrText>
      </w:r>
      <w:r>
        <w:rPr>
          <w:rFonts w:hint="eastAsia"/>
        </w:rPr>
        <w:instrText xml:space="preserve"> </w:instrText>
      </w:r>
      <w:r>
        <w:rPr>
          <w:rFonts w:hint="eastAsia"/>
        </w:rPr>
        <w:fldChar w:fldCharType="separate"/>
      </w:r>
      <w:r>
        <w:t>389</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图88 百度基础大模型报价单</w:t>
      </w:r>
      <w:r>
        <w:rPr>
          <w:rFonts w:hint="eastAsia"/>
        </w:rPr>
        <w:tab/>
      </w:r>
      <w:r>
        <w:rPr>
          <w:rFonts w:hint="eastAsia"/>
        </w:rPr>
        <w:fldChar w:fldCharType="begin"/>
      </w:r>
      <w:r>
        <w:rPr>
          <w:rFonts w:hint="eastAsia"/>
        </w:rPr>
        <w:instrText xml:space="preserve"> </w:instrText>
      </w:r>
      <w:r>
        <w:instrText xml:space="preserve">PAGEREF _Toc221893106 \h</w:instrText>
      </w:r>
      <w:r>
        <w:rPr>
          <w:rFonts w:hint="eastAsia"/>
        </w:rPr>
        <w:instrText xml:space="preserve"> </w:instrText>
      </w:r>
      <w:r>
        <w:rPr>
          <w:rFonts w:hint="eastAsia"/>
        </w:rPr>
        <w:fldChar w:fldCharType="separate"/>
      </w:r>
      <w:r>
        <w:t>402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图89 科大讯飞基础大模型报价单</w:t>
      </w:r>
      <w:r>
        <w:rPr>
          <w:rFonts w:hint="eastAsia"/>
        </w:rPr>
        <w:tab/>
      </w:r>
      <w:r>
        <w:rPr>
          <w:rFonts w:hint="eastAsia"/>
        </w:rPr>
        <w:fldChar w:fldCharType="begin"/>
      </w:r>
      <w:r>
        <w:rPr>
          <w:rFonts w:hint="eastAsia"/>
        </w:rPr>
        <w:instrText xml:space="preserve"> </w:instrText>
      </w:r>
      <w:r>
        <w:instrText xml:space="preserve">PAGEREF _Toc221893107 \h</w:instrText>
      </w:r>
      <w:r>
        <w:rPr>
          <w:rFonts w:hint="eastAsia"/>
        </w:rPr>
        <w:instrText xml:space="preserve"> </w:instrText>
      </w:r>
      <w:r>
        <w:rPr>
          <w:rFonts w:hint="eastAsia"/>
        </w:rPr>
        <w:fldChar w:fldCharType="separate"/>
      </w:r>
      <w:r>
        <w:t>403</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图90 阿里云基础大模型报价单</w:t>
      </w:r>
      <w:r>
        <w:rPr>
          <w:rFonts w:hint="eastAsia"/>
        </w:rPr>
        <w:tab/>
      </w:r>
      <w:r>
        <w:rPr>
          <w:rFonts w:hint="eastAsia"/>
        </w:rPr>
        <w:fldChar w:fldCharType="begin"/>
      </w:r>
      <w:r>
        <w:rPr>
          <w:rFonts w:hint="eastAsia"/>
        </w:rPr>
        <w:instrText xml:space="preserve"> </w:instrText>
      </w:r>
      <w:r>
        <w:instrText xml:space="preserve">PAGEREF _Toc221893108 \h</w:instrText>
      </w:r>
      <w:r>
        <w:rPr>
          <w:rFonts w:hint="eastAsia"/>
        </w:rPr>
        <w:instrText xml:space="preserve"> </w:instrText>
      </w:r>
      <w:r>
        <w:rPr>
          <w:rFonts w:hint="eastAsia"/>
        </w:rPr>
        <w:fldChar w:fldCharType="separate"/>
      </w:r>
      <w:r>
        <w:t>404</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图91 运营服务子平台整体架构</w:t>
      </w:r>
      <w:r>
        <w:rPr>
          <w:rFonts w:hint="eastAsia"/>
        </w:rPr>
        <w:tab/>
      </w:r>
      <w:r>
        <w:rPr>
          <w:rFonts w:hint="eastAsia"/>
        </w:rPr>
        <w:fldChar w:fldCharType="begin"/>
      </w:r>
      <w:r>
        <w:rPr>
          <w:rFonts w:hint="eastAsia"/>
        </w:rPr>
        <w:instrText xml:space="preserve"> </w:instrText>
      </w:r>
      <w:r>
        <w:instrText xml:space="preserve">PAGEREF _Toc221893109 \h</w:instrText>
      </w:r>
      <w:r>
        <w:rPr>
          <w:rFonts w:hint="eastAsia"/>
        </w:rPr>
        <w:instrText xml:space="preserve"> </w:instrText>
      </w:r>
      <w:r>
        <w:rPr>
          <w:rFonts w:hint="eastAsia"/>
        </w:rPr>
        <w:fldChar w:fldCharType="separate"/>
      </w:r>
      <w:r>
        <w:t>405</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图92 综合管理子平台整体架构</w:t>
      </w:r>
      <w:r>
        <w:rPr>
          <w:rFonts w:hint="eastAsia"/>
        </w:rPr>
        <w:tab/>
      </w:r>
      <w:r>
        <w:rPr>
          <w:rFonts w:hint="eastAsia"/>
        </w:rPr>
        <w:fldChar w:fldCharType="begin"/>
      </w:r>
      <w:r>
        <w:rPr>
          <w:rFonts w:hint="eastAsia"/>
        </w:rPr>
        <w:instrText xml:space="preserve"> </w:instrText>
      </w:r>
      <w:r>
        <w:instrText xml:space="preserve">PAGEREF _Toc221893110 \h</w:instrText>
      </w:r>
      <w:r>
        <w:rPr>
          <w:rFonts w:hint="eastAsia"/>
        </w:rPr>
        <w:instrText xml:space="preserve"> </w:instrText>
      </w:r>
      <w:r>
        <w:rPr>
          <w:rFonts w:hint="eastAsia"/>
        </w:rPr>
        <w:fldChar w:fldCharType="separate"/>
      </w:r>
      <w:r>
        <w:t>411</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图93 安防行业人工智能场景应用全景图（一）</w:t>
      </w:r>
      <w:r>
        <w:rPr>
          <w:rFonts w:hint="eastAsia"/>
        </w:rPr>
        <w:tab/>
      </w:r>
      <w:r>
        <w:rPr>
          <w:rFonts w:hint="eastAsia"/>
        </w:rPr>
        <w:fldChar w:fldCharType="begin"/>
      </w:r>
      <w:r>
        <w:rPr>
          <w:rFonts w:hint="eastAsia"/>
        </w:rPr>
        <w:instrText xml:space="preserve"> </w:instrText>
      </w:r>
      <w:r>
        <w:instrText xml:space="preserve">PAGEREF _Toc221893111 \h</w:instrText>
      </w:r>
      <w:r>
        <w:rPr>
          <w:rFonts w:hint="eastAsia"/>
        </w:rPr>
        <w:instrText xml:space="preserve"> </w:instrText>
      </w:r>
      <w:r>
        <w:rPr>
          <w:rFonts w:hint="eastAsia"/>
        </w:rPr>
        <w:fldChar w:fldCharType="separate"/>
      </w:r>
      <w:r>
        <w:t>421</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图94 安防行业人工智能场景应用全景图（二）</w:t>
      </w:r>
      <w:r>
        <w:rPr>
          <w:rFonts w:hint="eastAsia"/>
        </w:rPr>
        <w:tab/>
      </w:r>
      <w:r>
        <w:rPr>
          <w:rFonts w:hint="eastAsia"/>
        </w:rPr>
        <w:fldChar w:fldCharType="begin"/>
      </w:r>
      <w:r>
        <w:rPr>
          <w:rFonts w:hint="eastAsia"/>
        </w:rPr>
        <w:instrText xml:space="preserve"> </w:instrText>
      </w:r>
      <w:r>
        <w:instrText xml:space="preserve">PAGEREF _Toc221893112 \h</w:instrText>
      </w:r>
      <w:r>
        <w:rPr>
          <w:rFonts w:hint="eastAsia"/>
        </w:rPr>
        <w:instrText xml:space="preserve"> </w:instrText>
      </w:r>
      <w:r>
        <w:rPr>
          <w:rFonts w:hint="eastAsia"/>
        </w:rPr>
        <w:fldChar w:fldCharType="separate"/>
      </w:r>
      <w:r>
        <w:t>422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图95 安防行业人工智能场景应用全景图（三）</w:t>
      </w:r>
      <w:r>
        <w:rPr>
          <w:rFonts w:hint="eastAsia"/>
        </w:rPr>
        <w:tab/>
      </w:r>
      <w:r>
        <w:rPr>
          <w:rFonts w:hint="eastAsia"/>
        </w:rPr>
        <w:fldChar w:fldCharType="begin"/>
      </w:r>
      <w:r>
        <w:rPr>
          <w:rFonts w:hint="eastAsia"/>
        </w:rPr>
        <w:instrText xml:space="preserve"> </w:instrText>
      </w:r>
      <w:r>
        <w:instrText xml:space="preserve">PAGEREF _Toc221893113 \h</w:instrText>
      </w:r>
      <w:r>
        <w:rPr>
          <w:rFonts w:hint="eastAsia"/>
        </w:rPr>
        <w:instrText xml:space="preserve"> </w:instrText>
      </w:r>
      <w:r>
        <w:rPr>
          <w:rFonts w:hint="eastAsia"/>
        </w:rPr>
        <w:fldChar w:fldCharType="separate"/>
      </w:r>
      <w:r>
        <w:t>423</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图96 智慧图侦应用平台</w:t>
      </w:r>
      <w:r>
        <w:rPr>
          <w:rFonts w:hint="eastAsia"/>
        </w:rPr>
        <w:tab/>
      </w:r>
      <w:r>
        <w:rPr>
          <w:rFonts w:hint="eastAsia"/>
        </w:rPr>
        <w:fldChar w:fldCharType="begin"/>
      </w:r>
      <w:r>
        <w:rPr>
          <w:rFonts w:hint="eastAsia"/>
        </w:rPr>
        <w:instrText xml:space="preserve"> </w:instrText>
      </w:r>
      <w:r>
        <w:instrText xml:space="preserve">PAGEREF _Toc221893114 \h</w:instrText>
      </w:r>
      <w:r>
        <w:rPr>
          <w:rFonts w:hint="eastAsia"/>
        </w:rPr>
        <w:instrText xml:space="preserve"> </w:instrText>
      </w:r>
      <w:r>
        <w:rPr>
          <w:rFonts w:hint="eastAsia"/>
        </w:rPr>
        <w:fldChar w:fldCharType="separate"/>
      </w:r>
      <w:r>
        <w:t>436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图97 智慧图侦部署架构图</w:t>
      </w:r>
      <w:r>
        <w:rPr>
          <w:rFonts w:hint="eastAsia"/>
        </w:rPr>
        <w:tab/>
      </w:r>
      <w:r>
        <w:rPr>
          <w:rFonts w:hint="eastAsia"/>
        </w:rPr>
        <w:fldChar w:fldCharType="begin"/>
      </w:r>
      <w:r>
        <w:rPr>
          <w:rFonts w:hint="eastAsia"/>
        </w:rPr>
        <w:instrText xml:space="preserve"> </w:instrText>
      </w:r>
      <w:r>
        <w:instrText xml:space="preserve">PAGEREF _Toc221893115 \h</w:instrText>
      </w:r>
      <w:r>
        <w:rPr>
          <w:rFonts w:hint="eastAsia"/>
        </w:rPr>
        <w:instrText xml:space="preserve"> </w:instrText>
      </w:r>
      <w:r>
        <w:rPr>
          <w:rFonts w:hint="eastAsia"/>
        </w:rPr>
        <w:fldChar w:fldCharType="separate"/>
      </w:r>
      <w:r>
        <w:t>436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图98 基于语义检索识别</w:t>
      </w:r>
      <w:r>
        <w:rPr>
          <w:rFonts w:hint="eastAsia"/>
        </w:rPr>
        <w:tab/>
      </w:r>
      <w:r>
        <w:rPr>
          <w:rFonts w:hint="eastAsia"/>
        </w:rPr>
        <w:fldChar w:fldCharType="begin"/>
      </w:r>
      <w:r>
        <w:rPr>
          <w:rFonts w:hint="eastAsia"/>
        </w:rPr>
        <w:instrText xml:space="preserve"> </w:instrText>
      </w:r>
      <w:r>
        <w:instrText xml:space="preserve">PAGEREF _Toc221893116 \h</w:instrText>
      </w:r>
      <w:r>
        <w:rPr>
          <w:rFonts w:hint="eastAsia"/>
        </w:rPr>
        <w:instrText xml:space="preserve"> </w:instrText>
      </w:r>
      <w:r>
        <w:rPr>
          <w:rFonts w:hint="eastAsia"/>
        </w:rPr>
        <w:fldChar w:fldCharType="separate"/>
      </w:r>
      <w:r>
        <w:t>437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图99 头像复原</w:t>
      </w:r>
      <w:r>
        <w:rPr>
          <w:rFonts w:hint="eastAsia"/>
        </w:rPr>
        <w:tab/>
      </w:r>
      <w:r>
        <w:rPr>
          <w:rFonts w:hint="eastAsia"/>
        </w:rPr>
        <w:fldChar w:fldCharType="begin"/>
      </w:r>
      <w:r>
        <w:rPr>
          <w:rFonts w:hint="eastAsia"/>
        </w:rPr>
        <w:instrText xml:space="preserve"> </w:instrText>
      </w:r>
      <w:r>
        <w:instrText xml:space="preserve">PAGEREF _Toc221893117 \h</w:instrText>
      </w:r>
      <w:r>
        <w:rPr>
          <w:rFonts w:hint="eastAsia"/>
        </w:rPr>
        <w:instrText xml:space="preserve"> </w:instrText>
      </w:r>
      <w:r>
        <w:rPr>
          <w:rFonts w:hint="eastAsia"/>
        </w:rPr>
        <w:fldChar w:fldCharType="separate"/>
      </w:r>
      <w:r>
        <w:t>441</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图100 智慧图侦智能体</w:t>
      </w:r>
      <w:r>
        <w:rPr>
          <w:rFonts w:hint="eastAsia"/>
        </w:rPr>
        <w:tab/>
      </w:r>
      <w:r>
        <w:rPr>
          <w:rFonts w:hint="eastAsia"/>
        </w:rPr>
        <w:fldChar w:fldCharType="begin"/>
      </w:r>
      <w:r>
        <w:rPr>
          <w:rFonts w:hint="eastAsia"/>
        </w:rPr>
        <w:instrText xml:space="preserve"> </w:instrText>
      </w:r>
      <w:r>
        <w:instrText xml:space="preserve">PAGEREF _Toc221893118 \h</w:instrText>
      </w:r>
      <w:r>
        <w:rPr>
          <w:rFonts w:hint="eastAsia"/>
        </w:rPr>
        <w:instrText xml:space="preserve"> </w:instrText>
      </w:r>
      <w:r>
        <w:rPr>
          <w:rFonts w:hint="eastAsia"/>
        </w:rPr>
        <w:fldChar w:fldCharType="separate"/>
      </w:r>
      <w:r>
        <w:t>442</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图101 智慧交管主要架构示意图</w:t>
      </w:r>
      <w:r>
        <w:rPr>
          <w:rFonts w:hint="eastAsia"/>
        </w:rPr>
        <w:tab/>
      </w:r>
      <w:r>
        <w:rPr>
          <w:rFonts w:hint="eastAsia"/>
        </w:rPr>
        <w:fldChar w:fldCharType="begin"/>
      </w:r>
      <w:r>
        <w:rPr>
          <w:rFonts w:hint="eastAsia"/>
        </w:rPr>
        <w:instrText xml:space="preserve"> </w:instrText>
      </w:r>
      <w:r>
        <w:instrText xml:space="preserve">PAGEREF _Toc221893119 \h</w:instrText>
      </w:r>
      <w:r>
        <w:rPr>
          <w:rFonts w:hint="eastAsia"/>
        </w:rPr>
        <w:instrText xml:space="preserve"> </w:instrText>
      </w:r>
      <w:r>
        <w:rPr>
          <w:rFonts w:hint="eastAsia"/>
        </w:rPr>
        <w:fldChar w:fldCharType="separate"/>
      </w:r>
      <w:r>
        <w:t>444</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图102 平安社区主要架构示意图</w:t>
      </w:r>
      <w:r>
        <w:rPr>
          <w:rFonts w:hint="eastAsia"/>
        </w:rPr>
        <w:tab/>
      </w:r>
      <w:r>
        <w:rPr>
          <w:rFonts w:hint="eastAsia"/>
        </w:rPr>
        <w:fldChar w:fldCharType="begin"/>
      </w:r>
      <w:r>
        <w:rPr>
          <w:rFonts w:hint="eastAsia"/>
        </w:rPr>
        <w:instrText xml:space="preserve"> </w:instrText>
      </w:r>
      <w:r>
        <w:instrText xml:space="preserve">PAGEREF _Toc221893120 \h</w:instrText>
      </w:r>
      <w:r>
        <w:rPr>
          <w:rFonts w:hint="eastAsia"/>
        </w:rPr>
        <w:instrText xml:space="preserve"> </w:instrText>
      </w:r>
      <w:r>
        <w:rPr>
          <w:rFonts w:hint="eastAsia"/>
        </w:rPr>
        <w:fldChar w:fldCharType="separate"/>
      </w:r>
      <w:r>
        <w:t>450</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图103 城市安全AI赋能中心建设目标</w:t>
      </w:r>
      <w:r>
        <w:rPr>
          <w:rFonts w:hint="eastAsia"/>
        </w:rPr>
        <w:tab/>
      </w:r>
      <w:r>
        <w:rPr>
          <w:rFonts w:hint="eastAsia"/>
        </w:rPr>
        <w:fldChar w:fldCharType="begin"/>
      </w:r>
      <w:r>
        <w:rPr>
          <w:rFonts w:hint="eastAsia"/>
        </w:rPr>
        <w:instrText xml:space="preserve"> </w:instrText>
      </w:r>
      <w:r>
        <w:instrText xml:space="preserve">PAGEREF _Toc221893121 \h</w:instrText>
      </w:r>
      <w:r>
        <w:rPr>
          <w:rFonts w:hint="eastAsia"/>
        </w:rPr>
        <w:instrText xml:space="preserve"> </w:instrText>
      </w:r>
      <w:r>
        <w:rPr>
          <w:rFonts w:hint="eastAsia"/>
        </w:rPr>
        <w:fldChar w:fldCharType="separate"/>
      </w:r>
      <w:r>
        <w:t>455</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图104 城市安全AI赋能中心架构示意图</w:t>
      </w:r>
      <w:r>
        <w:rPr>
          <w:rFonts w:hint="eastAsia"/>
        </w:rPr>
        <w:tab/>
      </w:r>
      <w:r>
        <w:rPr>
          <w:rFonts w:hint="eastAsia"/>
        </w:rPr>
        <w:fldChar w:fldCharType="begin"/>
      </w:r>
      <w:r>
        <w:rPr>
          <w:rFonts w:hint="eastAsia"/>
        </w:rPr>
        <w:instrText xml:space="preserve"> </w:instrText>
      </w:r>
      <w:r>
        <w:instrText xml:space="preserve">PAGEREF _Toc221893122 \h</w:instrText>
      </w:r>
      <w:r>
        <w:rPr>
          <w:rFonts w:hint="eastAsia"/>
        </w:rPr>
        <w:instrText xml:space="preserve"> </w:instrText>
      </w:r>
      <w:r>
        <w:rPr>
          <w:rFonts w:hint="eastAsia"/>
        </w:rPr>
        <w:fldChar w:fldCharType="separate"/>
      </w:r>
      <w:r>
        <w:t>456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图105 常见城市安全治理问题</w:t>
      </w:r>
      <w:r>
        <w:rPr>
          <w:rFonts w:hint="eastAsia"/>
        </w:rPr>
        <w:tab/>
      </w:r>
      <w:r>
        <w:rPr>
          <w:rFonts w:hint="eastAsia"/>
        </w:rPr>
        <w:fldChar w:fldCharType="begin"/>
      </w:r>
      <w:r>
        <w:rPr>
          <w:rFonts w:hint="eastAsia"/>
        </w:rPr>
        <w:instrText xml:space="preserve"> </w:instrText>
      </w:r>
      <w:r>
        <w:instrText xml:space="preserve">PAGEREF _Toc221893123 \h</w:instrText>
      </w:r>
      <w:r>
        <w:rPr>
          <w:rFonts w:hint="eastAsia"/>
        </w:rPr>
        <w:instrText xml:space="preserve"> </w:instrText>
      </w:r>
      <w:r>
        <w:rPr>
          <w:rFonts w:hint="eastAsia"/>
        </w:rPr>
        <w:fldChar w:fldCharType="separate"/>
      </w:r>
      <w:r>
        <w:t>457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图106 异常人员聚集</w:t>
      </w:r>
      <w:r>
        <w:rPr>
          <w:rFonts w:hint="eastAsia"/>
        </w:rPr>
        <w:tab/>
      </w:r>
      <w:r>
        <w:rPr>
          <w:rFonts w:hint="eastAsia"/>
        </w:rPr>
        <w:fldChar w:fldCharType="begin"/>
      </w:r>
      <w:r>
        <w:rPr>
          <w:rFonts w:hint="eastAsia"/>
        </w:rPr>
        <w:instrText xml:space="preserve"> </w:instrText>
      </w:r>
      <w:r>
        <w:instrText xml:space="preserve">PAGEREF _Toc221893124 \h</w:instrText>
      </w:r>
      <w:r>
        <w:rPr>
          <w:rFonts w:hint="eastAsia"/>
        </w:rPr>
        <w:instrText xml:space="preserve"> </w:instrText>
      </w:r>
      <w:r>
        <w:rPr>
          <w:rFonts w:hint="eastAsia"/>
        </w:rPr>
        <w:fldChar w:fldCharType="separate"/>
      </w:r>
      <w:r>
        <w:t>458</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图107 拉横幅告警</w:t>
      </w:r>
      <w:r>
        <w:rPr>
          <w:rFonts w:hint="eastAsia"/>
        </w:rPr>
        <w:tab/>
      </w:r>
      <w:r>
        <w:rPr>
          <w:rFonts w:hint="eastAsia"/>
        </w:rPr>
        <w:fldChar w:fldCharType="begin"/>
      </w:r>
      <w:r>
        <w:rPr>
          <w:rFonts w:hint="eastAsia"/>
        </w:rPr>
        <w:instrText xml:space="preserve"> </w:instrText>
      </w:r>
      <w:r>
        <w:instrText xml:space="preserve">PAGEREF _Toc221893125 \h</w:instrText>
      </w:r>
      <w:r>
        <w:rPr>
          <w:rFonts w:hint="eastAsia"/>
        </w:rPr>
        <w:instrText xml:space="preserve"> </w:instrText>
      </w:r>
      <w:r>
        <w:rPr>
          <w:rFonts w:hint="eastAsia"/>
        </w:rPr>
        <w:fldChar w:fldCharType="separate"/>
      </w:r>
      <w:r>
        <w:t>459</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图108 道路损坏监测</w:t>
      </w:r>
      <w:r>
        <w:rPr>
          <w:rFonts w:hint="eastAsia"/>
        </w:rPr>
        <w:tab/>
      </w:r>
      <w:r>
        <w:rPr>
          <w:rFonts w:hint="eastAsia"/>
        </w:rPr>
        <w:fldChar w:fldCharType="begin"/>
      </w:r>
      <w:r>
        <w:rPr>
          <w:rFonts w:hint="eastAsia"/>
        </w:rPr>
        <w:instrText xml:space="preserve"> </w:instrText>
      </w:r>
      <w:r>
        <w:instrText xml:space="preserve">PAGEREF _Toc221893126 \h</w:instrText>
      </w:r>
      <w:r>
        <w:rPr>
          <w:rFonts w:hint="eastAsia"/>
        </w:rPr>
        <w:instrText xml:space="preserve"> </w:instrText>
      </w:r>
      <w:r>
        <w:rPr>
          <w:rFonts w:hint="eastAsia"/>
        </w:rPr>
        <w:fldChar w:fldCharType="separate"/>
      </w:r>
      <w:r>
        <w:t>459</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图109 周界入侵监测</w:t>
      </w:r>
      <w:r>
        <w:rPr>
          <w:rFonts w:hint="eastAsia"/>
        </w:rPr>
        <w:tab/>
      </w:r>
      <w:r>
        <w:rPr>
          <w:rFonts w:hint="eastAsia"/>
        </w:rPr>
        <w:fldChar w:fldCharType="begin"/>
      </w:r>
      <w:r>
        <w:rPr>
          <w:rFonts w:hint="eastAsia"/>
        </w:rPr>
        <w:instrText xml:space="preserve"> </w:instrText>
      </w:r>
      <w:r>
        <w:instrText xml:space="preserve">PAGEREF _Toc221893127 \h</w:instrText>
      </w:r>
      <w:r>
        <w:rPr>
          <w:rFonts w:hint="eastAsia"/>
        </w:rPr>
        <w:instrText xml:space="preserve"> </w:instrText>
      </w:r>
      <w:r>
        <w:rPr>
          <w:rFonts w:hint="eastAsia"/>
        </w:rPr>
        <w:fldChar w:fldCharType="separate"/>
      </w:r>
      <w:r>
        <w:t>460</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图110 违规堆放垃圾监测</w:t>
      </w:r>
      <w:r>
        <w:rPr>
          <w:rFonts w:hint="eastAsia"/>
        </w:rPr>
        <w:tab/>
      </w:r>
      <w:r>
        <w:rPr>
          <w:rFonts w:hint="eastAsia"/>
        </w:rPr>
        <w:fldChar w:fldCharType="begin"/>
      </w:r>
      <w:r>
        <w:rPr>
          <w:rFonts w:hint="eastAsia"/>
        </w:rPr>
        <w:instrText xml:space="preserve"> </w:instrText>
      </w:r>
      <w:r>
        <w:instrText xml:space="preserve">PAGEREF _Toc221893128 \h</w:instrText>
      </w:r>
      <w:r>
        <w:rPr>
          <w:rFonts w:hint="eastAsia"/>
        </w:rPr>
        <w:instrText xml:space="preserve"> </w:instrText>
      </w:r>
      <w:r>
        <w:rPr>
          <w:rFonts w:hint="eastAsia"/>
        </w:rPr>
        <w:fldChar w:fldCharType="separate"/>
      </w:r>
      <w:r>
        <w:t>466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图111 工地违规车辆监测</w:t>
      </w:r>
      <w:r>
        <w:rPr>
          <w:rFonts w:hint="eastAsia"/>
        </w:rPr>
        <w:tab/>
      </w:r>
      <w:r>
        <w:rPr>
          <w:rFonts w:hint="eastAsia"/>
        </w:rPr>
        <w:fldChar w:fldCharType="begin"/>
      </w:r>
      <w:r>
        <w:rPr>
          <w:rFonts w:hint="eastAsia"/>
        </w:rPr>
        <w:instrText xml:space="preserve"> </w:instrText>
      </w:r>
      <w:r>
        <w:instrText xml:space="preserve">PAGEREF _Toc221893129 \h</w:instrText>
      </w:r>
      <w:r>
        <w:rPr>
          <w:rFonts w:hint="eastAsia"/>
        </w:rPr>
        <w:instrText xml:space="preserve"> </w:instrText>
      </w:r>
      <w:r>
        <w:rPr>
          <w:rFonts w:hint="eastAsia"/>
        </w:rPr>
        <w:fldChar w:fldCharType="separate"/>
      </w:r>
      <w:r>
        <w:t>467</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图112 动物侵入铁路线路监测</w:t>
      </w:r>
      <w:r>
        <w:rPr>
          <w:rFonts w:hint="eastAsia"/>
        </w:rPr>
        <w:tab/>
      </w:r>
      <w:r>
        <w:rPr>
          <w:rFonts w:hint="eastAsia"/>
        </w:rPr>
        <w:fldChar w:fldCharType="begin"/>
      </w:r>
      <w:r>
        <w:rPr>
          <w:rFonts w:hint="eastAsia"/>
        </w:rPr>
        <w:instrText xml:space="preserve"> </w:instrText>
      </w:r>
      <w:r>
        <w:instrText xml:space="preserve">PAGEREF _Toc221893130 \h</w:instrText>
      </w:r>
      <w:r>
        <w:rPr>
          <w:rFonts w:hint="eastAsia"/>
        </w:rPr>
        <w:instrText xml:space="preserve"> </w:instrText>
      </w:r>
      <w:r>
        <w:rPr>
          <w:rFonts w:hint="eastAsia"/>
        </w:rPr>
        <w:fldChar w:fldCharType="separate"/>
      </w:r>
      <w:r>
        <w:t>468</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图113 语义检索查找站内特定人员</w:t>
      </w:r>
      <w:r>
        <w:rPr>
          <w:rFonts w:hint="eastAsia"/>
        </w:rPr>
        <w:tab/>
      </w:r>
      <w:r>
        <w:rPr>
          <w:rFonts w:hint="eastAsia"/>
        </w:rPr>
        <w:fldChar w:fldCharType="begin"/>
      </w:r>
      <w:r>
        <w:rPr>
          <w:rFonts w:hint="eastAsia"/>
        </w:rPr>
        <w:instrText xml:space="preserve"> </w:instrText>
      </w:r>
      <w:r>
        <w:instrText xml:space="preserve">PAGEREF _Toc221893131 \h</w:instrText>
      </w:r>
      <w:r>
        <w:rPr>
          <w:rFonts w:hint="eastAsia"/>
        </w:rPr>
        <w:instrText xml:space="preserve"> </w:instrText>
      </w:r>
      <w:r>
        <w:rPr>
          <w:rFonts w:hint="eastAsia"/>
        </w:rPr>
        <w:fldChar w:fldCharType="separate"/>
      </w:r>
      <w:r>
        <w:t>468</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图114基地开放共享模式</w:t>
      </w:r>
      <w:r>
        <w:rPr>
          <w:rFonts w:hint="eastAsia"/>
        </w:rPr>
        <w:tab/>
      </w:r>
      <w:r>
        <w:rPr>
          <w:rFonts w:hint="eastAsia"/>
        </w:rPr>
        <w:fldChar w:fldCharType="begin"/>
      </w:r>
      <w:r>
        <w:rPr>
          <w:rFonts w:hint="eastAsia"/>
        </w:rPr>
        <w:instrText xml:space="preserve"> </w:instrText>
      </w:r>
      <w:r>
        <w:instrText xml:space="preserve">PAGEREF _Toc221893132 \h</w:instrText>
      </w:r>
      <w:r>
        <w:rPr>
          <w:rFonts w:hint="eastAsia"/>
        </w:rPr>
        <w:instrText xml:space="preserve"> </w:instrText>
      </w:r>
      <w:r>
        <w:rPr>
          <w:rFonts w:hint="eastAsia"/>
        </w:rPr>
        <w:fldChar w:fldCharType="separate"/>
      </w:r>
      <w:r>
        <w:t>475</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图115 基地开放路径</w:t>
      </w:r>
      <w:r>
        <w:rPr>
          <w:rFonts w:hint="eastAsia"/>
        </w:rPr>
        <w:tab/>
      </w:r>
      <w:r>
        <w:rPr>
          <w:rFonts w:hint="eastAsia"/>
        </w:rPr>
        <w:fldChar w:fldCharType="begin"/>
      </w:r>
      <w:r>
        <w:rPr>
          <w:rFonts w:hint="eastAsia"/>
        </w:rPr>
        <w:instrText xml:space="preserve"> </w:instrText>
      </w:r>
      <w:r>
        <w:instrText xml:space="preserve">PAGEREF _Toc221893133 \h</w:instrText>
      </w:r>
      <w:r>
        <w:rPr>
          <w:rFonts w:hint="eastAsia"/>
        </w:rPr>
        <w:instrText xml:space="preserve"> </w:instrText>
      </w:r>
      <w:r>
        <w:rPr>
          <w:rFonts w:hint="eastAsia"/>
        </w:rPr>
        <w:fldChar w:fldCharType="separate"/>
      </w:r>
      <w:r>
        <w:t>476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图116 项目总体进度图</w:t>
      </w:r>
      <w:r>
        <w:rPr>
          <w:rFonts w:hint="eastAsia"/>
        </w:rPr>
        <w:tab/>
      </w:r>
      <w:r>
        <w:rPr>
          <w:rFonts w:hint="eastAsia"/>
        </w:rPr>
        <w:fldChar w:fldCharType="begin"/>
      </w:r>
      <w:r>
        <w:rPr>
          <w:rFonts w:hint="eastAsia"/>
        </w:rPr>
        <w:instrText xml:space="preserve"> </w:instrText>
      </w:r>
      <w:r>
        <w:instrText xml:space="preserve">PAGEREF _Toc221893134 \h</w:instrText>
      </w:r>
      <w:r>
        <w:rPr>
          <w:rFonts w:hint="eastAsia"/>
        </w:rPr>
        <w:instrText xml:space="preserve"> </w:instrText>
      </w:r>
      <w:r>
        <w:rPr>
          <w:rFonts w:hint="eastAsia"/>
        </w:rPr>
        <w:fldChar w:fldCharType="separate"/>
      </w:r>
      <w:r>
        <w:t>503</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图117 供需对接内容</w:t>
      </w:r>
      <w:r>
        <w:rPr>
          <w:rFonts w:hint="eastAsia"/>
        </w:rPr>
        <w:tab/>
      </w:r>
      <w:r>
        <w:rPr>
          <w:rFonts w:hint="eastAsia"/>
        </w:rPr>
        <w:fldChar w:fldCharType="begin"/>
      </w:r>
      <w:r>
        <w:rPr>
          <w:rFonts w:hint="eastAsia"/>
        </w:rPr>
        <w:instrText xml:space="preserve"> </w:instrText>
      </w:r>
      <w:r>
        <w:instrText xml:space="preserve">PAGEREF _Toc221893135 \h</w:instrText>
      </w:r>
      <w:r>
        <w:rPr>
          <w:rFonts w:hint="eastAsia"/>
        </w:rPr>
        <w:instrText xml:space="preserve"> </w:instrText>
      </w:r>
      <w:r>
        <w:rPr>
          <w:rFonts w:hint="eastAsia"/>
        </w:rPr>
        <w:fldChar w:fldCharType="separate"/>
      </w:r>
      <w:r>
        <w:t>556</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图118 基地服务与商业模式</w:t>
      </w:r>
      <w:r>
        <w:rPr>
          <w:rFonts w:hint="eastAsia"/>
        </w:rPr>
        <w:tab/>
      </w:r>
      <w:r>
        <w:rPr>
          <w:rFonts w:hint="eastAsia"/>
        </w:rPr>
        <w:fldChar w:fldCharType="begin"/>
      </w:r>
      <w:r>
        <w:rPr>
          <w:rFonts w:hint="eastAsia"/>
        </w:rPr>
        <w:instrText xml:space="preserve"> </w:instrText>
      </w:r>
      <w:r>
        <w:instrText xml:space="preserve">PAGEREF _Toc221893136 \h</w:instrText>
      </w:r>
      <w:r>
        <w:rPr>
          <w:rFonts w:hint="eastAsia"/>
        </w:rPr>
        <w:instrText xml:space="preserve"> </w:instrText>
      </w:r>
      <w:r>
        <w:rPr>
          <w:rFonts w:hint="eastAsia"/>
        </w:rPr>
        <w:fldChar w:fldCharType="separate"/>
      </w:r>
      <w:r>
        <w:t>563</w:t>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rPr>
          <w:rFonts w:hint="eastAsia"/>
        </w:rPr>
        <w:t>图119 产业生态共赢方式</w:t>
      </w:r>
      <w:r>
        <w:rPr>
          <w:rFonts w:hint="eastAsia"/>
        </w:rPr>
        <w:tab/>
      </w:r>
      <w:r>
        <w:rPr>
          <w:rFonts w:hint="eastAsia"/>
        </w:rPr>
        <w:fldChar w:fldCharType="begin"/>
      </w:r>
      <w:r>
        <w:rPr>
          <w:rFonts w:hint="eastAsia"/>
        </w:rPr>
        <w:instrText xml:space="preserve"> </w:instrText>
      </w:r>
      <w:r>
        <w:instrText xml:space="preserve">PAGEREF _Toc221893137 \h</w:instrText>
      </w:r>
      <w:r>
        <w:rPr>
          <w:rFonts w:hint="eastAsia"/>
        </w:rPr>
        <w:instrText xml:space="preserve"> </w:instrText>
      </w:r>
      <w:r>
        <w:rPr>
          <w:rFonts w:hint="eastAsia"/>
        </w:rPr>
        <w:fldChar w:fldCharType="separate"/>
      </w:r>
      <w:r>
        <w:t>566</w:t>
      </w:r>
      <w:r>
        <w:rPr>
          <w:rFonts w:hint="eastAsia"/>
        </w:rPr>
        <w:fldChar w:fldCharType="end"/>
      </w:r>
    </w:p>
    <w:p>
      <w:pPr>
        <w:pStyle w:val="89"/>
        <w:tabs>
          <w:tab w:val="right" w:leader="dot" w:pos="8296"/>
        </w:tabs>
        <w:spacing w:line="240" w:lineRule="auto"/>
        <w:ind w:left="1040" w:hanging="480"/>
        <w:rPr>
          <w:bCs/>
          <w:sz w:val="24"/>
        </w:rPr>
        <w:sectPr>
          <w:type w:val="oddPage"/>
          <w:pgSz w:w="11906" w:h="16838"/>
          <w:pgMar w:top="1440" w:right="1800" w:bottom="1440" w:left="1800" w:header="851" w:footer="992" w:gutter="0"/>
          <w:pgNumType w:start="1"/>
          <w:cols w:space="720" w:num="1"/>
          <w:docGrid w:type="lines" w:linePitch="312" w:charSpace="0"/>
        </w:sectPr>
      </w:pPr>
      <w:r>
        <w:rPr>
          <w:bCs/>
          <w:sz w:val="24"/>
        </w:rPr>
        <w:fldChar w:fldCharType="end"/>
      </w:r>
    </w:p>
    <w:p>
      <w:pPr>
        <w:pStyle w:val="89"/>
        <w:tabs>
          <w:tab w:val="right" w:leader="dot" w:pos="8296"/>
        </w:tabs>
        <w:spacing w:line="240" w:lineRule="auto"/>
        <w:ind w:left="1203" w:hanging="643"/>
        <w:jc w:val="center"/>
        <w:rPr>
          <w:rFonts w:eastAsia="仿宋"/>
          <w:b/>
          <w:bCs/>
          <w:sz w:val="32"/>
          <w:szCs w:val="32"/>
        </w:rPr>
      </w:pPr>
      <w:r>
        <w:rPr>
          <w:rFonts w:eastAsia="仿宋"/>
          <w:b/>
          <w:bCs/>
          <w:sz w:val="32"/>
          <w:szCs w:val="32"/>
        </w:rPr>
        <w:t>表  目  录</w:t>
      </w:r>
    </w:p>
    <w:p>
      <w:pPr>
        <w:pStyle w:val="89"/>
        <w:tabs>
          <w:tab w:val="right" w:leader="dot" w:pos="8296"/>
        </w:tabs>
        <w:ind w:left="1040" w:hanging="480"/>
        <w:rPr>
          <w:rFonts w:eastAsiaTheme="minorEastAsia" w:cstheme="minorBidi"/>
          <w:sz w:val="22"/>
          <w14:ligatures w14:val="standardContextual"/>
        </w:rPr>
      </w:pPr>
      <w:r>
        <w:rPr>
          <w:rFonts w:eastAsia="仿宋"/>
          <w:sz w:val="24"/>
        </w:rPr>
        <w:fldChar w:fldCharType="begin"/>
      </w:r>
      <w:r>
        <w:rPr>
          <w:rFonts w:eastAsia="仿宋"/>
          <w:sz w:val="24"/>
        </w:rPr>
        <w:instrText xml:space="preserve"> TOC \h \z \c "表" </w:instrText>
      </w:r>
      <w:r>
        <w:rPr>
          <w:rFonts w:eastAsia="仿宋"/>
          <w:sz w:val="24"/>
        </w:rPr>
        <w:fldChar w:fldCharType="separate"/>
      </w:r>
      <w:r>
        <w:fldChar w:fldCharType="begin"/>
      </w:r>
      <w:r>
        <w:instrText xml:space="preserve"> HYPERLINK \l "_Toc221893138" </w:instrText>
      </w:r>
      <w:r>
        <w:fldChar w:fldCharType="separate"/>
      </w:r>
      <w:r>
        <w:rPr>
          <w:rStyle w:val="45"/>
          <w:rFonts w:hint="eastAsia" w:ascii="Times New Roman" w:hAnsi="Times New Roman" w:eastAsia="仿宋"/>
        </w:rPr>
        <w:t>表1 项目绩效目标一览表</w:t>
      </w:r>
      <w:r>
        <w:rPr>
          <w:rFonts w:hint="eastAsia"/>
        </w:rPr>
        <w:tab/>
      </w:r>
      <w:r>
        <w:rPr>
          <w:rFonts w:hint="eastAsia"/>
        </w:rPr>
        <w:fldChar w:fldCharType="begin"/>
      </w:r>
      <w:r>
        <w:rPr>
          <w:rFonts w:hint="eastAsia"/>
        </w:rPr>
        <w:instrText xml:space="preserve"> </w:instrText>
      </w:r>
      <w:r>
        <w:instrText xml:space="preserve">PAGEREF _Toc221893138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"_Toc221893139" </w:instrText>
      </w:r>
      <w:r>
        <w:fldChar w:fldCharType="separate"/>
      </w:r>
      <w:r>
        <w:rPr>
          <w:rStyle w:val="45"/>
          <w:rFonts w:hint="eastAsia" w:ascii="Times New Roman" w:hAnsi="Times New Roman"/>
        </w:rPr>
        <w:t>表2 大模型技术对安防行业的变革-宏观分析</w:t>
      </w:r>
      <w:r>
        <w:rPr>
          <w:rFonts w:hint="eastAsia"/>
        </w:rPr>
        <w:tab/>
      </w:r>
      <w:r>
        <w:rPr>
          <w:rFonts w:hint="eastAsia"/>
        </w:rPr>
        <w:fldChar w:fldCharType="begin"/>
      </w:r>
      <w:r>
        <w:rPr>
          <w:rFonts w:hint="eastAsia"/>
        </w:rPr>
        <w:instrText xml:space="preserve"> </w:instrText>
      </w:r>
      <w:r>
        <w:instrText xml:space="preserve">PAGEREF _Toc221893139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"_Toc221893140" </w:instrText>
      </w:r>
      <w:r>
        <w:fldChar w:fldCharType="separate"/>
      </w:r>
      <w:r>
        <w:rPr>
          <w:rStyle w:val="45"/>
          <w:rFonts w:hint="eastAsia" w:ascii="Times New Roman" w:hAnsi="Times New Roman"/>
        </w:rPr>
        <w:t>表3 大模型技术对安防行业的变革-微观分析</w:t>
      </w:r>
      <w:r>
        <w:rPr>
          <w:rFonts w:hint="eastAsia"/>
        </w:rPr>
        <w:tab/>
      </w:r>
      <w:r>
        <w:rPr>
          <w:rFonts w:hint="eastAsia"/>
        </w:rPr>
        <w:fldChar w:fldCharType="begin"/>
      </w:r>
      <w:r>
        <w:rPr>
          <w:rFonts w:hint="eastAsia"/>
        </w:rPr>
        <w:instrText xml:space="preserve"> </w:instrText>
      </w:r>
      <w:r>
        <w:instrText xml:space="preserve">PAGEREF _Toc221893140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"_Toc221893141" </w:instrText>
      </w:r>
      <w:r>
        <w:fldChar w:fldCharType="separate"/>
      </w:r>
      <w:r>
        <w:rPr>
          <w:rStyle w:val="45"/>
          <w:rFonts w:hint="eastAsia" w:ascii="Times New Roman" w:hAnsi="Times New Roman"/>
        </w:rPr>
        <w:t>表4 人工智能赋能安防典型场景示例</w:t>
      </w:r>
      <w:r>
        <w:rPr>
          <w:rFonts w:hint="eastAsia"/>
        </w:rPr>
        <w:tab/>
      </w:r>
      <w:r>
        <w:rPr>
          <w:rFonts w:hint="eastAsia"/>
        </w:rPr>
        <w:fldChar w:fldCharType="begin"/>
      </w:r>
      <w:r>
        <w:rPr>
          <w:rFonts w:hint="eastAsia"/>
        </w:rPr>
        <w:instrText xml:space="preserve"> </w:instrText>
      </w:r>
      <w:r>
        <w:instrText xml:space="preserve">PAGEREF _Toc221893141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"_Toc221893142" </w:instrText>
      </w:r>
      <w:r>
        <w:fldChar w:fldCharType="separate"/>
      </w:r>
      <w:r>
        <w:rPr>
          <w:rStyle w:val="45"/>
          <w:rFonts w:hint="eastAsia" w:ascii="Times New Roman" w:hAnsi="Times New Roman"/>
        </w:rPr>
        <w:t>表5 需求总量和结构表</w:t>
      </w:r>
      <w:r>
        <w:rPr>
          <w:rFonts w:hint="eastAsia"/>
        </w:rPr>
        <w:tab/>
      </w:r>
      <w:r>
        <w:rPr>
          <w:rFonts w:hint="eastAsia"/>
        </w:rPr>
        <w:fldChar w:fldCharType="begin"/>
      </w:r>
      <w:r>
        <w:rPr>
          <w:rFonts w:hint="eastAsia"/>
        </w:rPr>
        <w:instrText xml:space="preserve"> </w:instrText>
      </w:r>
      <w:r>
        <w:instrText xml:space="preserve">PAGEREF _Toc221893142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"_Toc221893143" </w:instrText>
      </w:r>
      <w:r>
        <w:fldChar w:fldCharType="separate"/>
      </w:r>
      <w:r>
        <w:rPr>
          <w:rStyle w:val="45"/>
          <w:rFonts w:hint="eastAsia" w:ascii="Times New Roman" w:hAnsi="Times New Roman"/>
        </w:rPr>
        <w:t>表6 本项目拟投入的建设人员名单</w:t>
      </w:r>
      <w:r>
        <w:rPr>
          <w:rFonts w:hint="eastAsia"/>
        </w:rPr>
        <w:tab/>
      </w:r>
      <w:r>
        <w:rPr>
          <w:rFonts w:hint="eastAsia"/>
        </w:rPr>
        <w:fldChar w:fldCharType="begin"/>
      </w:r>
      <w:r>
        <w:rPr>
          <w:rFonts w:hint="eastAsia"/>
        </w:rPr>
        <w:instrText xml:space="preserve"> </w:instrText>
      </w:r>
      <w:r>
        <w:instrText xml:space="preserve">PAGEREF _Toc221893143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"_Toc221893144" </w:instrText>
      </w:r>
      <w:r>
        <w:fldChar w:fldCharType="separate"/>
      </w:r>
      <w:r>
        <w:rPr>
          <w:rStyle w:val="45"/>
          <w:rFonts w:hint="eastAsia" w:ascii="Times New Roman" w:hAnsi="Times New Roman"/>
        </w:rPr>
        <w:t>表7 研究所安防领域部分核心技术标准</w:t>
      </w:r>
      <w:r>
        <w:rPr>
          <w:rFonts w:hint="eastAsia"/>
        </w:rPr>
        <w:tab/>
      </w:r>
      <w:r>
        <w:rPr>
          <w:rFonts w:hint="eastAsia"/>
        </w:rPr>
        <w:fldChar w:fldCharType="begin"/>
      </w:r>
      <w:r>
        <w:rPr>
          <w:rFonts w:hint="eastAsia"/>
        </w:rPr>
        <w:instrText xml:space="preserve"> </w:instrText>
      </w:r>
      <w:r>
        <w:instrText xml:space="preserve">PAGEREF _Toc221893144 \h</w:instrText>
      </w:r>
      <w:r>
        <w:rPr>
          <w:rFonts w:hint="eastAsia"/>
        </w:rPr>
        <w:instrText xml:space="preserve"> </w:instrText>
      </w:r>
      <w:r>
        <w:rPr>
          <w:rFonts w:hint="eastAsia"/>
        </w:rPr>
        <w:fldChar w:fldCharType="separate"/>
      </w:r>
      <w:r>
        <w:t>87</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"_Toc221893145" </w:instrText>
      </w:r>
      <w:r>
        <w:fldChar w:fldCharType="separate"/>
      </w:r>
      <w:r>
        <w:rPr>
          <w:rStyle w:val="45"/>
          <w:rFonts w:hint="eastAsia" w:ascii="Times New Roman" w:hAnsi="Times New Roman"/>
        </w:rPr>
        <w:t>表8 研究所安防领域部分重大科研项目</w:t>
      </w:r>
      <w:r>
        <w:rPr>
          <w:rFonts w:hint="eastAsia"/>
        </w:rPr>
        <w:tab/>
      </w:r>
      <w:r>
        <w:rPr>
          <w:rFonts w:hint="eastAsia"/>
        </w:rPr>
        <w:fldChar w:fldCharType="begin"/>
      </w:r>
      <w:r>
        <w:rPr>
          <w:rFonts w:hint="eastAsia"/>
        </w:rPr>
        <w:instrText xml:space="preserve"> </w:instrText>
      </w:r>
      <w:r>
        <w:instrText xml:space="preserve">PAGEREF _Toc221893145 \h</w:instrText>
      </w:r>
      <w:r>
        <w:rPr>
          <w:rFonts w:hint="eastAsia"/>
        </w:rPr>
        <w:instrText xml:space="preserve"> </w:instrText>
      </w:r>
      <w:r>
        <w:rPr>
          <w:rFonts w:hint="eastAsia"/>
        </w:rPr>
        <w:fldChar w:fldCharType="separate"/>
      </w:r>
      <w:r>
        <w:t>89</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"_Toc221893146" </w:instrText>
      </w:r>
      <w:r>
        <w:fldChar w:fldCharType="separate"/>
      </w:r>
      <w:r>
        <w:rPr>
          <w:rStyle w:val="45"/>
          <w:rFonts w:hint="eastAsia" w:ascii="Times New Roman" w:hAnsi="Times New Roman"/>
        </w:rPr>
        <w:t>表9 研究所安防领域部分核心专利</w:t>
      </w:r>
      <w:r>
        <w:rPr>
          <w:rFonts w:hint="eastAsia"/>
        </w:rPr>
        <w:tab/>
      </w:r>
      <w:r>
        <w:rPr>
          <w:rFonts w:hint="eastAsia"/>
        </w:rPr>
        <w:fldChar w:fldCharType="begin"/>
      </w:r>
      <w:r>
        <w:rPr>
          <w:rFonts w:hint="eastAsia"/>
        </w:rPr>
        <w:instrText xml:space="preserve"> </w:instrText>
      </w:r>
      <w:r>
        <w:instrText xml:space="preserve">PAGEREF _Toc221893146 \h</w:instrText>
      </w:r>
      <w:r>
        <w:rPr>
          <w:rFonts w:hint="eastAsia"/>
        </w:rPr>
        <w:instrText xml:space="preserve"> </w:instrText>
      </w:r>
      <w:r>
        <w:rPr>
          <w:rFonts w:hint="eastAsia"/>
        </w:rPr>
        <w:fldChar w:fldCharType="separate"/>
      </w:r>
      <w:r>
        <w:t>91</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"_Toc221893147" </w:instrText>
      </w:r>
      <w:r>
        <w:fldChar w:fldCharType="separate"/>
      </w:r>
      <w:r>
        <w:rPr>
          <w:rStyle w:val="45"/>
          <w:rFonts w:hint="eastAsia" w:ascii="Times New Roman" w:hAnsi="Times New Roman"/>
        </w:rPr>
        <w:t>表10 研究所安防领域部分核心软件著作权列表</w:t>
      </w:r>
      <w:r>
        <w:rPr>
          <w:rFonts w:hint="eastAsia"/>
        </w:rPr>
        <w:tab/>
      </w:r>
      <w:r>
        <w:rPr>
          <w:rFonts w:hint="eastAsia"/>
        </w:rPr>
        <w:fldChar w:fldCharType="begin"/>
      </w:r>
      <w:r>
        <w:rPr>
          <w:rFonts w:hint="eastAsia"/>
        </w:rPr>
        <w:instrText xml:space="preserve"> </w:instrText>
      </w:r>
      <w:r>
        <w:instrText xml:space="preserve">PAGEREF _Toc221893147 \h</w:instrText>
      </w:r>
      <w:r>
        <w:rPr>
          <w:rFonts w:hint="eastAsia"/>
        </w:rPr>
        <w:instrText xml:space="preserve"> </w:instrText>
      </w:r>
      <w:r>
        <w:rPr>
          <w:rFonts w:hint="eastAsia"/>
        </w:rPr>
        <w:fldChar w:fldCharType="separate"/>
      </w:r>
      <w:r>
        <w:t>92</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"_Toc221893148" </w:instrText>
      </w:r>
      <w:r>
        <w:fldChar w:fldCharType="separate"/>
      </w:r>
      <w:r>
        <w:rPr>
          <w:rStyle w:val="45"/>
          <w:rFonts w:hint="eastAsia" w:ascii="Times New Roman" w:hAnsi="Times New Roman"/>
        </w:rPr>
        <w:t>表11 研究所安防领域部分国家、省部级奖励列表</w:t>
      </w:r>
      <w:r>
        <w:rPr>
          <w:rFonts w:hint="eastAsia"/>
        </w:rPr>
        <w:tab/>
      </w:r>
      <w:r>
        <w:rPr>
          <w:rFonts w:hint="eastAsia"/>
        </w:rPr>
        <w:fldChar w:fldCharType="begin"/>
      </w:r>
      <w:r>
        <w:rPr>
          <w:rFonts w:hint="eastAsia"/>
        </w:rPr>
        <w:instrText xml:space="preserve"> </w:instrText>
      </w:r>
      <w:r>
        <w:instrText xml:space="preserve">PAGEREF _Toc221893148 \h</w:instrText>
      </w:r>
      <w:r>
        <w:rPr>
          <w:rFonts w:hint="eastAsia"/>
        </w:rPr>
        <w:instrText xml:space="preserve"> </w:instrText>
      </w:r>
      <w:r>
        <w:rPr>
          <w:rFonts w:hint="eastAsia"/>
        </w:rPr>
        <w:fldChar w:fldCharType="separate"/>
      </w:r>
      <w:r>
        <w:t>93</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"_Toc221893149" </w:instrText>
      </w:r>
      <w:r>
        <w:fldChar w:fldCharType="separate"/>
      </w:r>
      <w:r>
        <w:rPr>
          <w:rStyle w:val="45"/>
          <w:rFonts w:hint="eastAsia" w:ascii="Times New Roman" w:hAnsi="Times New Roman"/>
        </w:rPr>
        <w:t>表12 算力存储需求测算依据</w:t>
      </w:r>
      <w:r>
        <w:rPr>
          <w:rFonts w:hint="eastAsia"/>
        </w:rPr>
        <w:tab/>
      </w:r>
      <w:r>
        <w:rPr>
          <w:rFonts w:hint="eastAsia"/>
        </w:rPr>
        <w:fldChar w:fldCharType="begin"/>
      </w:r>
      <w:r>
        <w:rPr>
          <w:rFonts w:hint="eastAsia"/>
        </w:rPr>
        <w:instrText xml:space="preserve"> </w:instrText>
      </w:r>
      <w:r>
        <w:instrText xml:space="preserve">PAGEREF _Toc221893149 \h</w:instrText>
      </w:r>
      <w:r>
        <w:rPr>
          <w:rFonts w:hint="eastAsia"/>
        </w:rPr>
        <w:instrText xml:space="preserve"> </w:instrText>
      </w:r>
      <w:r>
        <w:rPr>
          <w:rFonts w:hint="eastAsia"/>
        </w:rPr>
        <w:fldChar w:fldCharType="separate"/>
      </w:r>
      <w:r>
        <w:t>128</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"_Toc221893150" </w:instrText>
      </w:r>
      <w:r>
        <w:fldChar w:fldCharType="separate"/>
      </w:r>
      <w:r>
        <w:rPr>
          <w:rStyle w:val="45"/>
          <w:rFonts w:hint="eastAsia" w:ascii="Times New Roman" w:hAnsi="Times New Roman"/>
        </w:rPr>
        <w:t>表13 各系统计算资源池需求</w:t>
      </w:r>
      <w:r>
        <w:rPr>
          <w:rFonts w:hint="eastAsia"/>
        </w:rPr>
        <w:tab/>
      </w:r>
      <w:r>
        <w:rPr>
          <w:rFonts w:hint="eastAsia"/>
        </w:rPr>
        <w:fldChar w:fldCharType="begin"/>
      </w:r>
      <w:r>
        <w:rPr>
          <w:rFonts w:hint="eastAsia"/>
        </w:rPr>
        <w:instrText xml:space="preserve"> </w:instrText>
      </w:r>
      <w:r>
        <w:instrText xml:space="preserve">PAGEREF _Toc221893150 \h</w:instrText>
      </w:r>
      <w:r>
        <w:rPr>
          <w:rFonts w:hint="eastAsia"/>
        </w:rPr>
        <w:instrText xml:space="preserve"> </w:instrText>
      </w:r>
      <w:r>
        <w:rPr>
          <w:rFonts w:hint="eastAsia"/>
        </w:rPr>
        <w:fldChar w:fldCharType="separate"/>
      </w:r>
      <w:r>
        <w:t>134</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"_Toc221893151" </w:instrText>
      </w:r>
      <w:r>
        <w:fldChar w:fldCharType="separate"/>
      </w:r>
      <w:r>
        <w:rPr>
          <w:rStyle w:val="45"/>
          <w:rFonts w:hint="eastAsia" w:ascii="Times New Roman" w:hAnsi="Times New Roman"/>
        </w:rPr>
        <w:t>表14 各系统云桌面资源池需求</w:t>
      </w:r>
      <w:r>
        <w:rPr>
          <w:rFonts w:hint="eastAsia"/>
        </w:rPr>
        <w:tab/>
      </w:r>
      <w:r>
        <w:rPr>
          <w:rFonts w:hint="eastAsia"/>
        </w:rPr>
        <w:fldChar w:fldCharType="begin"/>
      </w:r>
      <w:r>
        <w:rPr>
          <w:rFonts w:hint="eastAsia"/>
        </w:rPr>
        <w:instrText xml:space="preserve"> </w:instrText>
      </w:r>
      <w:r>
        <w:instrText xml:space="preserve">PAGEREF _Toc221893151 \h</w:instrText>
      </w:r>
      <w:r>
        <w:rPr>
          <w:rFonts w:hint="eastAsia"/>
        </w:rPr>
        <w:instrText xml:space="preserve"> </w:instrText>
      </w:r>
      <w:r>
        <w:rPr>
          <w:rFonts w:hint="eastAsia"/>
        </w:rPr>
        <w:fldChar w:fldCharType="separate"/>
      </w:r>
      <w:r>
        <w:t>135</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"_Toc221893152" </w:instrText>
      </w:r>
      <w:r>
        <w:fldChar w:fldCharType="separate"/>
      </w:r>
      <w:r>
        <w:rPr>
          <w:rStyle w:val="45"/>
          <w:rFonts w:hint="eastAsia" w:ascii="Times New Roman" w:hAnsi="Times New Roman"/>
        </w:rPr>
        <w:t>表15 部分业务系统物理机需求</w:t>
      </w:r>
      <w:r>
        <w:rPr>
          <w:rFonts w:hint="eastAsia"/>
        </w:rPr>
        <w:tab/>
      </w:r>
      <w:r>
        <w:rPr>
          <w:rFonts w:hint="eastAsia"/>
        </w:rPr>
        <w:fldChar w:fldCharType="begin"/>
      </w:r>
      <w:r>
        <w:rPr>
          <w:rFonts w:hint="eastAsia"/>
        </w:rPr>
        <w:instrText xml:space="preserve"> </w:instrText>
      </w:r>
      <w:r>
        <w:instrText xml:space="preserve">PAGEREF _Toc221893152 \h</w:instrText>
      </w:r>
      <w:r>
        <w:rPr>
          <w:rFonts w:hint="eastAsia"/>
        </w:rPr>
        <w:instrText xml:space="preserve"> </w:instrText>
      </w:r>
      <w:r>
        <w:rPr>
          <w:rFonts w:hint="eastAsia"/>
        </w:rPr>
        <w:fldChar w:fldCharType="separate"/>
      </w:r>
      <w:r>
        <w:t>135</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"_Toc221893153" </w:instrText>
      </w:r>
      <w:r>
        <w:fldChar w:fldCharType="separate"/>
      </w:r>
      <w:r>
        <w:rPr>
          <w:rStyle w:val="45"/>
          <w:rFonts w:hint="eastAsia" w:ascii="Times New Roman" w:hAnsi="Times New Roman"/>
        </w:rPr>
        <w:t>表16 各系统对象存储需求</w:t>
      </w:r>
      <w:r>
        <w:rPr>
          <w:rFonts w:hint="eastAsia"/>
        </w:rPr>
        <w:tab/>
      </w:r>
      <w:r>
        <w:rPr>
          <w:rFonts w:hint="eastAsia"/>
        </w:rPr>
        <w:fldChar w:fldCharType="begin"/>
      </w:r>
      <w:r>
        <w:rPr>
          <w:rFonts w:hint="eastAsia"/>
        </w:rPr>
        <w:instrText xml:space="preserve"> </w:instrText>
      </w:r>
      <w:r>
        <w:instrText xml:space="preserve">PAGEREF _Toc221893153 \h</w:instrText>
      </w:r>
      <w:r>
        <w:rPr>
          <w:rFonts w:hint="eastAsia"/>
        </w:rPr>
        <w:instrText xml:space="preserve"> </w:instrText>
      </w:r>
      <w:r>
        <w:rPr>
          <w:rFonts w:hint="eastAsia"/>
        </w:rPr>
        <w:fldChar w:fldCharType="separate"/>
      </w:r>
      <w:r>
        <w:t>136</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"_Toc221893154" </w:instrText>
      </w:r>
      <w:r>
        <w:fldChar w:fldCharType="separate"/>
      </w:r>
      <w:r>
        <w:rPr>
          <w:rStyle w:val="45"/>
          <w:rFonts w:hint="eastAsia" w:ascii="Times New Roman" w:hAnsi="Times New Roman"/>
        </w:rPr>
        <w:t>表17 大模型微调算力所需AI服务器算力</w:t>
      </w:r>
      <w:r>
        <w:rPr>
          <w:rFonts w:hint="eastAsia"/>
        </w:rPr>
        <w:tab/>
      </w:r>
      <w:r>
        <w:rPr>
          <w:rFonts w:hint="eastAsia"/>
        </w:rPr>
        <w:fldChar w:fldCharType="begin"/>
      </w:r>
      <w:r>
        <w:rPr>
          <w:rFonts w:hint="eastAsia"/>
        </w:rPr>
        <w:instrText xml:space="preserve"> </w:instrText>
      </w:r>
      <w:r>
        <w:instrText xml:space="preserve">PAGEREF _Toc221893154 \h</w:instrText>
      </w:r>
      <w:r>
        <w:rPr>
          <w:rFonts w:hint="eastAsia"/>
        </w:rPr>
        <w:instrText xml:space="preserve"> </w:instrText>
      </w:r>
      <w:r>
        <w:rPr>
          <w:rFonts w:hint="eastAsia"/>
        </w:rPr>
        <w:fldChar w:fldCharType="separate"/>
      </w:r>
      <w:r>
        <w:t>147</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"_Toc221893155" </w:instrText>
      </w:r>
      <w:r>
        <w:fldChar w:fldCharType="separate"/>
      </w:r>
      <w:r>
        <w:rPr>
          <w:rStyle w:val="45"/>
          <w:rFonts w:hint="eastAsia" w:ascii="Times New Roman" w:hAnsi="Times New Roman"/>
        </w:rPr>
        <w:t>表18 常见的多模态模型显存需求（以Qwen2.5-VL-7B为例）</w:t>
      </w:r>
      <w:r>
        <w:rPr>
          <w:rFonts w:hint="eastAsia"/>
        </w:rPr>
        <w:tab/>
      </w:r>
      <w:r>
        <w:rPr>
          <w:rFonts w:hint="eastAsia"/>
        </w:rPr>
        <w:fldChar w:fldCharType="begin"/>
      </w:r>
      <w:r>
        <w:rPr>
          <w:rFonts w:hint="eastAsia"/>
        </w:rPr>
        <w:instrText xml:space="preserve"> </w:instrText>
      </w:r>
      <w:r>
        <w:instrText xml:space="preserve">PAGEREF _Toc221893155 \h</w:instrText>
      </w:r>
      <w:r>
        <w:rPr>
          <w:rFonts w:hint="eastAsia"/>
        </w:rPr>
        <w:instrText xml:space="preserve"> </w:instrText>
      </w:r>
      <w:r>
        <w:rPr>
          <w:rFonts w:hint="eastAsia"/>
        </w:rPr>
        <w:fldChar w:fldCharType="separate"/>
      </w:r>
      <w:r>
        <w:t>148</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"_Toc221893156" </w:instrText>
      </w:r>
      <w:r>
        <w:fldChar w:fldCharType="separate"/>
      </w:r>
      <w:r>
        <w:rPr>
          <w:rStyle w:val="45"/>
          <w:rFonts w:hint="eastAsia" w:ascii="Times New Roman" w:hAnsi="Times New Roman"/>
        </w:rPr>
        <w:t>表19 视觉编码器（ViT）推理显存需求</w:t>
      </w:r>
      <w:r>
        <w:rPr>
          <w:rFonts w:hint="eastAsia"/>
        </w:rPr>
        <w:tab/>
      </w:r>
      <w:r>
        <w:rPr>
          <w:rFonts w:hint="eastAsia"/>
        </w:rPr>
        <w:fldChar w:fldCharType="begin"/>
      </w:r>
      <w:r>
        <w:rPr>
          <w:rFonts w:hint="eastAsia"/>
        </w:rPr>
        <w:instrText xml:space="preserve"> </w:instrText>
      </w:r>
      <w:r>
        <w:instrText xml:space="preserve">PAGEREF _Toc221893156 \h</w:instrText>
      </w:r>
      <w:r>
        <w:rPr>
          <w:rFonts w:hint="eastAsia"/>
        </w:rPr>
        <w:instrText xml:space="preserve"> </w:instrText>
      </w:r>
      <w:r>
        <w:rPr>
          <w:rFonts w:hint="eastAsia"/>
        </w:rPr>
        <w:fldChar w:fldCharType="separate"/>
      </w:r>
      <w:r>
        <w:t>148</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"_Toc221893157" </w:instrText>
      </w:r>
      <w:r>
        <w:fldChar w:fldCharType="separate"/>
      </w:r>
      <w:r>
        <w:rPr>
          <w:rStyle w:val="45"/>
          <w:rFonts w:hint="eastAsia" w:ascii="Times New Roman" w:hAnsi="Times New Roman"/>
        </w:rPr>
        <w:t>表20 大型语言模型（LLM）推理显存需求</w:t>
      </w:r>
      <w:r>
        <w:rPr>
          <w:rFonts w:hint="eastAsia"/>
        </w:rPr>
        <w:tab/>
      </w:r>
      <w:r>
        <w:rPr>
          <w:rFonts w:hint="eastAsia"/>
        </w:rPr>
        <w:fldChar w:fldCharType="begin"/>
      </w:r>
      <w:r>
        <w:rPr>
          <w:rFonts w:hint="eastAsia"/>
        </w:rPr>
        <w:instrText xml:space="preserve"> </w:instrText>
      </w:r>
      <w:r>
        <w:instrText xml:space="preserve">PAGEREF _Toc221893157 \h</w:instrText>
      </w:r>
      <w:r>
        <w:rPr>
          <w:rFonts w:hint="eastAsia"/>
        </w:rPr>
        <w:instrText xml:space="preserve"> </w:instrText>
      </w:r>
      <w:r>
        <w:rPr>
          <w:rFonts w:hint="eastAsia"/>
        </w:rPr>
        <w:fldChar w:fldCharType="separate"/>
      </w:r>
      <w:r>
        <w:t>149</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"_Toc221893158" </w:instrText>
      </w:r>
      <w:r>
        <w:fldChar w:fldCharType="separate"/>
      </w:r>
      <w:r>
        <w:rPr>
          <w:rStyle w:val="45"/>
          <w:rFonts w:hint="eastAsia" w:ascii="Times New Roman" w:hAnsi="Times New Roman"/>
        </w:rPr>
        <w:t>表21 视觉-语言适配器（VL Adapter）推理显存需求</w:t>
      </w:r>
      <w:r>
        <w:rPr>
          <w:rFonts w:hint="eastAsia"/>
        </w:rPr>
        <w:tab/>
      </w:r>
      <w:r>
        <w:rPr>
          <w:rFonts w:hint="eastAsia"/>
        </w:rPr>
        <w:fldChar w:fldCharType="begin"/>
      </w:r>
      <w:r>
        <w:rPr>
          <w:rFonts w:hint="eastAsia"/>
        </w:rPr>
        <w:instrText xml:space="preserve"> </w:instrText>
      </w:r>
      <w:r>
        <w:instrText xml:space="preserve">PAGEREF _Toc221893158 \h</w:instrText>
      </w:r>
      <w:r>
        <w:rPr>
          <w:rFonts w:hint="eastAsia"/>
        </w:rPr>
        <w:instrText xml:space="preserve"> </w:instrText>
      </w:r>
      <w:r>
        <w:rPr>
          <w:rFonts w:hint="eastAsia"/>
        </w:rPr>
        <w:fldChar w:fldCharType="separate"/>
      </w:r>
      <w:r>
        <w:t>149</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"_Toc221893159" </w:instrText>
      </w:r>
      <w:r>
        <w:fldChar w:fldCharType="separate"/>
      </w:r>
      <w:r>
        <w:rPr>
          <w:rStyle w:val="45"/>
          <w:rFonts w:hint="eastAsia" w:ascii="Times New Roman" w:hAnsi="Times New Roman"/>
        </w:rPr>
        <w:t>表22 EC 冗余配比与存储利用率对照表</w:t>
      </w:r>
      <w:r>
        <w:rPr>
          <w:rFonts w:hint="eastAsia"/>
        </w:rPr>
        <w:tab/>
      </w:r>
      <w:r>
        <w:rPr>
          <w:rFonts w:hint="eastAsia"/>
        </w:rPr>
        <w:fldChar w:fldCharType="begin"/>
      </w:r>
      <w:r>
        <w:rPr>
          <w:rFonts w:hint="eastAsia"/>
        </w:rPr>
        <w:instrText xml:space="preserve"> </w:instrText>
      </w:r>
      <w:r>
        <w:instrText xml:space="preserve">PAGEREF _Toc221893159 \h</w:instrText>
      </w:r>
      <w:r>
        <w:rPr>
          <w:rFonts w:hint="eastAsia"/>
        </w:rPr>
        <w:instrText xml:space="preserve"> </w:instrText>
      </w:r>
      <w:r>
        <w:rPr>
          <w:rFonts w:hint="eastAsia"/>
        </w:rPr>
        <w:fldChar w:fldCharType="separate"/>
      </w:r>
      <w:r>
        <w:t>181</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"_Toc221893160" </w:instrText>
      </w:r>
      <w:r>
        <w:fldChar w:fldCharType="separate"/>
      </w:r>
      <w:r>
        <w:rPr>
          <w:rStyle w:val="45"/>
          <w:rFonts w:hint="eastAsia" w:ascii="Times New Roman" w:hAnsi="Times New Roman"/>
        </w:rPr>
        <w:t>表23 M-LAG和堆叠的详细优劣势对比</w:t>
      </w:r>
      <w:r>
        <w:rPr>
          <w:rFonts w:hint="eastAsia"/>
        </w:rPr>
        <w:tab/>
      </w:r>
      <w:r>
        <w:rPr>
          <w:rFonts w:hint="eastAsia"/>
        </w:rPr>
        <w:fldChar w:fldCharType="begin"/>
      </w:r>
      <w:r>
        <w:rPr>
          <w:rFonts w:hint="eastAsia"/>
        </w:rPr>
        <w:instrText xml:space="preserve"> </w:instrText>
      </w:r>
      <w:r>
        <w:instrText xml:space="preserve">PAGEREF _Toc221893160 \h</w:instrText>
      </w:r>
      <w:r>
        <w:rPr>
          <w:rFonts w:hint="eastAsia"/>
        </w:rPr>
        <w:instrText xml:space="preserve"> </w:instrText>
      </w:r>
      <w:r>
        <w:rPr>
          <w:rFonts w:hint="eastAsia"/>
        </w:rPr>
        <w:fldChar w:fldCharType="separate"/>
      </w:r>
      <w:r>
        <w:t>209</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"_Toc221893161" </w:instrText>
      </w:r>
      <w:r>
        <w:fldChar w:fldCharType="separate"/>
      </w:r>
      <w:r>
        <w:rPr>
          <w:rStyle w:val="45"/>
          <w:rFonts w:hint="eastAsia" w:ascii="Times New Roman" w:hAnsi="Times New Roman"/>
        </w:rPr>
        <w:t>表24 算力基座主要购置设备清单</w:t>
      </w:r>
      <w:r>
        <w:rPr>
          <w:rFonts w:hint="eastAsia"/>
        </w:rPr>
        <w:tab/>
      </w:r>
      <w:r>
        <w:rPr>
          <w:rFonts w:hint="eastAsia"/>
        </w:rPr>
        <w:fldChar w:fldCharType="begin"/>
      </w:r>
      <w:r>
        <w:rPr>
          <w:rFonts w:hint="eastAsia"/>
        </w:rPr>
        <w:instrText xml:space="preserve"> </w:instrText>
      </w:r>
      <w:r>
        <w:instrText xml:space="preserve">PAGEREF _Toc221893161 \h</w:instrText>
      </w:r>
      <w:r>
        <w:rPr>
          <w:rFonts w:hint="eastAsia"/>
        </w:rPr>
        <w:instrText xml:space="preserve"> </w:instrText>
      </w:r>
      <w:r>
        <w:rPr>
          <w:rFonts w:hint="eastAsia"/>
        </w:rPr>
        <w:fldChar w:fldCharType="separate"/>
      </w:r>
      <w:r>
        <w:t>211</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"_Toc221893162" </w:instrText>
      </w:r>
      <w:r>
        <w:fldChar w:fldCharType="separate"/>
      </w:r>
      <w:r>
        <w:rPr>
          <w:rStyle w:val="45"/>
          <w:rFonts w:hint="eastAsia" w:ascii="Times New Roman" w:hAnsi="Times New Roman"/>
        </w:rPr>
        <w:t>表25 高价值视频图像数据汇聚接口规范及示例</w:t>
      </w:r>
      <w:r>
        <w:rPr>
          <w:rFonts w:hint="eastAsia"/>
        </w:rPr>
        <w:tab/>
      </w:r>
      <w:r>
        <w:rPr>
          <w:rFonts w:hint="eastAsia"/>
        </w:rPr>
        <w:fldChar w:fldCharType="begin"/>
      </w:r>
      <w:r>
        <w:rPr>
          <w:rFonts w:hint="eastAsia"/>
        </w:rPr>
        <w:instrText xml:space="preserve"> </w:instrText>
      </w:r>
      <w:r>
        <w:instrText xml:space="preserve">PAGEREF _Toc221893162 \h</w:instrText>
      </w:r>
      <w:r>
        <w:rPr>
          <w:rFonts w:hint="eastAsia"/>
        </w:rPr>
        <w:instrText xml:space="preserve"> </w:instrText>
      </w:r>
      <w:r>
        <w:rPr>
          <w:rFonts w:hint="eastAsia"/>
        </w:rPr>
        <w:fldChar w:fldCharType="separate"/>
      </w:r>
      <w:r>
        <w:t>228</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"_Toc221893163" </w:instrText>
      </w:r>
      <w:r>
        <w:fldChar w:fldCharType="separate"/>
      </w:r>
      <w:r>
        <w:rPr>
          <w:rStyle w:val="45"/>
          <w:rFonts w:hint="eastAsia" w:ascii="Times New Roman" w:hAnsi="Times New Roman"/>
        </w:rPr>
        <w:t>表26 数据质量评估指标</w:t>
      </w:r>
      <w:r>
        <w:rPr>
          <w:rFonts w:hint="eastAsia"/>
        </w:rPr>
        <w:tab/>
      </w:r>
      <w:r>
        <w:rPr>
          <w:rFonts w:hint="eastAsia"/>
        </w:rPr>
        <w:fldChar w:fldCharType="begin"/>
      </w:r>
      <w:r>
        <w:rPr>
          <w:rFonts w:hint="eastAsia"/>
        </w:rPr>
        <w:instrText xml:space="preserve"> </w:instrText>
      </w:r>
      <w:r>
        <w:instrText xml:space="preserve">PAGEREF _Toc221893163 \h</w:instrText>
      </w:r>
      <w:r>
        <w:rPr>
          <w:rFonts w:hint="eastAsia"/>
        </w:rPr>
        <w:instrText xml:space="preserve"> </w:instrText>
      </w:r>
      <w:r>
        <w:rPr>
          <w:rFonts w:hint="eastAsia"/>
        </w:rPr>
        <w:fldChar w:fldCharType="separate"/>
      </w:r>
      <w:r>
        <w:t>235</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"_Toc221893164" </w:instrText>
      </w:r>
      <w:r>
        <w:fldChar w:fldCharType="separate"/>
      </w:r>
      <w:r>
        <w:rPr>
          <w:rStyle w:val="45"/>
          <w:rFonts w:hint="eastAsia" w:ascii="Times New Roman" w:hAnsi="Times New Roman"/>
        </w:rPr>
        <w:t>表27 数据去重算法</w:t>
      </w:r>
      <w:r>
        <w:rPr>
          <w:rFonts w:hint="eastAsia"/>
        </w:rPr>
        <w:tab/>
      </w:r>
      <w:r>
        <w:rPr>
          <w:rFonts w:hint="eastAsia"/>
        </w:rPr>
        <w:fldChar w:fldCharType="begin"/>
      </w:r>
      <w:r>
        <w:rPr>
          <w:rFonts w:hint="eastAsia"/>
        </w:rPr>
        <w:instrText xml:space="preserve"> </w:instrText>
      </w:r>
      <w:r>
        <w:instrText xml:space="preserve">PAGEREF _Toc221893164 \h</w:instrText>
      </w:r>
      <w:r>
        <w:rPr>
          <w:rFonts w:hint="eastAsia"/>
        </w:rPr>
        <w:instrText xml:space="preserve"> </w:instrText>
      </w:r>
      <w:r>
        <w:rPr>
          <w:rFonts w:hint="eastAsia"/>
        </w:rPr>
        <w:fldChar w:fldCharType="separate"/>
      </w:r>
      <w:r>
        <w:t>239</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"_Toc221893165" </w:instrText>
      </w:r>
      <w:r>
        <w:fldChar w:fldCharType="separate"/>
      </w:r>
      <w:r>
        <w:rPr>
          <w:rStyle w:val="45"/>
          <w:rFonts w:hint="eastAsia" w:ascii="Times New Roman" w:hAnsi="Times New Roman"/>
        </w:rPr>
        <w:t>表28 人体数据集标注规范示例及标注结果示例</w:t>
      </w:r>
      <w:r>
        <w:rPr>
          <w:rFonts w:hint="eastAsia"/>
        </w:rPr>
        <w:tab/>
      </w:r>
      <w:r>
        <w:rPr>
          <w:rFonts w:hint="eastAsia"/>
        </w:rPr>
        <w:fldChar w:fldCharType="begin"/>
      </w:r>
      <w:r>
        <w:rPr>
          <w:rFonts w:hint="eastAsia"/>
        </w:rPr>
        <w:instrText xml:space="preserve"> </w:instrText>
      </w:r>
      <w:r>
        <w:instrText xml:space="preserve">PAGEREF _Toc221893165 \h</w:instrText>
      </w:r>
      <w:r>
        <w:rPr>
          <w:rFonts w:hint="eastAsia"/>
        </w:rPr>
        <w:instrText xml:space="preserve"> </w:instrText>
      </w:r>
      <w:r>
        <w:rPr>
          <w:rFonts w:hint="eastAsia"/>
        </w:rPr>
        <w:fldChar w:fldCharType="separate"/>
      </w:r>
      <w:r>
        <w:t>245</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"_Toc221893166" </w:instrText>
      </w:r>
      <w:r>
        <w:fldChar w:fldCharType="separate"/>
      </w:r>
      <w:r>
        <w:rPr>
          <w:rStyle w:val="45"/>
          <w:rFonts w:hint="eastAsia" w:ascii="Times New Roman" w:hAnsi="Times New Roman"/>
        </w:rPr>
        <w:t>表29 车辆数据集标注规范及标注结果示例</w:t>
      </w:r>
      <w:r>
        <w:rPr>
          <w:rFonts w:hint="eastAsia"/>
        </w:rPr>
        <w:tab/>
      </w:r>
      <w:r>
        <w:rPr>
          <w:rFonts w:hint="eastAsia"/>
        </w:rPr>
        <w:fldChar w:fldCharType="begin"/>
      </w:r>
      <w:r>
        <w:rPr>
          <w:rFonts w:hint="eastAsia"/>
        </w:rPr>
        <w:instrText xml:space="preserve"> </w:instrText>
      </w:r>
      <w:r>
        <w:instrText xml:space="preserve">PAGEREF _Toc221893166 \h</w:instrText>
      </w:r>
      <w:r>
        <w:rPr>
          <w:rFonts w:hint="eastAsia"/>
        </w:rPr>
        <w:instrText xml:space="preserve"> </w:instrText>
      </w:r>
      <w:r>
        <w:rPr>
          <w:rFonts w:hint="eastAsia"/>
        </w:rPr>
        <w:fldChar w:fldCharType="separate"/>
      </w:r>
      <w:r>
        <w:t>246</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"_Toc221893167" </w:instrText>
      </w:r>
      <w:r>
        <w:fldChar w:fldCharType="separate"/>
      </w:r>
      <w:r>
        <w:rPr>
          <w:rStyle w:val="45"/>
          <w:rFonts w:hint="eastAsia" w:ascii="Times New Roman" w:hAnsi="Times New Roman"/>
        </w:rPr>
        <w:t>表30 行为事件数据集标注规范及标注结果示例</w:t>
      </w:r>
      <w:r>
        <w:rPr>
          <w:rFonts w:hint="eastAsia"/>
        </w:rPr>
        <w:tab/>
      </w:r>
      <w:r>
        <w:rPr>
          <w:rFonts w:hint="eastAsia"/>
        </w:rPr>
        <w:fldChar w:fldCharType="begin"/>
      </w:r>
      <w:r>
        <w:rPr>
          <w:rFonts w:hint="eastAsia"/>
        </w:rPr>
        <w:instrText xml:space="preserve"> </w:instrText>
      </w:r>
      <w:r>
        <w:instrText xml:space="preserve">PAGEREF _Toc221893167 \h</w:instrText>
      </w:r>
      <w:r>
        <w:rPr>
          <w:rFonts w:hint="eastAsia"/>
        </w:rPr>
        <w:instrText xml:space="preserve"> </w:instrText>
      </w:r>
      <w:r>
        <w:rPr>
          <w:rFonts w:hint="eastAsia"/>
        </w:rPr>
        <w:fldChar w:fldCharType="separate"/>
      </w:r>
      <w:r>
        <w:t>247</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"_Toc221893168" </w:instrText>
      </w:r>
      <w:r>
        <w:fldChar w:fldCharType="separate"/>
      </w:r>
      <w:r>
        <w:rPr>
          <w:rStyle w:val="45"/>
          <w:rFonts w:hint="eastAsia" w:ascii="Times New Roman" w:hAnsi="Times New Roman"/>
        </w:rPr>
        <w:t>表31 高质量语料数据集清单</w:t>
      </w:r>
      <w:r>
        <w:rPr>
          <w:rFonts w:hint="eastAsia"/>
        </w:rPr>
        <w:tab/>
      </w:r>
      <w:r>
        <w:rPr>
          <w:rFonts w:hint="eastAsia"/>
        </w:rPr>
        <w:fldChar w:fldCharType="begin"/>
      </w:r>
      <w:r>
        <w:rPr>
          <w:rFonts w:hint="eastAsia"/>
        </w:rPr>
        <w:instrText xml:space="preserve"> </w:instrText>
      </w:r>
      <w:r>
        <w:instrText xml:space="preserve">PAGEREF _Toc221893168 \h</w:instrText>
      </w:r>
      <w:r>
        <w:rPr>
          <w:rFonts w:hint="eastAsia"/>
        </w:rPr>
        <w:instrText xml:space="preserve"> </w:instrText>
      </w:r>
      <w:r>
        <w:rPr>
          <w:rFonts w:hint="eastAsia"/>
        </w:rPr>
        <w:fldChar w:fldCharType="separate"/>
      </w:r>
      <w:r>
        <w:t>251</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"_Toc221893169" </w:instrText>
      </w:r>
      <w:r>
        <w:fldChar w:fldCharType="separate"/>
      </w:r>
      <w:r>
        <w:rPr>
          <w:rStyle w:val="45"/>
          <w:rFonts w:hint="eastAsia" w:ascii="Times New Roman" w:hAnsi="Times New Roman"/>
        </w:rPr>
        <w:t>表32 数据集示例</w:t>
      </w:r>
      <w:r>
        <w:rPr>
          <w:rFonts w:hint="eastAsia"/>
        </w:rPr>
        <w:tab/>
      </w:r>
      <w:r>
        <w:rPr>
          <w:rFonts w:hint="eastAsia"/>
        </w:rPr>
        <w:fldChar w:fldCharType="begin"/>
      </w:r>
      <w:r>
        <w:rPr>
          <w:rFonts w:hint="eastAsia"/>
        </w:rPr>
        <w:instrText xml:space="preserve"> </w:instrText>
      </w:r>
      <w:r>
        <w:instrText xml:space="preserve">PAGEREF _Toc221893169 \h</w:instrText>
      </w:r>
      <w:r>
        <w:rPr>
          <w:rFonts w:hint="eastAsia"/>
        </w:rPr>
        <w:instrText xml:space="preserve"> </w:instrText>
      </w:r>
      <w:r>
        <w:rPr>
          <w:rFonts w:hint="eastAsia"/>
        </w:rPr>
        <w:fldChar w:fldCharType="separate"/>
      </w:r>
      <w:r>
        <w:t>262</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"_Toc221893170" </w:instrText>
      </w:r>
      <w:r>
        <w:fldChar w:fldCharType="separate"/>
      </w:r>
      <w:r>
        <w:rPr>
          <w:rStyle w:val="45"/>
          <w:rFonts w:hint="eastAsia" w:ascii="Times New Roman" w:hAnsi="Times New Roman"/>
        </w:rPr>
        <w:t>表33 大模型整体能力对比(SuperCLUE 2025年11月)</w:t>
      </w:r>
      <w:r>
        <w:rPr>
          <w:rFonts w:hint="eastAsia"/>
        </w:rPr>
        <w:tab/>
      </w:r>
      <w:r>
        <w:rPr>
          <w:rFonts w:hint="eastAsia"/>
        </w:rPr>
        <w:fldChar w:fldCharType="begin"/>
      </w:r>
      <w:r>
        <w:rPr>
          <w:rFonts w:hint="eastAsia"/>
        </w:rPr>
        <w:instrText xml:space="preserve"> </w:instrText>
      </w:r>
      <w:r>
        <w:instrText xml:space="preserve">PAGEREF _Toc221893170 \h</w:instrText>
      </w:r>
      <w:r>
        <w:rPr>
          <w:rFonts w:hint="eastAsia"/>
        </w:rPr>
        <w:instrText xml:space="preserve"> </w:instrText>
      </w:r>
      <w:r>
        <w:rPr>
          <w:rFonts w:hint="eastAsia"/>
        </w:rPr>
        <w:fldChar w:fldCharType="separate"/>
      </w:r>
      <w:r>
        <w:t>275</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"_Toc221893171" </w:instrText>
      </w:r>
      <w:r>
        <w:fldChar w:fldCharType="separate"/>
      </w:r>
      <w:r>
        <w:rPr>
          <w:rStyle w:val="45"/>
          <w:rFonts w:hint="eastAsia" w:ascii="Times New Roman" w:hAnsi="Times New Roman"/>
        </w:rPr>
        <w:t>表34 模型架构模块表（百亿级参数大模型为例）</w:t>
      </w:r>
      <w:r>
        <w:rPr>
          <w:rFonts w:hint="eastAsia"/>
        </w:rPr>
        <w:tab/>
      </w:r>
      <w:r>
        <w:rPr>
          <w:rFonts w:hint="eastAsia"/>
        </w:rPr>
        <w:fldChar w:fldCharType="begin"/>
      </w:r>
      <w:r>
        <w:rPr>
          <w:rFonts w:hint="eastAsia"/>
        </w:rPr>
        <w:instrText xml:space="preserve"> </w:instrText>
      </w:r>
      <w:r>
        <w:instrText xml:space="preserve">PAGEREF _Toc221893171 \h</w:instrText>
      </w:r>
      <w:r>
        <w:rPr>
          <w:rFonts w:hint="eastAsia"/>
        </w:rPr>
        <w:instrText xml:space="preserve"> </w:instrText>
      </w:r>
      <w:r>
        <w:rPr>
          <w:rFonts w:hint="eastAsia"/>
        </w:rPr>
        <w:fldChar w:fldCharType="separate"/>
      </w:r>
      <w:r>
        <w:t>276</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"_Toc221893172" </w:instrText>
      </w:r>
      <w:r>
        <w:fldChar w:fldCharType="separate"/>
      </w:r>
      <w:r>
        <w:rPr>
          <w:rStyle w:val="45"/>
          <w:rFonts w:hint="eastAsia" w:ascii="Times New Roman" w:hAnsi="Times New Roman"/>
        </w:rPr>
        <w:t>表35 行业大模型任务</w:t>
      </w:r>
      <w:r>
        <w:rPr>
          <w:rFonts w:hint="eastAsia"/>
        </w:rPr>
        <w:tab/>
      </w:r>
      <w:r>
        <w:rPr>
          <w:rFonts w:hint="eastAsia"/>
        </w:rPr>
        <w:fldChar w:fldCharType="begin"/>
      </w:r>
      <w:r>
        <w:rPr>
          <w:rFonts w:hint="eastAsia"/>
        </w:rPr>
        <w:instrText xml:space="preserve"> </w:instrText>
      </w:r>
      <w:r>
        <w:instrText xml:space="preserve">PAGEREF _Toc221893172 \h</w:instrText>
      </w:r>
      <w:r>
        <w:rPr>
          <w:rFonts w:hint="eastAsia"/>
        </w:rPr>
        <w:instrText xml:space="preserve"> </w:instrText>
      </w:r>
      <w:r>
        <w:rPr>
          <w:rFonts w:hint="eastAsia"/>
        </w:rPr>
        <w:fldChar w:fldCharType="separate"/>
      </w:r>
      <w:r>
        <w:t>281</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"_Toc221893173" </w:instrText>
      </w:r>
      <w:r>
        <w:fldChar w:fldCharType="separate"/>
      </w:r>
      <w:r>
        <w:rPr>
          <w:rStyle w:val="45"/>
          <w:rFonts w:hint="eastAsia" w:ascii="Times New Roman" w:hAnsi="Times New Roman"/>
        </w:rPr>
        <w:t>表36 细分场景应用模型清单</w:t>
      </w:r>
      <w:r>
        <w:rPr>
          <w:rFonts w:hint="eastAsia"/>
        </w:rPr>
        <w:tab/>
      </w:r>
      <w:r>
        <w:rPr>
          <w:rFonts w:hint="eastAsia"/>
        </w:rPr>
        <w:fldChar w:fldCharType="begin"/>
      </w:r>
      <w:r>
        <w:rPr>
          <w:rFonts w:hint="eastAsia"/>
        </w:rPr>
        <w:instrText xml:space="preserve"> </w:instrText>
      </w:r>
      <w:r>
        <w:instrText xml:space="preserve">PAGEREF _Toc221893173 \h</w:instrText>
      </w:r>
      <w:r>
        <w:rPr>
          <w:rFonts w:hint="eastAsia"/>
        </w:rPr>
        <w:instrText xml:space="preserve"> </w:instrText>
      </w:r>
      <w:r>
        <w:rPr>
          <w:rFonts w:hint="eastAsia"/>
        </w:rPr>
        <w:fldChar w:fldCharType="separate"/>
      </w:r>
      <w:r>
        <w:t>293</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"_Toc221893174" </w:instrText>
      </w:r>
      <w:r>
        <w:fldChar w:fldCharType="separate"/>
      </w:r>
      <w:r>
        <w:rPr>
          <w:rStyle w:val="45"/>
          <w:rFonts w:hint="eastAsia" w:ascii="Times New Roman" w:hAnsi="Times New Roman"/>
        </w:rPr>
        <w:t>表37 智慧安防人工智能技术标准及规范清单</w:t>
      </w:r>
      <w:r>
        <w:rPr>
          <w:rFonts w:hint="eastAsia"/>
        </w:rPr>
        <w:tab/>
      </w:r>
      <w:r>
        <w:rPr>
          <w:rFonts w:hint="eastAsia"/>
        </w:rPr>
        <w:fldChar w:fldCharType="begin"/>
      </w:r>
      <w:r>
        <w:rPr>
          <w:rFonts w:hint="eastAsia"/>
        </w:rPr>
        <w:instrText xml:space="preserve"> </w:instrText>
      </w:r>
      <w:r>
        <w:instrText xml:space="preserve">PAGEREF _Toc221893174 \h</w:instrText>
      </w:r>
      <w:r>
        <w:rPr>
          <w:rFonts w:hint="eastAsia"/>
        </w:rPr>
        <w:instrText xml:space="preserve"> </w:instrText>
      </w:r>
      <w:r>
        <w:rPr>
          <w:rFonts w:hint="eastAsia"/>
        </w:rPr>
        <w:fldChar w:fldCharType="separate"/>
      </w:r>
      <w:r>
        <w:t>360</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"_Toc221893175" </w:instrText>
      </w:r>
      <w:r>
        <w:fldChar w:fldCharType="separate"/>
      </w:r>
      <w:r>
        <w:rPr>
          <w:rStyle w:val="45"/>
          <w:rFonts w:hint="eastAsia" w:ascii="Times New Roman" w:hAnsi="Times New Roman"/>
        </w:rPr>
        <w:t>表38 AI训推服务器产品NPU芯片的性能参数对比</w:t>
      </w:r>
      <w:r>
        <w:rPr>
          <w:rFonts w:hint="eastAsia"/>
        </w:rPr>
        <w:tab/>
      </w:r>
      <w:r>
        <w:rPr>
          <w:rFonts w:hint="eastAsia"/>
        </w:rPr>
        <w:fldChar w:fldCharType="begin"/>
      </w:r>
      <w:r>
        <w:rPr>
          <w:rFonts w:hint="eastAsia"/>
        </w:rPr>
        <w:instrText xml:space="preserve"> </w:instrText>
      </w:r>
      <w:r>
        <w:instrText xml:space="preserve">PAGEREF _Toc221893175 \h</w:instrText>
      </w:r>
      <w:r>
        <w:rPr>
          <w:rFonts w:hint="eastAsia"/>
        </w:rPr>
        <w:instrText xml:space="preserve"> </w:instrText>
      </w:r>
      <w:r>
        <w:rPr>
          <w:rFonts w:hint="eastAsia"/>
        </w:rPr>
        <w:fldChar w:fldCharType="separate"/>
      </w:r>
      <w:r>
        <w:t>372</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"_Toc221893176" </w:instrText>
      </w:r>
      <w:r>
        <w:fldChar w:fldCharType="separate"/>
      </w:r>
      <w:r>
        <w:rPr>
          <w:rStyle w:val="45"/>
          <w:rFonts w:hint="eastAsia" w:ascii="Times New Roman" w:hAnsi="Times New Roman"/>
        </w:rPr>
        <w:t>表39 AI训推服务器主要性能与技术指标</w:t>
      </w:r>
      <w:r>
        <w:rPr>
          <w:rFonts w:hint="eastAsia"/>
        </w:rPr>
        <w:tab/>
      </w:r>
      <w:r>
        <w:rPr>
          <w:rFonts w:hint="eastAsia"/>
        </w:rPr>
        <w:fldChar w:fldCharType="begin"/>
      </w:r>
      <w:r>
        <w:rPr>
          <w:rFonts w:hint="eastAsia"/>
        </w:rPr>
        <w:instrText xml:space="preserve"> </w:instrText>
      </w:r>
      <w:r>
        <w:instrText xml:space="preserve">PAGEREF _Toc221893176 \h</w:instrText>
      </w:r>
      <w:r>
        <w:rPr>
          <w:rFonts w:hint="eastAsia"/>
        </w:rPr>
        <w:instrText xml:space="preserve"> </w:instrText>
      </w:r>
      <w:r>
        <w:rPr>
          <w:rFonts w:hint="eastAsia"/>
        </w:rPr>
        <w:fldChar w:fldCharType="separate"/>
      </w:r>
      <w:r>
        <w:t>373</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"_Toc221893177" </w:instrText>
      </w:r>
      <w:r>
        <w:fldChar w:fldCharType="separate"/>
      </w:r>
      <w:r>
        <w:rPr>
          <w:rStyle w:val="45"/>
          <w:rFonts w:hint="eastAsia" w:ascii="Times New Roman" w:hAnsi="Times New Roman"/>
        </w:rPr>
        <w:t>表40 华为OceanStor Pacific 9550基本参数</w:t>
      </w:r>
      <w:r>
        <w:rPr>
          <w:rFonts w:hint="eastAsia"/>
        </w:rPr>
        <w:tab/>
      </w:r>
      <w:r>
        <w:rPr>
          <w:rFonts w:hint="eastAsia"/>
        </w:rPr>
        <w:fldChar w:fldCharType="begin"/>
      </w:r>
      <w:r>
        <w:rPr>
          <w:rFonts w:hint="eastAsia"/>
        </w:rPr>
        <w:instrText xml:space="preserve"> </w:instrText>
      </w:r>
      <w:r>
        <w:instrText xml:space="preserve">PAGEREF _Toc221893177 \h</w:instrText>
      </w:r>
      <w:r>
        <w:rPr>
          <w:rFonts w:hint="eastAsia"/>
        </w:rPr>
        <w:instrText xml:space="preserve"> </w:instrText>
      </w:r>
      <w:r>
        <w:rPr>
          <w:rFonts w:hint="eastAsia"/>
        </w:rPr>
        <w:fldChar w:fldCharType="separate"/>
      </w:r>
      <w:r>
        <w:t>383</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"_Toc221893178" </w:instrText>
      </w:r>
      <w:r>
        <w:fldChar w:fldCharType="separate"/>
      </w:r>
      <w:r>
        <w:rPr>
          <w:rStyle w:val="45"/>
          <w:rFonts w:hint="eastAsia" w:ascii="Times New Roman" w:hAnsi="Times New Roman"/>
        </w:rPr>
        <w:t>表41 浪潮AS13000G7基本参数</w:t>
      </w:r>
      <w:r>
        <w:rPr>
          <w:rFonts w:hint="eastAsia"/>
        </w:rPr>
        <w:tab/>
      </w:r>
      <w:r>
        <w:rPr>
          <w:rFonts w:hint="eastAsia"/>
        </w:rPr>
        <w:fldChar w:fldCharType="begin"/>
      </w:r>
      <w:r>
        <w:rPr>
          <w:rFonts w:hint="eastAsia"/>
        </w:rPr>
        <w:instrText xml:space="preserve"> </w:instrText>
      </w:r>
      <w:r>
        <w:instrText xml:space="preserve">PAGEREF _Toc221893178 \h</w:instrText>
      </w:r>
      <w:r>
        <w:rPr>
          <w:rFonts w:hint="eastAsia"/>
        </w:rPr>
        <w:instrText xml:space="preserve"> </w:instrText>
      </w:r>
      <w:r>
        <w:rPr>
          <w:rFonts w:hint="eastAsia"/>
        </w:rPr>
        <w:fldChar w:fldCharType="separate"/>
      </w:r>
      <w:r>
        <w:t>384</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"_Toc221893179" </w:instrText>
      </w:r>
      <w:r>
        <w:fldChar w:fldCharType="separate"/>
      </w:r>
      <w:r>
        <w:rPr>
          <w:rStyle w:val="45"/>
          <w:rFonts w:hint="eastAsia" w:ascii="Times New Roman" w:hAnsi="Times New Roman"/>
        </w:rPr>
        <w:t>表42 H3C UniStor X10000基本参数</w:t>
      </w:r>
      <w:r>
        <w:rPr>
          <w:rFonts w:hint="eastAsia"/>
        </w:rPr>
        <w:tab/>
      </w:r>
      <w:r>
        <w:rPr>
          <w:rFonts w:hint="eastAsia"/>
        </w:rPr>
        <w:fldChar w:fldCharType="begin"/>
      </w:r>
      <w:r>
        <w:rPr>
          <w:rFonts w:hint="eastAsia"/>
        </w:rPr>
        <w:instrText xml:space="preserve"> </w:instrText>
      </w:r>
      <w:r>
        <w:instrText xml:space="preserve">PAGEREF _Toc221893179 \h</w:instrText>
      </w:r>
      <w:r>
        <w:rPr>
          <w:rFonts w:hint="eastAsia"/>
        </w:rPr>
        <w:instrText xml:space="preserve"> </w:instrText>
      </w:r>
      <w:r>
        <w:rPr>
          <w:rFonts w:hint="eastAsia"/>
        </w:rPr>
        <w:fldChar w:fldCharType="separate"/>
      </w:r>
      <w:r>
        <w:t>385</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"_Toc221893180" </w:instrText>
      </w:r>
      <w:r>
        <w:fldChar w:fldCharType="separate"/>
      </w:r>
      <w:r>
        <w:rPr>
          <w:rStyle w:val="45"/>
          <w:rFonts w:hint="eastAsia" w:ascii="Times New Roman" w:hAnsi="Times New Roman"/>
        </w:rPr>
        <w:t>表43 训练区视频图像存储（混闪）选型基本参数比较</w:t>
      </w:r>
      <w:r>
        <w:rPr>
          <w:rFonts w:hint="eastAsia"/>
        </w:rPr>
        <w:tab/>
      </w:r>
      <w:r>
        <w:rPr>
          <w:rFonts w:hint="eastAsia"/>
        </w:rPr>
        <w:fldChar w:fldCharType="begin"/>
      </w:r>
      <w:r>
        <w:rPr>
          <w:rFonts w:hint="eastAsia"/>
        </w:rPr>
        <w:instrText xml:space="preserve"> </w:instrText>
      </w:r>
      <w:r>
        <w:instrText xml:space="preserve">PAGEREF _Toc221893180 \h</w:instrText>
      </w:r>
      <w:r>
        <w:rPr>
          <w:rFonts w:hint="eastAsia"/>
        </w:rPr>
        <w:instrText xml:space="preserve"> </w:instrText>
      </w:r>
      <w:r>
        <w:rPr>
          <w:rFonts w:hint="eastAsia"/>
        </w:rPr>
        <w:fldChar w:fldCharType="separate"/>
      </w:r>
      <w:r>
        <w:t>386</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"_Toc221893181" </w:instrText>
      </w:r>
      <w:r>
        <w:fldChar w:fldCharType="separate"/>
      </w:r>
      <w:r>
        <w:rPr>
          <w:rStyle w:val="45"/>
          <w:rFonts w:hint="eastAsia" w:ascii="Times New Roman" w:hAnsi="Times New Roman"/>
        </w:rPr>
        <w:t>表44 大模型整体能力对比（SuperCLUE 2025年11月）</w:t>
      </w:r>
      <w:r>
        <w:rPr>
          <w:rFonts w:hint="eastAsia"/>
        </w:rPr>
        <w:tab/>
      </w:r>
      <w:r>
        <w:rPr>
          <w:rFonts w:hint="eastAsia"/>
        </w:rPr>
        <w:fldChar w:fldCharType="begin"/>
      </w:r>
      <w:r>
        <w:rPr>
          <w:rFonts w:hint="eastAsia"/>
        </w:rPr>
        <w:instrText xml:space="preserve"> </w:instrText>
      </w:r>
      <w:r>
        <w:instrText xml:space="preserve">PAGEREF _Toc221893181 \h</w:instrText>
      </w:r>
      <w:r>
        <w:rPr>
          <w:rFonts w:hint="eastAsia"/>
        </w:rPr>
        <w:instrText xml:space="preserve"> </w:instrText>
      </w:r>
      <w:r>
        <w:rPr>
          <w:rFonts w:hint="eastAsia"/>
        </w:rPr>
        <w:fldChar w:fldCharType="separate"/>
      </w:r>
      <w:r>
        <w:t>397</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"_Toc221893182" </w:instrText>
      </w:r>
      <w:r>
        <w:fldChar w:fldCharType="separate"/>
      </w:r>
      <w:r>
        <w:rPr>
          <w:rStyle w:val="45"/>
          <w:rFonts w:hint="eastAsia" w:ascii="Times New Roman" w:hAnsi="Times New Roman"/>
        </w:rPr>
        <w:t>表45 基础大模型产品综合能力对比</w:t>
      </w:r>
      <w:r>
        <w:rPr>
          <w:rFonts w:hint="eastAsia"/>
        </w:rPr>
        <w:tab/>
      </w:r>
      <w:r>
        <w:rPr>
          <w:rFonts w:hint="eastAsia"/>
        </w:rPr>
        <w:fldChar w:fldCharType="begin"/>
      </w:r>
      <w:r>
        <w:rPr>
          <w:rFonts w:hint="eastAsia"/>
        </w:rPr>
        <w:instrText xml:space="preserve"> </w:instrText>
      </w:r>
      <w:r>
        <w:instrText xml:space="preserve">PAGEREF _Toc221893182 \h</w:instrText>
      </w:r>
      <w:r>
        <w:rPr>
          <w:rFonts w:hint="eastAsia"/>
        </w:rPr>
        <w:instrText xml:space="preserve"> </w:instrText>
      </w:r>
      <w:r>
        <w:rPr>
          <w:rFonts w:hint="eastAsia"/>
        </w:rPr>
        <w:fldChar w:fldCharType="separate"/>
      </w:r>
      <w:r>
        <w:t>399</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"_Toc221893183" </w:instrText>
      </w:r>
      <w:r>
        <w:fldChar w:fldCharType="separate"/>
      </w:r>
      <w:r>
        <w:rPr>
          <w:rStyle w:val="45"/>
          <w:rFonts w:hint="eastAsia" w:ascii="Times New Roman" w:hAnsi="Times New Roman"/>
        </w:rPr>
        <w:t>表46 应用示范清单</w:t>
      </w:r>
      <w:r>
        <w:rPr>
          <w:rFonts w:hint="eastAsia"/>
        </w:rPr>
        <w:tab/>
      </w:r>
      <w:r>
        <w:rPr>
          <w:rFonts w:hint="eastAsia"/>
        </w:rPr>
        <w:fldChar w:fldCharType="begin"/>
      </w:r>
      <w:r>
        <w:rPr>
          <w:rFonts w:hint="eastAsia"/>
        </w:rPr>
        <w:instrText xml:space="preserve"> </w:instrText>
      </w:r>
      <w:r>
        <w:instrText xml:space="preserve">PAGEREF _Toc221893183 \h</w:instrText>
      </w:r>
      <w:r>
        <w:rPr>
          <w:rFonts w:hint="eastAsia"/>
        </w:rPr>
        <w:instrText xml:space="preserve"> </w:instrText>
      </w:r>
      <w:r>
        <w:rPr>
          <w:rFonts w:hint="eastAsia"/>
        </w:rPr>
        <w:fldChar w:fldCharType="separate"/>
      </w:r>
      <w:r>
        <w:t>432</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"_Toc221893184" </w:instrText>
      </w:r>
      <w:r>
        <w:fldChar w:fldCharType="separate"/>
      </w:r>
      <w:r>
        <w:rPr>
          <w:rStyle w:val="45"/>
          <w:rFonts w:hint="eastAsia" w:ascii="Times New Roman" w:hAnsi="Times New Roman"/>
        </w:rPr>
        <w:t>表47 机动车违法行为识别</w:t>
      </w:r>
      <w:r>
        <w:rPr>
          <w:rFonts w:hint="eastAsia"/>
        </w:rPr>
        <w:tab/>
      </w:r>
      <w:r>
        <w:rPr>
          <w:rFonts w:hint="eastAsia"/>
        </w:rPr>
        <w:fldChar w:fldCharType="begin"/>
      </w:r>
      <w:r>
        <w:rPr>
          <w:rFonts w:hint="eastAsia"/>
        </w:rPr>
        <w:instrText xml:space="preserve"> </w:instrText>
      </w:r>
      <w:r>
        <w:instrText xml:space="preserve">PAGEREF _Toc221893184 \h</w:instrText>
      </w:r>
      <w:r>
        <w:rPr>
          <w:rFonts w:hint="eastAsia"/>
        </w:rPr>
        <w:instrText xml:space="preserve"> </w:instrText>
      </w:r>
      <w:r>
        <w:rPr>
          <w:rFonts w:hint="eastAsia"/>
        </w:rPr>
        <w:fldChar w:fldCharType="separate"/>
      </w:r>
      <w:r>
        <w:t>445</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"_Toc221893185" </w:instrText>
      </w:r>
      <w:r>
        <w:fldChar w:fldCharType="separate"/>
      </w:r>
      <w:r>
        <w:rPr>
          <w:rStyle w:val="45"/>
          <w:rFonts w:hint="eastAsia" w:ascii="Times New Roman" w:hAnsi="Times New Roman"/>
        </w:rPr>
        <w:t>表48 非机动车违法行为识别</w:t>
      </w:r>
      <w:r>
        <w:rPr>
          <w:rFonts w:hint="eastAsia"/>
        </w:rPr>
        <w:tab/>
      </w:r>
      <w:r>
        <w:rPr>
          <w:rFonts w:hint="eastAsia"/>
        </w:rPr>
        <w:fldChar w:fldCharType="begin"/>
      </w:r>
      <w:r>
        <w:rPr>
          <w:rFonts w:hint="eastAsia"/>
        </w:rPr>
        <w:instrText xml:space="preserve"> </w:instrText>
      </w:r>
      <w:r>
        <w:instrText xml:space="preserve">PAGEREF _Toc221893185 \h</w:instrText>
      </w:r>
      <w:r>
        <w:rPr>
          <w:rFonts w:hint="eastAsia"/>
        </w:rPr>
        <w:instrText xml:space="preserve"> </w:instrText>
      </w:r>
      <w:r>
        <w:rPr>
          <w:rFonts w:hint="eastAsia"/>
        </w:rPr>
        <w:fldChar w:fldCharType="separate"/>
      </w:r>
      <w:r>
        <w:t>446</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"_Toc221893186" </w:instrText>
      </w:r>
      <w:r>
        <w:fldChar w:fldCharType="separate"/>
      </w:r>
      <w:r>
        <w:rPr>
          <w:rStyle w:val="45"/>
          <w:rFonts w:hint="eastAsia" w:ascii="Times New Roman" w:hAnsi="Times New Roman"/>
        </w:rPr>
        <w:t>表49 交通隐患事件识别</w:t>
      </w:r>
      <w:r>
        <w:rPr>
          <w:rFonts w:hint="eastAsia"/>
        </w:rPr>
        <w:tab/>
      </w:r>
      <w:r>
        <w:rPr>
          <w:rFonts w:hint="eastAsia"/>
        </w:rPr>
        <w:fldChar w:fldCharType="begin"/>
      </w:r>
      <w:r>
        <w:rPr>
          <w:rFonts w:hint="eastAsia"/>
        </w:rPr>
        <w:instrText xml:space="preserve"> </w:instrText>
      </w:r>
      <w:r>
        <w:instrText xml:space="preserve">PAGEREF _Toc221893186 \h</w:instrText>
      </w:r>
      <w:r>
        <w:rPr>
          <w:rFonts w:hint="eastAsia"/>
        </w:rPr>
        <w:instrText xml:space="preserve"> </w:instrText>
      </w:r>
      <w:r>
        <w:rPr>
          <w:rFonts w:hint="eastAsia"/>
        </w:rPr>
        <w:fldChar w:fldCharType="separate"/>
      </w:r>
      <w:r>
        <w:t>447</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"_Toc221893187" </w:instrText>
      </w:r>
      <w:r>
        <w:fldChar w:fldCharType="separate"/>
      </w:r>
      <w:r>
        <w:rPr>
          <w:rStyle w:val="45"/>
          <w:rFonts w:hint="eastAsia" w:ascii="Times New Roman" w:hAnsi="Times New Roman"/>
        </w:rPr>
        <w:t>表50 交通秩序事件</w:t>
      </w:r>
      <w:r>
        <w:rPr>
          <w:rFonts w:hint="eastAsia"/>
        </w:rPr>
        <w:tab/>
      </w:r>
      <w:r>
        <w:rPr>
          <w:rFonts w:hint="eastAsia"/>
        </w:rPr>
        <w:fldChar w:fldCharType="begin"/>
      </w:r>
      <w:r>
        <w:rPr>
          <w:rFonts w:hint="eastAsia"/>
        </w:rPr>
        <w:instrText xml:space="preserve"> </w:instrText>
      </w:r>
      <w:r>
        <w:instrText xml:space="preserve">PAGEREF _Toc221893187 \h</w:instrText>
      </w:r>
      <w:r>
        <w:rPr>
          <w:rFonts w:hint="eastAsia"/>
        </w:rPr>
        <w:instrText xml:space="preserve"> </w:instrText>
      </w:r>
      <w:r>
        <w:rPr>
          <w:rFonts w:hint="eastAsia"/>
        </w:rPr>
        <w:fldChar w:fldCharType="separate"/>
      </w:r>
      <w:r>
        <w:t>448</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"_Toc221893188" </w:instrText>
      </w:r>
      <w:r>
        <w:fldChar w:fldCharType="separate"/>
      </w:r>
      <w:r>
        <w:rPr>
          <w:rStyle w:val="45"/>
          <w:rFonts w:hint="eastAsia" w:ascii="Times New Roman" w:hAnsi="Times New Roman"/>
        </w:rPr>
        <w:t>表51 场景应用开放清单</w:t>
      </w:r>
      <w:r>
        <w:rPr>
          <w:rFonts w:hint="eastAsia"/>
        </w:rPr>
        <w:tab/>
      </w:r>
      <w:r>
        <w:rPr>
          <w:rFonts w:hint="eastAsia"/>
        </w:rPr>
        <w:fldChar w:fldCharType="begin"/>
      </w:r>
      <w:r>
        <w:rPr>
          <w:rFonts w:hint="eastAsia"/>
        </w:rPr>
        <w:instrText xml:space="preserve"> </w:instrText>
      </w:r>
      <w:r>
        <w:instrText xml:space="preserve">PAGEREF _Toc221893188 \h</w:instrText>
      </w:r>
      <w:r>
        <w:rPr>
          <w:rFonts w:hint="eastAsia"/>
        </w:rPr>
        <w:instrText xml:space="preserve"> </w:instrText>
      </w:r>
      <w:r>
        <w:rPr>
          <w:rFonts w:hint="eastAsia"/>
        </w:rPr>
        <w:fldChar w:fldCharType="separate"/>
      </w:r>
      <w:r>
        <w:t>476</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"_Toc221893189" </w:instrText>
      </w:r>
      <w:r>
        <w:fldChar w:fldCharType="separate"/>
      </w:r>
      <w:r>
        <w:rPr>
          <w:rStyle w:val="45"/>
          <w:rFonts w:hint="eastAsia" w:ascii="Times New Roman" w:hAnsi="Times New Roman"/>
        </w:rPr>
        <w:t>表52 高质量语料数据集共享清单</w:t>
      </w:r>
      <w:r>
        <w:rPr>
          <w:rFonts w:hint="eastAsia"/>
        </w:rPr>
        <w:tab/>
      </w:r>
      <w:r>
        <w:rPr>
          <w:rFonts w:hint="eastAsia"/>
        </w:rPr>
        <w:fldChar w:fldCharType="begin"/>
      </w:r>
      <w:r>
        <w:rPr>
          <w:rFonts w:hint="eastAsia"/>
        </w:rPr>
        <w:instrText xml:space="preserve"> </w:instrText>
      </w:r>
      <w:r>
        <w:instrText xml:space="preserve">PAGEREF _Toc221893189 \h</w:instrText>
      </w:r>
      <w:r>
        <w:rPr>
          <w:rFonts w:hint="eastAsia"/>
        </w:rPr>
        <w:instrText xml:space="preserve"> </w:instrText>
      </w:r>
      <w:r>
        <w:rPr>
          <w:rFonts w:hint="eastAsia"/>
        </w:rPr>
        <w:fldChar w:fldCharType="separate"/>
      </w:r>
      <w:r>
        <w:t>486</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"_Toc221893190" </w:instrText>
      </w:r>
      <w:r>
        <w:fldChar w:fldCharType="separate"/>
      </w:r>
      <w:r>
        <w:rPr>
          <w:rStyle w:val="45"/>
          <w:rFonts w:hint="eastAsia" w:ascii="Times New Roman" w:hAnsi="Times New Roman"/>
        </w:rPr>
        <w:t>表53 能力开放清单</w:t>
      </w:r>
      <w:r>
        <w:rPr>
          <w:rFonts w:hint="eastAsia"/>
        </w:rPr>
        <w:tab/>
      </w:r>
      <w:r>
        <w:rPr>
          <w:rFonts w:hint="eastAsia"/>
        </w:rPr>
        <w:fldChar w:fldCharType="begin"/>
      </w:r>
      <w:r>
        <w:rPr>
          <w:rFonts w:hint="eastAsia"/>
        </w:rPr>
        <w:instrText xml:space="preserve"> </w:instrText>
      </w:r>
      <w:r>
        <w:instrText xml:space="preserve">PAGEREF _Toc221893190 \h</w:instrText>
      </w:r>
      <w:r>
        <w:rPr>
          <w:rFonts w:hint="eastAsia"/>
        </w:rPr>
        <w:instrText xml:space="preserve"> </w:instrText>
      </w:r>
      <w:r>
        <w:rPr>
          <w:rFonts w:hint="eastAsia"/>
        </w:rPr>
        <w:fldChar w:fldCharType="separate"/>
      </w:r>
      <w:r>
        <w:t>488</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"_Toc221893191" </w:instrText>
      </w:r>
      <w:r>
        <w:fldChar w:fldCharType="separate"/>
      </w:r>
      <w:r>
        <w:rPr>
          <w:rStyle w:val="45"/>
          <w:rFonts w:hint="eastAsia" w:ascii="Times New Roman" w:hAnsi="Times New Roman"/>
        </w:rPr>
        <w:t>表54 基地项目招标情况表</w:t>
      </w:r>
      <w:r>
        <w:rPr>
          <w:rFonts w:hint="eastAsia"/>
        </w:rPr>
        <w:tab/>
      </w:r>
      <w:r>
        <w:rPr>
          <w:rFonts w:hint="eastAsia"/>
        </w:rPr>
        <w:fldChar w:fldCharType="begin"/>
      </w:r>
      <w:r>
        <w:rPr>
          <w:rFonts w:hint="eastAsia"/>
        </w:rPr>
        <w:instrText xml:space="preserve"> </w:instrText>
      </w:r>
      <w:r>
        <w:instrText xml:space="preserve">PAGEREF _Toc221893191 \h</w:instrText>
      </w:r>
      <w:r>
        <w:rPr>
          <w:rFonts w:hint="eastAsia"/>
        </w:rPr>
        <w:instrText xml:space="preserve"> </w:instrText>
      </w:r>
      <w:r>
        <w:rPr>
          <w:rFonts w:hint="eastAsia"/>
        </w:rPr>
        <w:fldChar w:fldCharType="separate"/>
      </w:r>
      <w:r>
        <w:t>509</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"_Toc221893192" </w:instrText>
      </w:r>
      <w:r>
        <w:fldChar w:fldCharType="separate"/>
      </w:r>
      <w:r>
        <w:rPr>
          <w:rStyle w:val="45"/>
          <w:rFonts w:hint="eastAsia" w:ascii="Times New Roman" w:hAnsi="Times New Roman"/>
        </w:rPr>
        <w:t>表55 营收方式以及试用服务一览</w:t>
      </w:r>
      <w:r>
        <w:rPr>
          <w:rFonts w:hint="eastAsia"/>
        </w:rPr>
        <w:tab/>
      </w:r>
      <w:r>
        <w:rPr>
          <w:rFonts w:hint="eastAsia"/>
        </w:rPr>
        <w:fldChar w:fldCharType="begin"/>
      </w:r>
      <w:r>
        <w:rPr>
          <w:rFonts w:hint="eastAsia"/>
        </w:rPr>
        <w:instrText xml:space="preserve"> </w:instrText>
      </w:r>
      <w:r>
        <w:instrText xml:space="preserve">PAGEREF _Toc221893192 \h</w:instrText>
      </w:r>
      <w:r>
        <w:rPr>
          <w:rFonts w:hint="eastAsia"/>
        </w:rPr>
        <w:instrText xml:space="preserve"> </w:instrText>
      </w:r>
      <w:r>
        <w:rPr>
          <w:rFonts w:hint="eastAsia"/>
        </w:rPr>
        <w:fldChar w:fldCharType="separate"/>
      </w:r>
      <w:r>
        <w:t>564</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"_Toc221893193" </w:instrText>
      </w:r>
      <w:r>
        <w:fldChar w:fldCharType="separate"/>
      </w:r>
      <w:r>
        <w:rPr>
          <w:rStyle w:val="45"/>
          <w:rFonts w:hint="eastAsia" w:ascii="Times New Roman" w:hAnsi="Times New Roman"/>
        </w:rPr>
        <w:t>表56 项目总投资估算表</w:t>
      </w:r>
      <w:r>
        <w:rPr>
          <w:rFonts w:hint="eastAsia"/>
        </w:rPr>
        <w:tab/>
      </w:r>
      <w:r>
        <w:rPr>
          <w:rFonts w:hint="eastAsia"/>
        </w:rPr>
        <w:fldChar w:fldCharType="begin"/>
      </w:r>
      <w:r>
        <w:rPr>
          <w:rFonts w:hint="eastAsia"/>
        </w:rPr>
        <w:instrText xml:space="preserve"> </w:instrText>
      </w:r>
      <w:r>
        <w:instrText xml:space="preserve">PAGEREF _Toc221893193 \h</w:instrText>
      </w:r>
      <w:r>
        <w:rPr>
          <w:rFonts w:hint="eastAsia"/>
        </w:rPr>
        <w:instrText xml:space="preserve"> </w:instrText>
      </w:r>
      <w:r>
        <w:rPr>
          <w:rFonts w:hint="eastAsia"/>
        </w:rPr>
        <w:fldChar w:fldCharType="separate"/>
      </w:r>
      <w:r>
        <w:t>576</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"_Toc221893194" </w:instrText>
      </w:r>
      <w:r>
        <w:fldChar w:fldCharType="separate"/>
      </w:r>
      <w:r>
        <w:rPr>
          <w:rStyle w:val="45"/>
          <w:rFonts w:hint="eastAsia" w:ascii="Times New Roman" w:hAnsi="Times New Roman"/>
        </w:rPr>
        <w:t>表57 购置硬件设备配置表</w:t>
      </w:r>
      <w:r>
        <w:rPr>
          <w:rFonts w:hint="eastAsia"/>
        </w:rPr>
        <w:tab/>
      </w:r>
      <w:r>
        <w:rPr>
          <w:rFonts w:hint="eastAsia"/>
        </w:rPr>
        <w:fldChar w:fldCharType="begin"/>
      </w:r>
      <w:r>
        <w:rPr>
          <w:rFonts w:hint="eastAsia"/>
        </w:rPr>
        <w:instrText xml:space="preserve"> </w:instrText>
      </w:r>
      <w:r>
        <w:instrText xml:space="preserve">PAGEREF _Toc221893194 \h</w:instrText>
      </w:r>
      <w:r>
        <w:rPr>
          <w:rFonts w:hint="eastAsia"/>
        </w:rPr>
        <w:instrText xml:space="preserve"> </w:instrText>
      </w:r>
      <w:r>
        <w:rPr>
          <w:rFonts w:hint="eastAsia"/>
        </w:rPr>
        <w:fldChar w:fldCharType="separate"/>
      </w:r>
      <w:r>
        <w:t>581</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"_Toc221893195" </w:instrText>
      </w:r>
      <w:r>
        <w:fldChar w:fldCharType="separate"/>
      </w:r>
      <w:r>
        <w:rPr>
          <w:rStyle w:val="45"/>
          <w:rFonts w:hint="eastAsia" w:ascii="Times New Roman" w:hAnsi="Times New Roman"/>
        </w:rPr>
        <w:t>表58 购置软件设备配置表</w:t>
      </w:r>
      <w:r>
        <w:rPr>
          <w:rFonts w:hint="eastAsia"/>
        </w:rPr>
        <w:tab/>
      </w:r>
      <w:r>
        <w:rPr>
          <w:rFonts w:hint="eastAsia"/>
        </w:rPr>
        <w:fldChar w:fldCharType="begin"/>
      </w:r>
      <w:r>
        <w:rPr>
          <w:rFonts w:hint="eastAsia"/>
        </w:rPr>
        <w:instrText xml:space="preserve"> </w:instrText>
      </w:r>
      <w:r>
        <w:instrText xml:space="preserve">PAGEREF _Toc221893195 \h</w:instrText>
      </w:r>
      <w:r>
        <w:rPr>
          <w:rFonts w:hint="eastAsia"/>
        </w:rPr>
        <w:instrText xml:space="preserve"> </w:instrText>
      </w:r>
      <w:r>
        <w:rPr>
          <w:rFonts w:hint="eastAsia"/>
        </w:rPr>
        <w:fldChar w:fldCharType="separate"/>
      </w:r>
      <w:r>
        <w:t>614</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"_Toc221893196" </w:instrText>
      </w:r>
      <w:r>
        <w:fldChar w:fldCharType="separate"/>
      </w:r>
      <w:r>
        <w:rPr>
          <w:rStyle w:val="45"/>
          <w:rFonts w:hint="eastAsia" w:ascii="Times New Roman" w:hAnsi="Times New Roman"/>
        </w:rPr>
        <w:t>表59 应用软件定制开发费明细表</w:t>
      </w:r>
      <w:r>
        <w:rPr>
          <w:rFonts w:hint="eastAsia"/>
        </w:rPr>
        <w:tab/>
      </w:r>
      <w:r>
        <w:rPr>
          <w:rFonts w:hint="eastAsia"/>
        </w:rPr>
        <w:fldChar w:fldCharType="begin"/>
      </w:r>
      <w:r>
        <w:rPr>
          <w:rFonts w:hint="eastAsia"/>
        </w:rPr>
        <w:instrText xml:space="preserve"> </w:instrText>
      </w:r>
      <w:r>
        <w:instrText xml:space="preserve">PAGEREF _Toc221893196 \h</w:instrText>
      </w:r>
      <w:r>
        <w:rPr>
          <w:rFonts w:hint="eastAsia"/>
        </w:rPr>
        <w:instrText xml:space="preserve"> </w:instrText>
      </w:r>
      <w:r>
        <w:rPr>
          <w:rFonts w:hint="eastAsia"/>
        </w:rPr>
        <w:fldChar w:fldCharType="separate"/>
      </w:r>
      <w:r>
        <w:t>641</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"_Toc221893197" </w:instrText>
      </w:r>
      <w:r>
        <w:fldChar w:fldCharType="separate"/>
      </w:r>
      <w:r>
        <w:rPr>
          <w:rStyle w:val="45"/>
          <w:rFonts w:hint="eastAsia" w:ascii="Times New Roman" w:hAnsi="Times New Roman"/>
        </w:rPr>
        <w:t>表60 自研费用明细表</w:t>
      </w:r>
      <w:r>
        <w:rPr>
          <w:rFonts w:hint="eastAsia"/>
        </w:rPr>
        <w:tab/>
      </w:r>
      <w:r>
        <w:rPr>
          <w:rFonts w:hint="eastAsia"/>
        </w:rPr>
        <w:fldChar w:fldCharType="begin"/>
      </w:r>
      <w:r>
        <w:rPr>
          <w:rFonts w:hint="eastAsia"/>
        </w:rPr>
        <w:instrText xml:space="preserve"> </w:instrText>
      </w:r>
      <w:r>
        <w:instrText xml:space="preserve">PAGEREF _Toc221893197 \h</w:instrText>
      </w:r>
      <w:r>
        <w:rPr>
          <w:rFonts w:hint="eastAsia"/>
        </w:rPr>
        <w:instrText xml:space="preserve"> </w:instrText>
      </w:r>
      <w:r>
        <w:rPr>
          <w:rFonts w:hint="eastAsia"/>
        </w:rPr>
        <w:fldChar w:fldCharType="separate"/>
      </w:r>
      <w:r>
        <w:t>644</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"_Toc221893198" </w:instrText>
      </w:r>
      <w:r>
        <w:fldChar w:fldCharType="separate"/>
      </w:r>
      <w:r>
        <w:rPr>
          <w:rStyle w:val="45"/>
          <w:rFonts w:hint="eastAsia" w:ascii="Times New Roman" w:hAnsi="Times New Roman"/>
        </w:rPr>
        <w:t>表61 数据购置费明细表</w:t>
      </w:r>
      <w:r>
        <w:rPr>
          <w:rFonts w:hint="eastAsia"/>
        </w:rPr>
        <w:tab/>
      </w:r>
      <w:r>
        <w:rPr>
          <w:rFonts w:hint="eastAsia"/>
        </w:rPr>
        <w:fldChar w:fldCharType="begin"/>
      </w:r>
      <w:r>
        <w:rPr>
          <w:rFonts w:hint="eastAsia"/>
        </w:rPr>
        <w:instrText xml:space="preserve"> </w:instrText>
      </w:r>
      <w:r>
        <w:instrText xml:space="preserve">PAGEREF _Toc221893198 \h</w:instrText>
      </w:r>
      <w:r>
        <w:rPr>
          <w:rFonts w:hint="eastAsia"/>
        </w:rPr>
        <w:instrText xml:space="preserve"> </w:instrText>
      </w:r>
      <w:r>
        <w:rPr>
          <w:rFonts w:hint="eastAsia"/>
        </w:rPr>
        <w:fldChar w:fldCharType="separate"/>
      </w:r>
      <w:r>
        <w:t>652</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"_Toc221893199" </w:instrText>
      </w:r>
      <w:r>
        <w:fldChar w:fldCharType="separate"/>
      </w:r>
      <w:r>
        <w:rPr>
          <w:rStyle w:val="45"/>
          <w:rFonts w:hint="eastAsia" w:ascii="Times New Roman" w:hAnsi="Times New Roman"/>
        </w:rPr>
        <w:t>表62 数据定制加工费明细表</w:t>
      </w:r>
      <w:r>
        <w:rPr>
          <w:rFonts w:hint="eastAsia"/>
        </w:rPr>
        <w:tab/>
      </w:r>
      <w:r>
        <w:rPr>
          <w:rFonts w:hint="eastAsia"/>
        </w:rPr>
        <w:fldChar w:fldCharType="begin"/>
      </w:r>
      <w:r>
        <w:rPr>
          <w:rFonts w:hint="eastAsia"/>
        </w:rPr>
        <w:instrText xml:space="preserve"> </w:instrText>
      </w:r>
      <w:r>
        <w:instrText xml:space="preserve">PAGEREF _Toc221893199 \h</w:instrText>
      </w:r>
      <w:r>
        <w:rPr>
          <w:rFonts w:hint="eastAsia"/>
        </w:rPr>
        <w:instrText xml:space="preserve"> </w:instrText>
      </w:r>
      <w:r>
        <w:rPr>
          <w:rFonts w:hint="eastAsia"/>
        </w:rPr>
        <w:fldChar w:fldCharType="separate"/>
      </w:r>
      <w:r>
        <w:t>653</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"_Toc221893200" </w:instrText>
      </w:r>
      <w:r>
        <w:fldChar w:fldCharType="separate"/>
      </w:r>
      <w:r>
        <w:rPr>
          <w:rStyle w:val="45"/>
          <w:rFonts w:hint="eastAsia" w:ascii="Times New Roman" w:hAnsi="Times New Roman"/>
        </w:rPr>
        <w:t>表63 训练算力租赁预算清单</w:t>
      </w:r>
      <w:r>
        <w:rPr>
          <w:rFonts w:hint="eastAsia"/>
        </w:rPr>
        <w:tab/>
      </w:r>
      <w:r>
        <w:rPr>
          <w:rFonts w:hint="eastAsia"/>
        </w:rPr>
        <w:fldChar w:fldCharType="begin"/>
      </w:r>
      <w:r>
        <w:rPr>
          <w:rFonts w:hint="eastAsia"/>
        </w:rPr>
        <w:instrText xml:space="preserve"> </w:instrText>
      </w:r>
      <w:r>
        <w:instrText xml:space="preserve">PAGEREF _Toc221893200 \h</w:instrText>
      </w:r>
      <w:r>
        <w:rPr>
          <w:rFonts w:hint="eastAsia"/>
        </w:rPr>
        <w:instrText xml:space="preserve"> </w:instrText>
      </w:r>
      <w:r>
        <w:rPr>
          <w:rFonts w:hint="eastAsia"/>
        </w:rPr>
        <w:fldChar w:fldCharType="separate"/>
      </w:r>
      <w:r>
        <w:t>659</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"_Toc221893201" </w:instrText>
      </w:r>
      <w:r>
        <w:fldChar w:fldCharType="separate"/>
      </w:r>
      <w:r>
        <w:rPr>
          <w:rStyle w:val="45"/>
          <w:rFonts w:hint="eastAsia" w:ascii="Times New Roman" w:hAnsi="Times New Roman"/>
        </w:rPr>
        <w:t>表64 机房租赁预算清单</w:t>
      </w:r>
      <w:r>
        <w:rPr>
          <w:rFonts w:hint="eastAsia"/>
        </w:rPr>
        <w:tab/>
      </w:r>
      <w:r>
        <w:rPr>
          <w:rFonts w:hint="eastAsia"/>
        </w:rPr>
        <w:fldChar w:fldCharType="begin"/>
      </w:r>
      <w:r>
        <w:rPr>
          <w:rFonts w:hint="eastAsia"/>
        </w:rPr>
        <w:instrText xml:space="preserve"> </w:instrText>
      </w:r>
      <w:r>
        <w:instrText xml:space="preserve">PAGEREF _Toc221893201 \h</w:instrText>
      </w:r>
      <w:r>
        <w:rPr>
          <w:rFonts w:hint="eastAsia"/>
        </w:rPr>
        <w:instrText xml:space="preserve"> </w:instrText>
      </w:r>
      <w:r>
        <w:rPr>
          <w:rFonts w:hint="eastAsia"/>
        </w:rPr>
        <w:fldChar w:fldCharType="separate"/>
      </w:r>
      <w:r>
        <w:t>660</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"_Toc221893202" </w:instrText>
      </w:r>
      <w:r>
        <w:fldChar w:fldCharType="separate"/>
      </w:r>
      <w:r>
        <w:rPr>
          <w:rStyle w:val="45"/>
          <w:rFonts w:hint="eastAsia" w:ascii="Times New Roman" w:hAnsi="Times New Roman"/>
        </w:rPr>
        <w:t>表65 专用通信线路租赁预算清单</w:t>
      </w:r>
      <w:r>
        <w:rPr>
          <w:rFonts w:hint="eastAsia"/>
        </w:rPr>
        <w:tab/>
      </w:r>
      <w:r>
        <w:rPr>
          <w:rFonts w:hint="eastAsia"/>
        </w:rPr>
        <w:fldChar w:fldCharType="begin"/>
      </w:r>
      <w:r>
        <w:rPr>
          <w:rFonts w:hint="eastAsia"/>
        </w:rPr>
        <w:instrText xml:space="preserve"> </w:instrText>
      </w:r>
      <w:r>
        <w:instrText xml:space="preserve">PAGEREF _Toc221893202 \h</w:instrText>
      </w:r>
      <w:r>
        <w:rPr>
          <w:rFonts w:hint="eastAsia"/>
        </w:rPr>
        <w:instrText xml:space="preserve"> </w:instrText>
      </w:r>
      <w:r>
        <w:rPr>
          <w:rFonts w:hint="eastAsia"/>
        </w:rPr>
        <w:fldChar w:fldCharType="separate"/>
      </w:r>
      <w:r>
        <w:t>661</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"_Toc221893203" </w:instrText>
      </w:r>
      <w:r>
        <w:fldChar w:fldCharType="separate"/>
      </w:r>
      <w:r>
        <w:rPr>
          <w:rStyle w:val="45"/>
          <w:rFonts w:hint="eastAsia" w:ascii="Times New Roman" w:hAnsi="Times New Roman"/>
        </w:rPr>
        <w:t>表66 单因素风险识别表</w:t>
      </w:r>
      <w:r>
        <w:rPr>
          <w:rFonts w:hint="eastAsia"/>
        </w:rPr>
        <w:tab/>
      </w:r>
      <w:r>
        <w:rPr>
          <w:rFonts w:hint="eastAsia"/>
        </w:rPr>
        <w:fldChar w:fldCharType="begin"/>
      </w:r>
      <w:r>
        <w:rPr>
          <w:rFonts w:hint="eastAsia"/>
        </w:rPr>
        <w:instrText xml:space="preserve"> </w:instrText>
      </w:r>
      <w:r>
        <w:instrText xml:space="preserve">PAGEREF _Toc221893203 \h</w:instrText>
      </w:r>
      <w:r>
        <w:rPr>
          <w:rFonts w:hint="eastAsia"/>
        </w:rPr>
        <w:instrText xml:space="preserve"> </w:instrText>
      </w:r>
      <w:r>
        <w:rPr>
          <w:rFonts w:hint="eastAsia"/>
        </w:rPr>
        <w:fldChar w:fldCharType="separate"/>
      </w:r>
      <w:r>
        <w:t>664</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"_Toc221893204" </w:instrText>
      </w:r>
      <w:r>
        <w:fldChar w:fldCharType="separate"/>
      </w:r>
      <w:r>
        <w:rPr>
          <w:rStyle w:val="45"/>
          <w:rFonts w:hint="eastAsia" w:ascii="Times New Roman" w:hAnsi="Times New Roman"/>
        </w:rPr>
        <w:t>表67 IDC机房租赁费用测算</w:t>
      </w:r>
      <w:r>
        <w:rPr>
          <w:rFonts w:hint="eastAsia"/>
        </w:rPr>
        <w:tab/>
      </w:r>
      <w:r>
        <w:rPr>
          <w:rFonts w:hint="eastAsia"/>
        </w:rPr>
        <w:fldChar w:fldCharType="begin"/>
      </w:r>
      <w:r>
        <w:rPr>
          <w:rFonts w:hint="eastAsia"/>
        </w:rPr>
        <w:instrText xml:space="preserve"> </w:instrText>
      </w:r>
      <w:r>
        <w:instrText xml:space="preserve">PAGEREF _Toc221893204 \h</w:instrText>
      </w:r>
      <w:r>
        <w:rPr>
          <w:rFonts w:hint="eastAsia"/>
        </w:rPr>
        <w:instrText xml:space="preserve"> </w:instrText>
      </w:r>
      <w:r>
        <w:rPr>
          <w:rFonts w:hint="eastAsia"/>
        </w:rPr>
        <w:fldChar w:fldCharType="separate"/>
      </w:r>
      <w:r>
        <w:t>667</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"_Toc221893205" </w:instrText>
      </w:r>
      <w:r>
        <w:fldChar w:fldCharType="separate"/>
      </w:r>
      <w:r>
        <w:rPr>
          <w:rStyle w:val="45"/>
          <w:rFonts w:hint="eastAsia" w:ascii="Times New Roman" w:hAnsi="Times New Roman"/>
        </w:rPr>
        <w:t>表68 通信线路租赁费用测算</w:t>
      </w:r>
      <w:r>
        <w:rPr>
          <w:rFonts w:hint="eastAsia"/>
        </w:rPr>
        <w:tab/>
      </w:r>
      <w:r>
        <w:rPr>
          <w:rFonts w:hint="eastAsia"/>
        </w:rPr>
        <w:fldChar w:fldCharType="begin"/>
      </w:r>
      <w:r>
        <w:rPr>
          <w:rFonts w:hint="eastAsia"/>
        </w:rPr>
        <w:instrText xml:space="preserve"> </w:instrText>
      </w:r>
      <w:r>
        <w:instrText xml:space="preserve">PAGEREF _Toc221893205 \h</w:instrText>
      </w:r>
      <w:r>
        <w:rPr>
          <w:rFonts w:hint="eastAsia"/>
        </w:rPr>
        <w:instrText xml:space="preserve"> </w:instrText>
      </w:r>
      <w:r>
        <w:rPr>
          <w:rFonts w:hint="eastAsia"/>
        </w:rPr>
        <w:fldChar w:fldCharType="separate"/>
      </w:r>
      <w:r>
        <w:t>668</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"_Toc221893206" </w:instrText>
      </w:r>
      <w:r>
        <w:fldChar w:fldCharType="separate"/>
      </w:r>
      <w:r>
        <w:rPr>
          <w:rStyle w:val="45"/>
          <w:rFonts w:hint="eastAsia" w:ascii="Times New Roman" w:hAnsi="Times New Roman"/>
        </w:rPr>
        <w:t>表69 项目能耗表</w:t>
      </w:r>
      <w:r>
        <w:rPr>
          <w:rFonts w:hint="eastAsia"/>
        </w:rPr>
        <w:tab/>
      </w:r>
      <w:r>
        <w:rPr>
          <w:rFonts w:hint="eastAsia"/>
        </w:rPr>
        <w:fldChar w:fldCharType="begin"/>
      </w:r>
      <w:r>
        <w:rPr>
          <w:rFonts w:hint="eastAsia"/>
        </w:rPr>
        <w:instrText xml:space="preserve"> </w:instrText>
      </w:r>
      <w:r>
        <w:instrText xml:space="preserve">PAGEREF _Toc221893206 \h</w:instrText>
      </w:r>
      <w:r>
        <w:rPr>
          <w:rFonts w:hint="eastAsia"/>
        </w:rPr>
        <w:instrText xml:space="preserve"> </w:instrText>
      </w:r>
      <w:r>
        <w:rPr>
          <w:rFonts w:hint="eastAsia"/>
        </w:rPr>
        <w:fldChar w:fldCharType="separate"/>
      </w:r>
      <w:r>
        <w:t>682</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"_Toc221893207" </w:instrText>
      </w:r>
      <w:r>
        <w:fldChar w:fldCharType="separate"/>
      </w:r>
      <w:r>
        <w:rPr>
          <w:rStyle w:val="45"/>
          <w:rFonts w:hint="eastAsia" w:ascii="Times New Roman" w:hAnsi="Times New Roman"/>
        </w:rPr>
        <w:t>表70 项目年碳排放测算表</w:t>
      </w:r>
      <w:r>
        <w:rPr>
          <w:rFonts w:hint="eastAsia"/>
        </w:rPr>
        <w:tab/>
      </w:r>
      <w:r>
        <w:rPr>
          <w:rFonts w:hint="eastAsia"/>
        </w:rPr>
        <w:fldChar w:fldCharType="begin"/>
      </w:r>
      <w:r>
        <w:rPr>
          <w:rFonts w:hint="eastAsia"/>
        </w:rPr>
        <w:instrText xml:space="preserve"> </w:instrText>
      </w:r>
      <w:r>
        <w:instrText xml:space="preserve">PAGEREF _Toc221893207 \h</w:instrText>
      </w:r>
      <w:r>
        <w:rPr>
          <w:rFonts w:hint="eastAsia"/>
        </w:rPr>
        <w:instrText xml:space="preserve"> </w:instrText>
      </w:r>
      <w:r>
        <w:rPr>
          <w:rFonts w:hint="eastAsia"/>
        </w:rPr>
        <w:fldChar w:fldCharType="separate"/>
      </w:r>
      <w:r>
        <w:t>685</w:t>
      </w:r>
      <w:r>
        <w:rPr>
          <w:rFonts w:hint="eastAsia"/>
        </w:rPr>
        <w:fldChar w:fldCharType="end"/>
      </w:r>
      <w:r>
        <w:rPr>
          <w:rFonts w:hint="eastAsia"/>
        </w:rPr>
        <w:fldChar w:fldCharType="end"/>
      </w:r>
    </w:p>
    <w:p>
      <w:pPr>
        <w:pStyle w:val="89"/>
        <w:tabs>
          <w:tab w:val="right" w:leader="dot" w:pos="8296"/>
        </w:tabs>
        <w:ind w:left="1120" w:hanging="560"/>
        <w:rPr>
          <w:rFonts w:eastAsiaTheme="minorEastAsia" w:cstheme="minorBidi"/>
          <w:sz w:val="22"/>
          <w14:ligatures w14:val="standardContextual"/>
        </w:rPr>
      </w:pPr>
      <w:r>
        <w:fldChar w:fldCharType="begin"/>
      </w:r>
      <w:r>
        <w:instrText xml:space="preserve"> HYPERLINK \l "_Toc221893208" </w:instrText>
      </w:r>
      <w:r>
        <w:fldChar w:fldCharType="separate"/>
      </w:r>
      <w:r>
        <w:rPr>
          <w:rStyle w:val="45"/>
          <w:rFonts w:hint="eastAsia" w:ascii="Times New Roman" w:hAnsi="Times New Roman"/>
        </w:rPr>
        <w:t>表71 风险防范措施汇总表</w:t>
      </w:r>
      <w:r>
        <w:rPr>
          <w:rFonts w:hint="eastAsia"/>
        </w:rPr>
        <w:tab/>
      </w:r>
      <w:r>
        <w:rPr>
          <w:rFonts w:hint="eastAsia"/>
        </w:rPr>
        <w:fldChar w:fldCharType="begin"/>
      </w:r>
      <w:r>
        <w:rPr>
          <w:rFonts w:hint="eastAsia"/>
        </w:rPr>
        <w:instrText xml:space="preserve"> </w:instrText>
      </w:r>
      <w:r>
        <w:instrText xml:space="preserve">PAGEREF _Toc221893208 \h</w:instrText>
      </w:r>
      <w:r>
        <w:rPr>
          <w:rFonts w:hint="eastAsia"/>
        </w:rPr>
        <w:instrText xml:space="preserve"> </w:instrText>
      </w:r>
      <w:r>
        <w:rPr>
          <w:rFonts w:hint="eastAsia"/>
        </w:rPr>
        <w:fldChar w:fldCharType="separate"/>
      </w:r>
      <w:r>
        <w:t>692</w:t>
      </w:r>
      <w:r>
        <w:rPr>
          <w:rFonts w:hint="eastAsia"/>
        </w:rPr>
        <w:fldChar w:fldCharType="end"/>
      </w:r>
      <w:r>
        <w:rPr>
          <w:rFonts w:hint="eastAsia"/>
        </w:rPr>
        <w:fldChar w:fldCharType="end"/>
      </w:r>
    </w:p>
    <w:p>
      <w:pPr>
        <w:pStyle w:val="286"/>
        <w:spacing w:line="240" w:lineRule="auto"/>
        <w:ind w:firstLine="480"/>
        <w:rPr>
          <w:rFonts w:ascii="Times New Roman" w:hAnsi="Times New Roman" w:eastAsia="仿宋"/>
        </w:rPr>
      </w:pPr>
      <w:r>
        <w:rPr>
          <w:rFonts w:ascii="Times New Roman" w:hAnsi="Times New Roman" w:eastAsia="仿宋"/>
          <w:kern w:val="2"/>
          <w:sz w:val="24"/>
        </w:rPr>
        <w:fldChar w:fldCharType="end"/>
      </w:r>
    </w:p>
    <w:p>
      <w:pPr>
        <w:pStyle w:val="286"/>
        <w:ind w:firstLine="198" w:firstLineChars="90"/>
        <w:rPr>
          <w:rFonts w:ascii="Times New Roman" w:hAnsi="Times New Roman" w:eastAsia="仿宋"/>
        </w:rPr>
        <w:sectPr>
          <w:pgSz w:w="11906" w:h="16838"/>
          <w:pgMar w:top="1440" w:right="1800" w:bottom="1440" w:left="1800" w:header="851" w:footer="992" w:gutter="0"/>
          <w:pgNumType w:start="1"/>
          <w:cols w:space="720" w:num="1"/>
          <w:docGrid w:type="lines" w:linePitch="312" w:charSpace="0"/>
        </w:sectPr>
      </w:pPr>
    </w:p>
    <w:p>
      <w:pPr>
        <w:pStyle w:val="2"/>
        <w:rPr>
          <w:rFonts w:hint="eastAsia" w:ascii="Times New Roman" w:hAnsi="Times New Roman"/>
        </w:rPr>
      </w:pPr>
      <w:bookmarkStart w:id="3" w:name="_Toc221892823"/>
      <w:bookmarkStart w:id="4" w:name="_Hlk172448338"/>
      <w:r>
        <w:rPr>
          <w:rFonts w:hint="eastAsia" w:ascii="Times New Roman" w:hAnsi="Times New Roman"/>
        </w:rPr>
        <w:t>项目</w:t>
      </w:r>
      <w:r>
        <w:rPr>
          <w:rFonts w:ascii="Times New Roman" w:hAnsi="Times New Roman"/>
        </w:rPr>
        <w:t>概述</w:t>
      </w:r>
      <w:bookmarkEnd w:id="3"/>
      <w:r>
        <w:rPr>
          <w:rFonts w:hint="eastAsia" w:ascii="Times New Roman" w:hAnsi="Times New Roman"/>
        </w:rPr>
        <w:t>（赵炫）</w:t>
      </w:r>
    </w:p>
    <w:p>
      <w:pPr>
        <w:pStyle w:val="142"/>
      </w:pPr>
      <w:bookmarkStart w:id="5" w:name="_Toc44832057"/>
      <w:bookmarkStart w:id="6" w:name="_Toc204251277"/>
      <w:r>
        <w:t>项目名称</w:t>
      </w:r>
      <w:bookmarkEnd w:id="5"/>
      <w:bookmarkEnd w:id="6"/>
    </w:p>
    <w:p>
      <w:pPr>
        <w:ind w:firstLine="560"/>
        <w:rPr>
          <w:rFonts w:ascii="Times New Roman" w:hAnsi="Times New Roman"/>
        </w:rPr>
      </w:pPr>
      <w:r>
        <w:rPr>
          <w:rFonts w:ascii="Times New Roman" w:hAnsi="Times New Roman"/>
        </w:rPr>
        <w:t>本项目为</w:t>
      </w:r>
      <w:r>
        <w:rPr>
          <w:rFonts w:hint="eastAsia" w:ascii="Times New Roman" w:hAnsi="Times New Roman"/>
        </w:rPr>
        <w:t>XXX</w:t>
      </w:r>
      <w:r>
        <w:rPr>
          <w:rFonts w:ascii="Times New Roman" w:hAnsi="Times New Roman"/>
        </w:rPr>
        <w:t>。</w:t>
      </w:r>
    </w:p>
    <w:p>
      <w:pPr>
        <w:pStyle w:val="142"/>
      </w:pPr>
      <w:bookmarkStart w:id="7" w:name="_Toc204251278"/>
      <w:bookmarkStart w:id="8" w:name="_Toc44832058"/>
      <w:r>
        <w:t>项目建设单位及负责人，项目责任人</w:t>
      </w:r>
      <w:bookmarkEnd w:id="7"/>
      <w:bookmarkEnd w:id="8"/>
    </w:p>
    <w:p>
      <w:pPr>
        <w:ind w:firstLine="560"/>
        <w:rPr>
          <w:rFonts w:ascii="Times New Roman" w:hAnsi="Times New Roman"/>
        </w:rPr>
      </w:pPr>
      <w:r>
        <w:rPr>
          <w:rFonts w:ascii="Times New Roman" w:hAnsi="Times New Roman"/>
        </w:rPr>
        <w:t>项目建设单位：</w:t>
      </w:r>
      <w:r>
        <w:rPr>
          <w:rFonts w:hint="eastAsia" w:ascii="Times New Roman" w:hAnsi="Times New Roman"/>
        </w:rPr>
        <w:t>XXX</w:t>
      </w:r>
    </w:p>
    <w:p>
      <w:pPr>
        <w:ind w:firstLine="560"/>
        <w:rPr>
          <w:rFonts w:ascii="Times New Roman" w:hAnsi="Times New Roman"/>
        </w:rPr>
      </w:pPr>
      <w:r>
        <w:rPr>
          <w:rFonts w:ascii="Times New Roman" w:hAnsi="Times New Roman"/>
        </w:rPr>
        <w:t>项目建设单位负责人：</w:t>
      </w:r>
      <w:r>
        <w:rPr>
          <w:rFonts w:hint="eastAsia" w:ascii="Times New Roman" w:hAnsi="Times New Roman"/>
        </w:rPr>
        <w:t>XXX</w:t>
      </w:r>
    </w:p>
    <w:p>
      <w:pPr>
        <w:ind w:firstLine="560"/>
        <w:rPr>
          <w:rFonts w:ascii="Times New Roman" w:hAnsi="Times New Roman"/>
        </w:rPr>
      </w:pPr>
      <w:r>
        <w:rPr>
          <w:rFonts w:ascii="Times New Roman" w:hAnsi="Times New Roman"/>
        </w:rPr>
        <w:t>项目建设单位责任人：</w:t>
      </w:r>
      <w:r>
        <w:rPr>
          <w:rFonts w:hint="eastAsia" w:ascii="Times New Roman" w:hAnsi="Times New Roman"/>
        </w:rPr>
        <w:t>XXX</w:t>
      </w:r>
    </w:p>
    <w:p>
      <w:pPr>
        <w:ind w:firstLine="560"/>
        <w:rPr>
          <w:rFonts w:ascii="Times New Roman" w:hAnsi="Times New Roman"/>
        </w:rPr>
      </w:pPr>
      <w:r>
        <w:rPr>
          <w:rFonts w:ascii="Times New Roman" w:hAnsi="Times New Roman"/>
        </w:rPr>
        <w:t>项目实施单位：</w:t>
      </w:r>
      <w:r>
        <w:rPr>
          <w:rFonts w:hint="eastAsia" w:ascii="Times New Roman" w:hAnsi="Times New Roman"/>
        </w:rPr>
        <w:t>XXXX</w:t>
      </w:r>
    </w:p>
    <w:p>
      <w:pPr>
        <w:ind w:firstLine="560"/>
        <w:rPr>
          <w:rFonts w:ascii="Times New Roman" w:hAnsi="Times New Roman"/>
        </w:rPr>
      </w:pPr>
      <w:r>
        <w:rPr>
          <w:rFonts w:ascii="Times New Roman" w:hAnsi="Times New Roman"/>
        </w:rPr>
        <w:t>项目实施单位负责人：</w:t>
      </w:r>
      <w:r>
        <w:rPr>
          <w:rFonts w:hint="eastAsia" w:ascii="Times New Roman" w:hAnsi="Times New Roman"/>
        </w:rPr>
        <w:t>XXX</w:t>
      </w:r>
    </w:p>
    <w:p>
      <w:pPr>
        <w:pStyle w:val="142"/>
      </w:pPr>
      <w:bookmarkStart w:id="9" w:name="_Toc44832059"/>
      <w:bookmarkStart w:id="10" w:name="_Toc204251279"/>
      <w:r>
        <w:t>初设及概算编制单</w:t>
      </w:r>
      <w:bookmarkEnd w:id="9"/>
      <w:r>
        <w:t>位</w:t>
      </w:r>
      <w:bookmarkEnd w:id="10"/>
    </w:p>
    <w:p>
      <w:pPr>
        <w:ind w:firstLine="560"/>
      </w:pPr>
      <w:bookmarkStart w:id="11" w:name="_Toc524301109"/>
      <w:r>
        <w:t>本项目初步设计编制单位</w:t>
      </w:r>
      <w:bookmarkEnd w:id="11"/>
      <w:r>
        <w:t>为</w:t>
      </w:r>
      <w:r>
        <w:rPr>
          <w:rFonts w:hint="eastAsia"/>
        </w:rPr>
        <w:t>XXX</w:t>
      </w:r>
      <w:r>
        <w:t>。</w:t>
      </w:r>
    </w:p>
    <w:p>
      <w:pPr>
        <w:pStyle w:val="142"/>
      </w:pPr>
      <w:bookmarkStart w:id="12" w:name="_Toc204251280"/>
      <w:bookmarkStart w:id="13" w:name="_Toc44832060"/>
      <w:r>
        <w:t>初设及概算编制依据</w:t>
      </w:r>
      <w:bookmarkEnd w:id="12"/>
      <w:bookmarkEnd w:id="13"/>
    </w:p>
    <w:p>
      <w:pPr>
        <w:pStyle w:val="108"/>
      </w:pPr>
      <w:bookmarkStart w:id="14" w:name="_Toc44832061"/>
      <w:bookmarkStart w:id="15" w:name="_Toc204251281"/>
      <w:r>
        <w:rPr>
          <w:rFonts w:hint="eastAsia"/>
        </w:rPr>
        <w:t>可研批复</w:t>
      </w:r>
    </w:p>
    <w:p>
      <w:pPr>
        <w:ind w:firstLine="560"/>
      </w:pPr>
      <w:r>
        <w:t>本项目可行性研究报告的评审意见及批复</w:t>
      </w:r>
    </w:p>
    <w:p>
      <w:pPr>
        <w:pStyle w:val="108"/>
      </w:pPr>
      <w:r>
        <w:t>法律法规</w:t>
      </w:r>
      <w:bookmarkEnd w:id="14"/>
      <w:bookmarkEnd w:id="15"/>
    </w:p>
    <w:p>
      <w:pPr>
        <w:ind w:firstLine="560"/>
        <w:rPr>
          <w:rFonts w:ascii="Times New Roman" w:hAnsi="Times New Roman"/>
        </w:rPr>
      </w:pPr>
      <w:r>
        <w:rPr>
          <w:rFonts w:ascii="Times New Roman" w:hAnsi="Times New Roman"/>
        </w:rPr>
        <w:t>本初步设计依据范围包括国家相关法律法规具体包括如下：</w:t>
      </w:r>
    </w:p>
    <w:p>
      <w:pPr>
        <w:ind w:firstLine="560"/>
        <w:rPr>
          <w:rFonts w:ascii="Times New Roman" w:hAnsi="Times New Roman"/>
        </w:rPr>
      </w:pPr>
      <w:r>
        <w:rPr>
          <w:rFonts w:ascii="Times New Roman" w:hAnsi="Times New Roman"/>
        </w:rPr>
        <w:t>（1）《中华人民共和国居民身份证法》</w:t>
      </w:r>
    </w:p>
    <w:p>
      <w:pPr>
        <w:ind w:firstLine="560"/>
        <w:rPr>
          <w:rFonts w:ascii="Times New Roman" w:hAnsi="Times New Roman"/>
        </w:rPr>
      </w:pPr>
      <w:r>
        <w:rPr>
          <w:rFonts w:ascii="Times New Roman" w:hAnsi="Times New Roman"/>
        </w:rPr>
        <w:t>（2）《中华人民共和国网络安全法》</w:t>
      </w:r>
    </w:p>
    <w:p>
      <w:pPr>
        <w:ind w:firstLine="560"/>
        <w:rPr>
          <w:rFonts w:ascii="Times New Roman" w:hAnsi="Times New Roman"/>
        </w:rPr>
      </w:pPr>
      <w:r>
        <w:rPr>
          <w:rFonts w:ascii="Times New Roman" w:hAnsi="Times New Roman"/>
        </w:rPr>
        <w:t>（3）《2006-2020年国家信息化发展战略》</w:t>
      </w:r>
    </w:p>
    <w:p>
      <w:pPr>
        <w:ind w:firstLine="560"/>
        <w:rPr>
          <w:rFonts w:ascii="Times New Roman" w:hAnsi="Times New Roman"/>
        </w:rPr>
      </w:pPr>
      <w:r>
        <w:rPr>
          <w:rFonts w:ascii="Times New Roman" w:hAnsi="Times New Roman"/>
        </w:rPr>
        <w:t>（4）《互联网信息服务管理办法》</w:t>
      </w:r>
    </w:p>
    <w:p>
      <w:pPr>
        <w:ind w:firstLine="560"/>
        <w:rPr>
          <w:rFonts w:ascii="Times New Roman" w:hAnsi="Times New Roman"/>
        </w:rPr>
      </w:pPr>
      <w:r>
        <w:rPr>
          <w:rFonts w:ascii="Times New Roman" w:hAnsi="Times New Roman"/>
        </w:rPr>
        <w:t>（5）《关于我国电子政务建设指导意见》（中办发〔2002〕17号）</w:t>
      </w:r>
    </w:p>
    <w:p>
      <w:pPr>
        <w:ind w:firstLine="560"/>
        <w:rPr>
          <w:rFonts w:ascii="Times New Roman" w:hAnsi="Times New Roman"/>
        </w:rPr>
      </w:pPr>
      <w:r>
        <w:rPr>
          <w:rFonts w:ascii="Times New Roman" w:hAnsi="Times New Roman"/>
        </w:rPr>
        <w:t>（6）《国民经济和社会发展第十三个五年规划纲要》</w:t>
      </w:r>
    </w:p>
    <w:p>
      <w:pPr>
        <w:ind w:firstLine="560"/>
        <w:rPr>
          <w:rFonts w:ascii="Times New Roman" w:hAnsi="Times New Roman"/>
        </w:rPr>
      </w:pPr>
      <w:r>
        <w:rPr>
          <w:rFonts w:ascii="Times New Roman" w:hAnsi="Times New Roman"/>
        </w:rPr>
        <w:t>（7）《“十三五”国家政务信息化工程建设规划》</w:t>
      </w:r>
    </w:p>
    <w:p>
      <w:pPr>
        <w:ind w:firstLine="560"/>
        <w:rPr>
          <w:rFonts w:ascii="Times New Roman" w:hAnsi="Times New Roman"/>
        </w:rPr>
      </w:pPr>
      <w:r>
        <w:rPr>
          <w:rFonts w:ascii="Times New Roman" w:hAnsi="Times New Roman"/>
        </w:rPr>
        <w:t>（8）《国家政务信息化项目建设管理办法》（国办发〔2019〕57号）</w:t>
      </w:r>
    </w:p>
    <w:p>
      <w:pPr>
        <w:pStyle w:val="108"/>
      </w:pPr>
      <w:bookmarkStart w:id="16" w:name="_Toc204251282"/>
      <w:bookmarkStart w:id="17" w:name="_Toc40378632"/>
      <w:bookmarkStart w:id="18" w:name="_Toc44832062"/>
      <w:r>
        <w:t>标准规范</w:t>
      </w:r>
      <w:bookmarkEnd w:id="16"/>
      <w:bookmarkEnd w:id="17"/>
      <w:bookmarkEnd w:id="18"/>
    </w:p>
    <w:p>
      <w:pPr>
        <w:ind w:firstLine="560"/>
        <w:rPr>
          <w:rFonts w:ascii="Times New Roman" w:hAnsi="Times New Roman"/>
        </w:rPr>
      </w:pPr>
      <w:r>
        <w:t>本初步设计依据的标准规范包括国家电子政务、信息技术安全、</w:t>
      </w:r>
      <w:r>
        <w:rPr>
          <w:rFonts w:ascii="Times New Roman" w:hAnsi="Times New Roman"/>
        </w:rPr>
        <w:t>居民身份证或公民身份号码等多个方面，具体包括如下：</w:t>
      </w:r>
    </w:p>
    <w:p>
      <w:pPr>
        <w:ind w:firstLine="560"/>
        <w:rPr>
          <w:rFonts w:ascii="Times New Roman" w:hAnsi="Times New Roman"/>
        </w:rPr>
      </w:pPr>
      <w:r>
        <w:rPr>
          <w:rFonts w:ascii="Times New Roman" w:hAnsi="Times New Roman"/>
        </w:rPr>
        <w:t>（1）《国家电子政务网络技术和运行管理规范》（GB/T 21061-2007）</w:t>
      </w:r>
    </w:p>
    <w:p>
      <w:pPr>
        <w:ind w:firstLine="560"/>
        <w:rPr>
          <w:rFonts w:ascii="Times New Roman" w:hAnsi="Times New Roman"/>
        </w:rPr>
      </w:pPr>
      <w:r>
        <w:rPr>
          <w:rFonts w:ascii="Times New Roman" w:hAnsi="Times New Roman"/>
        </w:rPr>
        <w:t>（2）《信息技术 安全技术 信息技术安全性评估准则》（GB/T 18336-2015）</w:t>
      </w:r>
    </w:p>
    <w:p>
      <w:pPr>
        <w:ind w:firstLine="560"/>
        <w:rPr>
          <w:rFonts w:ascii="Times New Roman" w:hAnsi="Times New Roman"/>
        </w:rPr>
      </w:pPr>
      <w:r>
        <w:rPr>
          <w:rFonts w:ascii="Times New Roman" w:hAnsi="Times New Roman"/>
        </w:rPr>
        <w:t>（3）《电子政务系统总体设计要求》（GB/T21064-2007）</w:t>
      </w:r>
    </w:p>
    <w:p>
      <w:pPr>
        <w:ind w:firstLine="560"/>
        <w:rPr>
          <w:rFonts w:ascii="Times New Roman" w:hAnsi="Times New Roman"/>
        </w:rPr>
      </w:pPr>
      <w:r>
        <w:rPr>
          <w:rFonts w:ascii="Times New Roman" w:hAnsi="Times New Roman"/>
        </w:rPr>
        <w:t>（4）《新一代公安信息网网络架构技术要求》（GA/DSJ 400-2019）</w:t>
      </w:r>
    </w:p>
    <w:p>
      <w:pPr>
        <w:ind w:firstLine="560"/>
        <w:rPr>
          <w:rFonts w:ascii="Times New Roman" w:hAnsi="Times New Roman"/>
        </w:rPr>
      </w:pPr>
      <w:r>
        <w:rPr>
          <w:rFonts w:ascii="Times New Roman" w:hAnsi="Times New Roman"/>
        </w:rPr>
        <w:t>（</w:t>
      </w:r>
      <w:r>
        <w:rPr>
          <w:rFonts w:hint="eastAsia" w:ascii="Times New Roman" w:hAnsi="Times New Roman"/>
        </w:rPr>
        <w:t>5</w:t>
      </w:r>
      <w:r>
        <w:rPr>
          <w:rFonts w:ascii="Times New Roman" w:hAnsi="Times New Roman"/>
        </w:rPr>
        <w:t>）《公安大数据安全总体技术框架》（GA/DSJ 300-2019）</w:t>
      </w:r>
    </w:p>
    <w:p>
      <w:pPr>
        <w:ind w:firstLine="560"/>
        <w:rPr>
          <w:rFonts w:ascii="Times New Roman" w:hAnsi="Times New Roman"/>
        </w:rPr>
      </w:pPr>
      <w:r>
        <w:rPr>
          <w:rFonts w:ascii="Times New Roman" w:hAnsi="Times New Roman"/>
        </w:rPr>
        <w:t>（</w:t>
      </w:r>
      <w:r>
        <w:rPr>
          <w:rFonts w:hint="eastAsia" w:ascii="Times New Roman" w:hAnsi="Times New Roman"/>
        </w:rPr>
        <w:t>6</w:t>
      </w:r>
      <w:r>
        <w:rPr>
          <w:rFonts w:ascii="Times New Roman" w:hAnsi="Times New Roman"/>
        </w:rPr>
        <w:t>）《公安大数据安全安全防护体系技术设计要求》（GA/DSJ 351-2019）</w:t>
      </w:r>
    </w:p>
    <w:p>
      <w:pPr>
        <w:ind w:firstLine="560"/>
        <w:rPr>
          <w:rFonts w:ascii="Times New Roman" w:hAnsi="Times New Roman"/>
        </w:rPr>
      </w:pPr>
      <w:r>
        <w:rPr>
          <w:rFonts w:ascii="Times New Roman" w:hAnsi="Times New Roman"/>
        </w:rPr>
        <w:t>（</w:t>
      </w:r>
      <w:r>
        <w:rPr>
          <w:rFonts w:hint="eastAsia" w:ascii="Times New Roman" w:hAnsi="Times New Roman"/>
        </w:rPr>
        <w:t>7</w:t>
      </w:r>
      <w:r>
        <w:rPr>
          <w:rFonts w:ascii="Times New Roman" w:hAnsi="Times New Roman"/>
        </w:rPr>
        <w:t>）《公安大数据安全安全访问平台技术设计要求》（GA/DSJ 352-2019）</w:t>
      </w:r>
    </w:p>
    <w:p>
      <w:pPr>
        <w:ind w:firstLine="560"/>
        <w:rPr>
          <w:rFonts w:ascii="Times New Roman" w:hAnsi="Times New Roman"/>
        </w:rPr>
      </w:pPr>
      <w:r>
        <w:rPr>
          <w:rFonts w:ascii="Times New Roman" w:hAnsi="Times New Roman"/>
        </w:rPr>
        <w:t>（</w:t>
      </w:r>
      <w:r>
        <w:rPr>
          <w:rFonts w:hint="eastAsia" w:ascii="Times New Roman" w:hAnsi="Times New Roman"/>
        </w:rPr>
        <w:t>8</w:t>
      </w:r>
      <w:r>
        <w:rPr>
          <w:rFonts w:ascii="Times New Roman" w:hAnsi="Times New Roman"/>
        </w:rPr>
        <w:t>）《公安信息通信网边界接入平台安全规范（试行）》（公信通[2007]191号）</w:t>
      </w:r>
    </w:p>
    <w:p>
      <w:pPr>
        <w:ind w:firstLine="560"/>
        <w:rPr>
          <w:rFonts w:ascii="Times New Roman" w:hAnsi="Times New Roman"/>
        </w:rPr>
      </w:pPr>
      <w:r>
        <w:rPr>
          <w:rFonts w:ascii="Times New Roman" w:hAnsi="Times New Roman"/>
        </w:rPr>
        <w:t>（</w:t>
      </w:r>
      <w:r>
        <w:rPr>
          <w:rFonts w:hint="eastAsia" w:ascii="Times New Roman" w:hAnsi="Times New Roman"/>
        </w:rPr>
        <w:t>9</w:t>
      </w:r>
      <w:r>
        <w:rPr>
          <w:rFonts w:ascii="Times New Roman" w:hAnsi="Times New Roman"/>
        </w:rPr>
        <w:t>）《信息安全技术 网络安全等级保护基本要求》GB/T 22239-2019</w:t>
      </w:r>
    </w:p>
    <w:p>
      <w:pPr>
        <w:ind w:firstLine="560"/>
        <w:rPr>
          <w:rFonts w:ascii="Times New Roman" w:hAnsi="Times New Roman"/>
        </w:rPr>
      </w:pPr>
      <w:r>
        <w:rPr>
          <w:rFonts w:ascii="Times New Roman" w:hAnsi="Times New Roman"/>
        </w:rPr>
        <w:t>（</w:t>
      </w:r>
      <w:r>
        <w:rPr>
          <w:rFonts w:hint="eastAsia" w:ascii="Times New Roman" w:hAnsi="Times New Roman"/>
        </w:rPr>
        <w:t>19</w:t>
      </w:r>
      <w:r>
        <w:rPr>
          <w:rFonts w:ascii="Times New Roman" w:hAnsi="Times New Roman"/>
        </w:rPr>
        <w:t>）《信息安全技术 网络安全等级保护测评要求》GB/T 28448-2019</w:t>
      </w:r>
    </w:p>
    <w:p>
      <w:pPr>
        <w:ind w:firstLine="560"/>
        <w:rPr>
          <w:rFonts w:ascii="Times New Roman" w:hAnsi="Times New Roman"/>
        </w:rPr>
      </w:pPr>
      <w:r>
        <w:rPr>
          <w:rFonts w:ascii="Times New Roman" w:hAnsi="Times New Roman"/>
        </w:rPr>
        <w:t>（</w:t>
      </w:r>
      <w:r>
        <w:rPr>
          <w:rFonts w:hint="eastAsia" w:ascii="Times New Roman" w:hAnsi="Times New Roman"/>
        </w:rPr>
        <w:t>11</w:t>
      </w:r>
      <w:r>
        <w:rPr>
          <w:rFonts w:ascii="Times New Roman" w:hAnsi="Times New Roman"/>
        </w:rPr>
        <w:t>）《信息安全技术 网络安全等级保护安全设计技术要求》GB/T 25070-2019</w:t>
      </w:r>
    </w:p>
    <w:p>
      <w:pPr>
        <w:ind w:firstLine="560"/>
        <w:rPr>
          <w:rFonts w:ascii="Times New Roman" w:hAnsi="Times New Roman"/>
        </w:rPr>
      </w:pPr>
      <w:r>
        <w:rPr>
          <w:rFonts w:ascii="Times New Roman" w:hAnsi="Times New Roman"/>
        </w:rPr>
        <w:t>（</w:t>
      </w:r>
      <w:r>
        <w:rPr>
          <w:rFonts w:hint="eastAsia" w:ascii="Times New Roman" w:hAnsi="Times New Roman"/>
        </w:rPr>
        <w:t>12</w:t>
      </w:r>
      <w:r>
        <w:rPr>
          <w:rFonts w:ascii="Times New Roman" w:hAnsi="Times New Roman"/>
        </w:rPr>
        <w:t>）《信息安全等级保护商用密码管理办法》</w:t>
      </w:r>
    </w:p>
    <w:p>
      <w:pPr>
        <w:ind w:firstLine="560"/>
        <w:rPr>
          <w:rFonts w:ascii="Times New Roman" w:hAnsi="Times New Roman"/>
        </w:rPr>
      </w:pPr>
      <w:bookmarkStart w:id="19" w:name="_Hlk71352861"/>
      <w:r>
        <w:rPr>
          <w:rFonts w:ascii="Times New Roman" w:hAnsi="Times New Roman"/>
        </w:rPr>
        <w:t>（</w:t>
      </w:r>
      <w:r>
        <w:rPr>
          <w:rFonts w:hint="eastAsia" w:ascii="Times New Roman" w:hAnsi="Times New Roman"/>
        </w:rPr>
        <w:t>13</w:t>
      </w:r>
      <w:r>
        <w:rPr>
          <w:rFonts w:ascii="Times New Roman" w:hAnsi="Times New Roman"/>
        </w:rPr>
        <w:t>）《信息安全技术 信息系统密码应用基本要求》GB/T 39786-2021</w:t>
      </w:r>
    </w:p>
    <w:bookmarkEnd w:id="19"/>
    <w:p>
      <w:pPr>
        <w:pStyle w:val="142"/>
      </w:pPr>
      <w:bookmarkStart w:id="20" w:name="_Toc204251283"/>
      <w:bookmarkStart w:id="21" w:name="_Toc44832065"/>
      <w:r>
        <w:t>建设目标、规模、内容、建设</w:t>
      </w:r>
      <w:r>
        <w:rPr>
          <w:rFonts w:hint="eastAsia"/>
        </w:rPr>
        <w:t>周</w:t>
      </w:r>
      <w:r>
        <w:t>期</w:t>
      </w:r>
      <w:bookmarkEnd w:id="20"/>
      <w:bookmarkEnd w:id="21"/>
      <w:r>
        <w:rPr>
          <w:rFonts w:hint="eastAsia"/>
        </w:rPr>
        <w:t>、建设地点</w:t>
      </w:r>
    </w:p>
    <w:p>
      <w:pPr>
        <w:pStyle w:val="108"/>
      </w:pPr>
      <w:bookmarkStart w:id="22" w:name="_Toc44832066"/>
      <w:bookmarkStart w:id="23" w:name="_Toc204251284"/>
      <w:r>
        <w:t>建设目标</w:t>
      </w:r>
      <w:bookmarkEnd w:id="22"/>
      <w:bookmarkEnd w:id="23"/>
    </w:p>
    <w:p>
      <w:pPr>
        <w:ind w:firstLine="560"/>
        <w:rPr>
          <w:rFonts w:ascii="Times New Roman" w:hAnsi="Times New Roman"/>
        </w:rPr>
      </w:pPr>
      <w:r>
        <w:rPr>
          <w:rFonts w:ascii="Times New Roman" w:hAnsi="Times New Roman"/>
        </w:rPr>
        <w:t>项目采用安全可靠的产品和设备，通过。</w:t>
      </w:r>
    </w:p>
    <w:p>
      <w:pPr>
        <w:ind w:firstLine="560"/>
        <w:rPr>
          <w:rFonts w:ascii="Times New Roman" w:hAnsi="Times New Roman"/>
        </w:rPr>
      </w:pPr>
      <w:r>
        <w:rPr>
          <w:rFonts w:ascii="Times New Roman" w:hAnsi="Times New Roman"/>
        </w:rPr>
        <w:t>项目建成后，将。</w:t>
      </w:r>
    </w:p>
    <w:p>
      <w:pPr>
        <w:pStyle w:val="108"/>
      </w:pPr>
      <w:bookmarkStart w:id="24" w:name="_Toc204251285"/>
      <w:bookmarkStart w:id="25" w:name="_Toc44832067"/>
      <w:r>
        <w:t>建设规模</w:t>
      </w:r>
      <w:bookmarkEnd w:id="24"/>
    </w:p>
    <w:p>
      <w:pPr>
        <w:ind w:firstLine="560"/>
        <w:rPr>
          <w:rFonts w:ascii="Times New Roman" w:hAnsi="Times New Roman"/>
        </w:rPr>
      </w:pPr>
      <w:r>
        <w:rPr>
          <w:rFonts w:ascii="Times New Roman" w:hAnsi="Times New Roman"/>
        </w:rPr>
        <w:t>以可支撑服务全国政务应用和行业应用的身份认证能力为核心建设目标，以基础设施统一入口平台、网络身份认证平台、真实身份核验平台、网络身份签发平台、网络身份服务监管系统为基础，本期项目新增计算设备</w:t>
      </w:r>
      <w:r>
        <w:rPr>
          <w:rFonts w:hint="eastAsia" w:ascii="Times New Roman" w:hAnsi="Times New Roman"/>
        </w:rPr>
        <w:t>XXX</w:t>
      </w:r>
      <w:r>
        <w:rPr>
          <w:rFonts w:ascii="Times New Roman" w:hAnsi="Times New Roman"/>
        </w:rPr>
        <w:t>台、存储设备</w:t>
      </w:r>
      <w:r>
        <w:rPr>
          <w:rFonts w:hint="eastAsia" w:ascii="Times New Roman" w:hAnsi="Times New Roman"/>
        </w:rPr>
        <w:t>XXX</w:t>
      </w:r>
      <w:r>
        <w:rPr>
          <w:rFonts w:ascii="Times New Roman" w:hAnsi="Times New Roman"/>
        </w:rPr>
        <w:t>台（套）、网络设备</w:t>
      </w:r>
      <w:r>
        <w:rPr>
          <w:rFonts w:hint="eastAsia" w:ascii="Times New Roman" w:hAnsi="Times New Roman"/>
        </w:rPr>
        <w:t>XXX</w:t>
      </w:r>
      <w:r>
        <w:rPr>
          <w:rFonts w:ascii="Times New Roman" w:hAnsi="Times New Roman"/>
        </w:rPr>
        <w:t>台，</w:t>
      </w:r>
      <w:bookmarkStart w:id="26" w:name="_Hlk67946467"/>
      <w:r>
        <w:rPr>
          <w:rFonts w:ascii="Times New Roman" w:hAnsi="Times New Roman"/>
        </w:rPr>
        <w:t>安全设备</w:t>
      </w:r>
      <w:r>
        <w:rPr>
          <w:rFonts w:hint="eastAsia" w:ascii="Times New Roman" w:hAnsi="Times New Roman"/>
        </w:rPr>
        <w:t>XXX</w:t>
      </w:r>
      <w:r>
        <w:rPr>
          <w:rFonts w:ascii="Times New Roman" w:hAnsi="Times New Roman"/>
        </w:rPr>
        <w:t>台（套）及其他设备</w:t>
      </w:r>
      <w:bookmarkEnd w:id="26"/>
      <w:r>
        <w:rPr>
          <w:rFonts w:ascii="Times New Roman" w:hAnsi="Times New Roman"/>
        </w:rPr>
        <w:t>。</w:t>
      </w:r>
    </w:p>
    <w:p>
      <w:pPr>
        <w:pStyle w:val="108"/>
      </w:pPr>
      <w:bookmarkStart w:id="27" w:name="_Toc204251286"/>
      <w:r>
        <w:t>建设内容</w:t>
      </w:r>
      <w:bookmarkEnd w:id="25"/>
      <w:bookmarkEnd w:id="27"/>
    </w:p>
    <w:p>
      <w:pPr>
        <w:ind w:firstLine="560"/>
      </w:pPr>
      <w:r>
        <w:t>项目建设</w:t>
      </w:r>
      <w:r>
        <w:rPr>
          <w:rFonts w:ascii="Times New Roman" w:hAnsi="Times New Roman"/>
        </w:rPr>
        <w:t>期2年。主要是</w:t>
      </w:r>
      <w:r>
        <w:t>充分依托已有系统资源，采用安全可靠的产品和设备，完成以下五方面建设：</w:t>
      </w:r>
    </w:p>
    <w:p>
      <w:pPr>
        <w:ind w:firstLine="560"/>
        <w:rPr>
          <w:rFonts w:ascii="Times New Roman" w:hAnsi="Times New Roman"/>
        </w:rPr>
      </w:pPr>
      <w:r>
        <w:rPr>
          <w:rFonts w:ascii="Times New Roman" w:hAnsi="Times New Roman"/>
        </w:rPr>
        <w:t>（1）</w:t>
      </w:r>
    </w:p>
    <w:p>
      <w:pPr>
        <w:ind w:firstLine="560"/>
        <w:rPr>
          <w:rFonts w:ascii="Times New Roman" w:hAnsi="Times New Roman"/>
        </w:rPr>
      </w:pPr>
      <w:r>
        <w:rPr>
          <w:rFonts w:ascii="Times New Roman" w:hAnsi="Times New Roman"/>
        </w:rPr>
        <w:t>。</w:t>
      </w:r>
    </w:p>
    <w:p>
      <w:pPr>
        <w:pStyle w:val="108"/>
      </w:pPr>
      <w:bookmarkStart w:id="28" w:name="_Toc44832068"/>
      <w:bookmarkStart w:id="29" w:name="_Toc204251287"/>
      <w:r>
        <w:t>建设</w:t>
      </w:r>
      <w:r>
        <w:rPr>
          <w:rFonts w:hint="eastAsia"/>
        </w:rPr>
        <w:t>周</w:t>
      </w:r>
      <w:r>
        <w:t>期</w:t>
      </w:r>
      <w:bookmarkEnd w:id="28"/>
      <w:bookmarkEnd w:id="29"/>
    </w:p>
    <w:p>
      <w:pPr>
        <w:ind w:firstLine="560"/>
      </w:pPr>
      <w:r>
        <w:t>建设期</w:t>
      </w:r>
      <w:r>
        <w:rPr>
          <w:rFonts w:ascii="Times New Roman" w:hAnsi="Times New Roman"/>
        </w:rPr>
        <w:t>为2年，即从2020年10月19日至2022年10月19日</w:t>
      </w:r>
      <w:r>
        <w:t>。</w:t>
      </w:r>
    </w:p>
    <w:p>
      <w:pPr>
        <w:pStyle w:val="108"/>
      </w:pPr>
      <w:r>
        <w:rPr>
          <w:rFonts w:hint="eastAsia"/>
        </w:rPr>
        <w:t>建设地点</w:t>
      </w:r>
    </w:p>
    <w:p>
      <w:pPr>
        <w:pStyle w:val="142"/>
      </w:pPr>
      <w:bookmarkStart w:id="30" w:name="_Toc44832069"/>
      <w:bookmarkStart w:id="31" w:name="_Toc204251288"/>
      <w:r>
        <w:rPr>
          <w:rFonts w:hint="eastAsia"/>
        </w:rPr>
        <w:t>发展战略和运行规划</w:t>
      </w:r>
    </w:p>
    <w:p>
      <w:pPr>
        <w:ind w:firstLine="560"/>
      </w:pPr>
    </w:p>
    <w:p>
      <w:pPr>
        <w:pStyle w:val="142"/>
      </w:pPr>
      <w:r>
        <w:t>总投资及资金来源</w:t>
      </w:r>
      <w:bookmarkEnd w:id="30"/>
      <w:bookmarkEnd w:id="31"/>
    </w:p>
    <w:p>
      <w:pPr>
        <w:pStyle w:val="108"/>
      </w:pPr>
      <w:bookmarkStart w:id="32" w:name="_Toc28190336"/>
      <w:bookmarkStart w:id="33" w:name="_Toc44832070"/>
      <w:bookmarkStart w:id="34" w:name="_Toc204251289"/>
      <w:r>
        <w:t>总投资</w:t>
      </w:r>
      <w:bookmarkEnd w:id="32"/>
      <w:bookmarkEnd w:id="33"/>
      <w:bookmarkEnd w:id="34"/>
    </w:p>
    <w:p>
      <w:pPr>
        <w:ind w:firstLine="560"/>
      </w:pPr>
      <w:r>
        <w:t>本项</w:t>
      </w:r>
      <w:r>
        <w:rPr>
          <w:rFonts w:ascii="Times New Roman" w:hAnsi="Times New Roman"/>
        </w:rPr>
        <w:t>目概算总投资为</w:t>
      </w:r>
      <w:r>
        <w:rPr>
          <w:rFonts w:hint="eastAsia" w:ascii="Times New Roman" w:hAnsi="Times New Roman"/>
        </w:rPr>
        <w:t>XXXX</w:t>
      </w:r>
      <w:r>
        <w:rPr>
          <w:rFonts w:ascii="Times New Roman" w:hAnsi="Times New Roman"/>
        </w:rPr>
        <w:t>万元。其中，工程费</w:t>
      </w:r>
      <w:r>
        <w:rPr>
          <w:rFonts w:hint="eastAsia" w:ascii="Times New Roman" w:hAnsi="Times New Roman"/>
        </w:rPr>
        <w:t>XXX</w:t>
      </w:r>
      <w:r>
        <w:rPr>
          <w:rFonts w:ascii="Times New Roman" w:hAnsi="Times New Roman"/>
        </w:rPr>
        <w:t>万元（含硬件</w:t>
      </w:r>
      <w:r>
        <w:rPr>
          <w:rFonts w:hint="eastAsia" w:ascii="Times New Roman" w:hAnsi="Times New Roman"/>
        </w:rPr>
        <w:t>XXX</w:t>
      </w:r>
      <w:r>
        <w:rPr>
          <w:rFonts w:ascii="Times New Roman" w:hAnsi="Times New Roman"/>
        </w:rPr>
        <w:t>万元、软件</w:t>
      </w:r>
      <w:r>
        <w:rPr>
          <w:rFonts w:hint="eastAsia" w:ascii="Times New Roman" w:hAnsi="Times New Roman"/>
        </w:rPr>
        <w:t>XXX</w:t>
      </w:r>
      <w:r>
        <w:rPr>
          <w:rFonts w:ascii="Times New Roman" w:hAnsi="Times New Roman"/>
        </w:rPr>
        <w:t>万元、系统集成费</w:t>
      </w:r>
      <w:r>
        <w:rPr>
          <w:rFonts w:hint="eastAsia" w:ascii="Times New Roman" w:hAnsi="Times New Roman"/>
        </w:rPr>
        <w:t>XXX</w:t>
      </w:r>
      <w:r>
        <w:rPr>
          <w:rFonts w:ascii="Times New Roman" w:hAnsi="Times New Roman"/>
        </w:rPr>
        <w:t>万元）、工程建设其他费</w:t>
      </w:r>
      <w:r>
        <w:rPr>
          <w:rFonts w:hint="eastAsia" w:ascii="Times New Roman" w:hAnsi="Times New Roman"/>
        </w:rPr>
        <w:t>XXX</w:t>
      </w:r>
      <w:r>
        <w:rPr>
          <w:rFonts w:ascii="Times New Roman" w:hAnsi="Times New Roman"/>
        </w:rPr>
        <w:t>万元、预备费</w:t>
      </w:r>
      <w:r>
        <w:rPr>
          <w:rFonts w:hint="eastAsia" w:ascii="Times New Roman" w:hAnsi="Times New Roman"/>
        </w:rPr>
        <w:t>XXX</w:t>
      </w:r>
      <w:r>
        <w:rPr>
          <w:rFonts w:ascii="Times New Roman" w:hAnsi="Times New Roman"/>
        </w:rPr>
        <w:t>万元</w:t>
      </w:r>
      <w:r>
        <w:t>。</w:t>
      </w:r>
    </w:p>
    <w:p>
      <w:pPr>
        <w:pStyle w:val="108"/>
      </w:pPr>
      <w:bookmarkStart w:id="35" w:name="_Toc44832071"/>
      <w:bookmarkStart w:id="36" w:name="_Toc204251290"/>
      <w:bookmarkStart w:id="37" w:name="_Toc28190337"/>
      <w:r>
        <w:t>资金</w:t>
      </w:r>
      <w:bookmarkEnd w:id="35"/>
      <w:bookmarkEnd w:id="36"/>
      <w:bookmarkEnd w:id="37"/>
      <w:r>
        <w:rPr>
          <w:rFonts w:hint="eastAsia"/>
        </w:rPr>
        <w:t>来源</w:t>
      </w:r>
    </w:p>
    <w:p>
      <w:pPr>
        <w:ind w:firstLine="560"/>
      </w:pPr>
    </w:p>
    <w:p>
      <w:pPr>
        <w:pStyle w:val="142"/>
      </w:pPr>
      <w:bookmarkStart w:id="38" w:name="_Toc40378640"/>
      <w:bookmarkStart w:id="39" w:name="_Toc204251291"/>
      <w:r>
        <w:rPr>
          <w:rFonts w:hint="eastAsia"/>
        </w:rPr>
        <w:t>主要技术经济指标</w:t>
      </w:r>
    </w:p>
    <w:p>
      <w:pPr>
        <w:ind w:firstLine="560"/>
      </w:pPr>
    </w:p>
    <w:p>
      <w:pPr>
        <w:pStyle w:val="142"/>
      </w:pPr>
      <w:r>
        <w:rPr>
          <w:rFonts w:hint="eastAsia"/>
        </w:rPr>
        <w:t>绩效考核指标</w:t>
      </w:r>
    </w:p>
    <w:p>
      <w:pPr>
        <w:ind w:firstLine="560"/>
      </w:pPr>
    </w:p>
    <w:bookmarkEnd w:id="38"/>
    <w:bookmarkEnd w:id="39"/>
    <w:p>
      <w:pPr>
        <w:pStyle w:val="142"/>
      </w:pPr>
      <w:bookmarkStart w:id="40" w:name="_Toc40378643"/>
      <w:bookmarkStart w:id="41" w:name="_Toc204251294"/>
      <w:r>
        <w:t>相对可研报告批复的调整情况</w:t>
      </w:r>
      <w:bookmarkEnd w:id="40"/>
      <w:bookmarkEnd w:id="41"/>
    </w:p>
    <w:p>
      <w:pPr>
        <w:ind w:firstLine="560"/>
      </w:pPr>
    </w:p>
    <w:p>
      <w:pPr>
        <w:pStyle w:val="142"/>
      </w:pPr>
      <w:bookmarkStart w:id="42" w:name="_Toc40378644"/>
      <w:bookmarkStart w:id="43" w:name="_Toc204251295"/>
      <w:r>
        <w:t>主要结论与建议</w:t>
      </w:r>
      <w:bookmarkEnd w:id="42"/>
      <w:bookmarkEnd w:id="43"/>
      <w:r>
        <w:rPr>
          <w:rFonts w:hint="eastAsia"/>
        </w:rPr>
        <w:t>：建议不放，主要是有没有具体的需要发改配套政策或者协调支持的事项建议</w:t>
      </w:r>
    </w:p>
    <w:p>
      <w:pPr>
        <w:pStyle w:val="108"/>
      </w:pPr>
      <w:bookmarkStart w:id="44" w:name="_Toc204251296"/>
      <w:bookmarkStart w:id="45" w:name="_Toc40378645"/>
      <w:r>
        <w:t>主要结论</w:t>
      </w:r>
      <w:bookmarkEnd w:id="44"/>
      <w:bookmarkEnd w:id="45"/>
    </w:p>
    <w:p>
      <w:pPr>
        <w:ind w:firstLine="560"/>
        <w:rPr>
          <w:rFonts w:ascii="Times New Roman" w:hAnsi="Times New Roman"/>
        </w:rPr>
      </w:pPr>
      <w:r>
        <w:rPr>
          <w:rFonts w:ascii="Times New Roman" w:hAnsi="Times New Roman"/>
        </w:rPr>
        <w:t>在国家发改委批准的可行性研究报告的基础上，经初步设计阶段的复核和优化，有如下主要结论：</w:t>
      </w:r>
    </w:p>
    <w:p>
      <w:pPr>
        <w:ind w:firstLine="560"/>
        <w:rPr>
          <w:rFonts w:ascii="Times New Roman" w:hAnsi="Times New Roman"/>
        </w:rPr>
      </w:pPr>
      <w:r>
        <w:rPr>
          <w:rFonts w:ascii="Times New Roman" w:hAnsi="Times New Roman"/>
        </w:rPr>
        <w:t>（1）工程建设依据充分有效</w:t>
      </w:r>
    </w:p>
    <w:p>
      <w:pPr>
        <w:ind w:firstLine="560"/>
        <w:rPr>
          <w:rFonts w:ascii="Times New Roman" w:hAnsi="Times New Roman"/>
        </w:rPr>
      </w:pPr>
    </w:p>
    <w:p>
      <w:pPr>
        <w:ind w:firstLine="560"/>
        <w:rPr>
          <w:rFonts w:ascii="Times New Roman" w:hAnsi="Times New Roman"/>
        </w:rPr>
      </w:pPr>
      <w:r>
        <w:rPr>
          <w:rFonts w:ascii="Times New Roman" w:hAnsi="Times New Roman"/>
        </w:rPr>
        <w:t>（2）工程建设方案合理可行</w:t>
      </w:r>
    </w:p>
    <w:p>
      <w:pPr>
        <w:ind w:firstLine="560"/>
        <w:rPr>
          <w:rFonts w:ascii="Times New Roman" w:hAnsi="Times New Roman"/>
        </w:rPr>
      </w:pPr>
    </w:p>
    <w:p>
      <w:pPr>
        <w:pStyle w:val="108"/>
      </w:pPr>
      <w:bookmarkStart w:id="46" w:name="_Toc40378646"/>
      <w:bookmarkStart w:id="47" w:name="_Toc204251297"/>
      <w:r>
        <w:t>建议</w:t>
      </w:r>
      <w:bookmarkEnd w:id="46"/>
      <w:bookmarkEnd w:id="47"/>
    </w:p>
    <w:p>
      <w:pPr>
        <w:ind w:firstLine="560"/>
        <w:rPr>
          <w:rFonts w:hint="eastAsia"/>
        </w:rPr>
      </w:pPr>
    </w:p>
    <w:p>
      <w:pPr>
        <w:pStyle w:val="2"/>
        <w:rPr>
          <w:rFonts w:ascii="Times New Roman" w:hAnsi="Times New Roman"/>
        </w:rPr>
      </w:pPr>
      <w:r>
        <w:rPr>
          <w:rFonts w:hint="eastAsia" w:ascii="Times New Roman" w:hAnsi="Times New Roman"/>
        </w:rPr>
        <w:t>项目建设单位概况（赵炫）</w:t>
      </w:r>
    </w:p>
    <w:p>
      <w:pPr>
        <w:pStyle w:val="142"/>
      </w:pPr>
      <w:bookmarkStart w:id="48" w:name="_Toc40378648"/>
      <w:bookmarkStart w:id="49" w:name="_Toc28190348"/>
      <w:bookmarkStart w:id="50" w:name="_Toc204251299"/>
      <w:r>
        <w:t>项目建设单位与职能</w:t>
      </w:r>
      <w:bookmarkEnd w:id="48"/>
      <w:bookmarkEnd w:id="49"/>
      <w:bookmarkEnd w:id="50"/>
    </w:p>
    <w:p>
      <w:pPr>
        <w:ind w:firstLine="560"/>
        <w:rPr>
          <w:rFonts w:ascii="Times New Roman" w:hAnsi="Times New Roman"/>
        </w:rPr>
      </w:pPr>
      <w:r>
        <w:rPr>
          <w:rFonts w:ascii="Times New Roman" w:hAnsi="Times New Roman"/>
        </w:rPr>
        <w:t>本项目建设单位为</w:t>
      </w:r>
      <w:r>
        <w:rPr>
          <w:rFonts w:hint="eastAsia" w:ascii="Times New Roman" w:hAnsi="Times New Roman"/>
        </w:rPr>
        <w:t>XXXX，</w:t>
      </w:r>
      <w:r>
        <w:rPr>
          <w:rFonts w:ascii="Times New Roman" w:hAnsi="Times New Roman"/>
        </w:rPr>
        <w:t>主要职能包括：</w:t>
      </w:r>
    </w:p>
    <w:p>
      <w:pPr>
        <w:ind w:firstLine="560"/>
        <w:rPr>
          <w:rFonts w:ascii="Times New Roman" w:hAnsi="Times New Roman"/>
        </w:rPr>
      </w:pPr>
      <w:r>
        <w:rPr>
          <w:rFonts w:ascii="Times New Roman" w:hAnsi="Times New Roman"/>
        </w:rPr>
        <w:t>（1）</w:t>
      </w:r>
    </w:p>
    <w:p>
      <w:pPr>
        <w:pStyle w:val="142"/>
      </w:pPr>
      <w:bookmarkStart w:id="51" w:name="_Toc204251300"/>
      <w:bookmarkStart w:id="52" w:name="_Toc40378652"/>
      <w:bookmarkStart w:id="53" w:name="_Toc28190352"/>
      <w:r>
        <w:t>项目实施机构与职责</w:t>
      </w:r>
      <w:bookmarkEnd w:id="51"/>
      <w:bookmarkEnd w:id="52"/>
      <w:bookmarkEnd w:id="53"/>
      <w:r>
        <w:rPr>
          <w:rFonts w:hint="eastAsia"/>
        </w:rPr>
        <w:t>（是否按照建设单位具体承建的二级部门）</w:t>
      </w:r>
    </w:p>
    <w:p>
      <w:pPr>
        <w:ind w:firstLine="560"/>
        <w:rPr>
          <w:rFonts w:ascii="Times New Roman" w:hAnsi="Times New Roman"/>
        </w:rPr>
      </w:pPr>
      <w:r>
        <w:rPr>
          <w:rFonts w:ascii="Times New Roman" w:hAnsi="Times New Roman"/>
        </w:rPr>
        <w:t>本项目实施机构为</w:t>
      </w:r>
    </w:p>
    <w:p>
      <w:pPr>
        <w:pStyle w:val="112"/>
        <w:ind w:firstLine="560"/>
      </w:pPr>
    </w:p>
    <w:p>
      <w:pPr>
        <w:pStyle w:val="112"/>
        <w:ind w:firstLine="560"/>
        <w:rPr>
          <w:rFonts w:hint="eastAsia"/>
        </w:rPr>
        <w:sectPr>
          <w:headerReference r:id="rId21" w:type="first"/>
          <w:footerReference r:id="rId23" w:type="first"/>
          <w:headerReference r:id="rId19" w:type="default"/>
          <w:headerReference r:id="rId20" w:type="even"/>
          <w:footerReference r:id="rId22" w:type="even"/>
          <w:pgSz w:w="11906" w:h="16838"/>
          <w:pgMar w:top="1440" w:right="1800" w:bottom="1440" w:left="1800" w:header="851" w:footer="992" w:gutter="0"/>
          <w:cols w:space="720" w:num="1"/>
          <w:docGrid w:type="lines" w:linePitch="312" w:charSpace="0"/>
        </w:sectPr>
      </w:pPr>
    </w:p>
    <w:p>
      <w:pPr>
        <w:pStyle w:val="2"/>
        <w:rPr>
          <w:rFonts w:ascii="Times New Roman" w:hAnsi="Times New Roman"/>
        </w:rPr>
      </w:pPr>
      <w:bookmarkStart w:id="54" w:name="OLE_LINK14"/>
      <w:r>
        <w:rPr>
          <w:rFonts w:hint="eastAsia" w:ascii="Times New Roman" w:hAnsi="Times New Roman"/>
        </w:rPr>
        <w:t>项目背景与需求分析（赵炫）</w:t>
      </w:r>
    </w:p>
    <w:bookmarkEnd w:id="54"/>
    <w:p>
      <w:pPr>
        <w:pStyle w:val="2"/>
        <w:rPr>
          <w:rFonts w:ascii="Times New Roman" w:hAnsi="Times New Roman"/>
        </w:rPr>
      </w:pPr>
      <w:bookmarkStart w:id="55" w:name="OLE_LINK19"/>
      <w:r>
        <w:rPr>
          <w:rFonts w:hint="eastAsia" w:ascii="Times New Roman" w:hAnsi="Times New Roman"/>
        </w:rPr>
        <w:t>“软建设”改革举措（赵炫、设计公司配合）</w:t>
      </w:r>
    </w:p>
    <w:bookmarkEnd w:id="55"/>
    <w:p>
      <w:pPr>
        <w:pStyle w:val="2"/>
        <w:rPr>
          <w:rFonts w:ascii="Times New Roman" w:hAnsi="Times New Roman"/>
        </w:rPr>
      </w:pPr>
      <w:bookmarkStart w:id="56" w:name="OLE_LINK38"/>
      <w:r>
        <w:rPr>
          <w:rFonts w:hint="eastAsia" w:ascii="Times New Roman" w:hAnsi="Times New Roman"/>
        </w:rPr>
        <w:t>项目总体设计方案（赵炫）</w:t>
      </w:r>
      <w:bookmarkEnd w:id="56"/>
    </w:p>
    <w:p>
      <w:pPr>
        <w:pStyle w:val="2"/>
      </w:pPr>
      <w:bookmarkStart w:id="57" w:name="_Toc204251329"/>
      <w:r>
        <w:t>项目设计方案</w:t>
      </w:r>
      <w:bookmarkEnd w:id="57"/>
      <w:r>
        <w:rPr>
          <w:rFonts w:hint="eastAsia"/>
        </w:rPr>
        <w:t>（杨咏臻）</w:t>
      </w:r>
    </w:p>
    <w:p>
      <w:pPr>
        <w:pStyle w:val="142"/>
      </w:pPr>
      <w:r>
        <w:rPr>
          <w:rFonts w:hint="eastAsia"/>
        </w:rPr>
        <w:t>共性支撑能力建设方案 （杨咏臻）</w:t>
      </w:r>
    </w:p>
    <w:p>
      <w:pPr>
        <w:pStyle w:val="108"/>
      </w:pPr>
      <w:r>
        <w:rPr>
          <w:rFonts w:hint="eastAsia"/>
        </w:rPr>
        <w:t>共性支撑能力概述 （杨咏臻）</w:t>
      </w:r>
    </w:p>
    <w:p>
      <w:pPr>
        <w:pStyle w:val="109"/>
      </w:pPr>
      <w:r>
        <w:rPr>
          <w:rFonts w:hint="eastAsia"/>
        </w:rPr>
        <w:t>共性支撑能力构成</w:t>
      </w:r>
    </w:p>
    <w:p>
      <w:pPr>
        <w:pStyle w:val="109"/>
      </w:pPr>
      <w:r>
        <w:rPr>
          <w:rFonts w:hint="eastAsia"/>
        </w:rPr>
        <w:t>共性支撑能力指标</w:t>
      </w:r>
    </w:p>
    <w:p>
      <w:pPr>
        <w:pStyle w:val="108"/>
      </w:pPr>
      <w:r>
        <w:t>算力底座</w:t>
      </w:r>
      <w:r>
        <w:rPr>
          <w:rFonts w:hint="eastAsia"/>
        </w:rPr>
        <w:t>建设</w:t>
      </w:r>
      <w:r>
        <w:t>方案</w:t>
      </w:r>
      <w:r>
        <w:rPr>
          <w:rFonts w:hint="eastAsia"/>
        </w:rPr>
        <w:t xml:space="preserve">  （覃波、孙畅、林川祥）</w:t>
      </w:r>
    </w:p>
    <w:p>
      <w:pPr>
        <w:pStyle w:val="109"/>
      </w:pPr>
      <w:r>
        <w:rPr>
          <w:rFonts w:hint="eastAsia"/>
        </w:rPr>
        <w:t>总体框架</w:t>
      </w:r>
    </w:p>
    <w:p>
      <w:pPr>
        <w:pStyle w:val="107"/>
      </w:pPr>
      <w:r>
        <w:rPr>
          <w:rFonts w:hint="eastAsia"/>
        </w:rPr>
        <w:t>算力底座构成</w:t>
      </w:r>
    </w:p>
    <w:p>
      <w:pPr>
        <w:pStyle w:val="107"/>
      </w:pPr>
      <w:r>
        <w:rPr>
          <w:rFonts w:hint="eastAsia"/>
        </w:rPr>
        <w:t>算力底座指标</w:t>
      </w:r>
    </w:p>
    <w:p>
      <w:pPr>
        <w:pStyle w:val="109"/>
      </w:pPr>
      <w:r>
        <w:rPr>
          <w:rFonts w:hint="eastAsia"/>
        </w:rPr>
        <w:t>算力底座技术方案</w:t>
      </w:r>
    </w:p>
    <w:p>
      <w:pPr>
        <w:pStyle w:val="107"/>
      </w:pPr>
      <w:r>
        <w:t>算力</w:t>
      </w:r>
      <w:r>
        <w:rPr>
          <w:rFonts w:hint="eastAsia"/>
        </w:rPr>
        <w:t>资源建设</w:t>
      </w:r>
    </w:p>
    <w:p>
      <w:pPr>
        <w:pStyle w:val="106"/>
      </w:pPr>
      <w:r>
        <w:rPr>
          <w:rFonts w:hint="eastAsia"/>
        </w:rPr>
        <w:t>智算资源建设</w:t>
      </w:r>
    </w:p>
    <w:p>
      <w:pPr>
        <w:pStyle w:val="106"/>
      </w:pPr>
      <w:r>
        <w:rPr>
          <w:rFonts w:hint="eastAsia"/>
        </w:rPr>
        <w:t>通算资源建设</w:t>
      </w:r>
    </w:p>
    <w:p>
      <w:pPr>
        <w:pStyle w:val="107"/>
      </w:pPr>
      <w:r>
        <w:t>存储</w:t>
      </w:r>
      <w:r>
        <w:rPr>
          <w:rFonts w:hint="eastAsia"/>
        </w:rPr>
        <w:t>资源建设</w:t>
      </w:r>
    </w:p>
    <w:p>
      <w:pPr>
        <w:pStyle w:val="107"/>
      </w:pPr>
      <w:r>
        <w:rPr>
          <w:rFonts w:hint="eastAsia"/>
        </w:rPr>
        <w:t>网络资源建设</w:t>
      </w:r>
    </w:p>
    <w:p>
      <w:pPr>
        <w:ind w:firstLine="560"/>
      </w:pPr>
    </w:p>
    <w:p>
      <w:pPr>
        <w:ind w:firstLine="560"/>
      </w:pPr>
    </w:p>
    <w:p>
      <w:pPr>
        <w:pStyle w:val="109"/>
      </w:pPr>
      <w:r>
        <w:t>算力</w:t>
      </w:r>
      <w:r>
        <w:rPr>
          <w:rFonts w:hint="eastAsia"/>
        </w:rPr>
        <w:t>底</w:t>
      </w:r>
      <w:r>
        <w:t>座</w:t>
      </w:r>
      <w:r>
        <w:rPr>
          <w:rFonts w:hint="eastAsia"/>
        </w:rPr>
        <w:t>设备方案</w:t>
      </w:r>
    </w:p>
    <w:p>
      <w:pPr>
        <w:pStyle w:val="107"/>
      </w:pPr>
      <w:r>
        <w:rPr>
          <w:rFonts w:hint="eastAsia"/>
        </w:rPr>
        <w:t>选型原则</w:t>
      </w:r>
    </w:p>
    <w:p>
      <w:pPr>
        <w:pStyle w:val="107"/>
      </w:pPr>
      <w:r>
        <w:rPr>
          <w:rFonts w:hint="eastAsia"/>
        </w:rPr>
        <w:t>主要设备配置清单</w:t>
      </w:r>
    </w:p>
    <w:p>
      <w:pPr>
        <w:ind w:firstLine="560"/>
      </w:pPr>
    </w:p>
    <w:p>
      <w:pPr>
        <w:pStyle w:val="108"/>
      </w:pPr>
      <w:r>
        <w:rPr>
          <w:rFonts w:hint="eastAsia"/>
        </w:rPr>
        <w:t>高质量语料数据集建设</w:t>
      </w:r>
      <w:r>
        <w:t>方案</w:t>
      </w:r>
      <w:r>
        <w:rPr>
          <w:rFonts w:hint="eastAsia"/>
        </w:rPr>
        <w:t xml:space="preserve"> （韩琳、张译瑾）</w:t>
      </w:r>
    </w:p>
    <w:p>
      <w:pPr>
        <w:pStyle w:val="109"/>
        <w:rPr>
          <w:b/>
          <w:bCs/>
        </w:rPr>
      </w:pPr>
      <w:r>
        <w:rPr>
          <w:rFonts w:hint="eastAsia"/>
          <w:b/>
          <w:bCs/>
        </w:rPr>
        <w:t>总体</w:t>
      </w:r>
      <w:r>
        <w:rPr>
          <w:rFonts w:hint="eastAsia"/>
        </w:rPr>
        <w:t>框架</w:t>
      </w:r>
    </w:p>
    <w:p>
      <w:pPr>
        <w:ind w:firstLine="562"/>
        <w:jc w:val="center"/>
        <w:rPr>
          <w:b/>
          <w:bCs/>
          <w:highlight w:val="yellow"/>
        </w:rPr>
      </w:pPr>
      <w:r>
        <w:rPr>
          <w:rFonts w:hint="eastAsia"/>
          <w:b/>
          <w:bCs/>
          <w:highlight w:val="yellow"/>
        </w:rPr>
        <w:t>形成数据集到模型的图</w:t>
      </w:r>
    </w:p>
    <w:p>
      <w:pPr>
        <w:ind w:firstLine="562"/>
        <w:jc w:val="center"/>
        <w:rPr>
          <w:b/>
          <w:bCs/>
          <w:highlight w:val="yellow"/>
        </w:rPr>
      </w:pPr>
      <w:r>
        <w:rPr>
          <w:rFonts w:hint="eastAsia"/>
          <w:b/>
          <w:bCs/>
          <w:highlight w:val="yellow"/>
        </w:rPr>
        <w:t>图+文</w:t>
      </w:r>
    </w:p>
    <w:p>
      <w:pPr>
        <w:ind w:firstLine="562"/>
        <w:jc w:val="center"/>
        <w:rPr>
          <w:b/>
          <w:bCs/>
        </w:rPr>
      </w:pPr>
    </w:p>
    <w:p>
      <w:pPr>
        <w:ind w:firstLine="562"/>
        <w:jc w:val="center"/>
        <w:rPr>
          <w:b/>
          <w:bCs/>
        </w:rPr>
      </w:pPr>
    </w:p>
    <w:p>
      <w:pPr>
        <w:ind w:firstLine="560"/>
      </w:pPr>
      <w:r>
        <w:rPr>
          <w:rFonts w:hint="eastAsia"/>
        </w:rPr>
        <w:t>语料数据集应用</w:t>
      </w:r>
    </w:p>
    <w:p>
      <w:pPr>
        <w:ind w:firstLine="560"/>
      </w:pPr>
      <w:r>
        <w:rPr>
          <w:rFonts w:hint="eastAsia"/>
        </w:rPr>
        <w:t>预训练语料数据集</w:t>
      </w:r>
    </w:p>
    <w:p>
      <w:pPr>
        <w:ind w:firstLine="560"/>
      </w:pPr>
      <w:r>
        <w:rPr>
          <w:rFonts w:hint="eastAsia"/>
        </w:rPr>
        <w:t>微调语料数据集</w:t>
      </w:r>
    </w:p>
    <w:p>
      <w:pPr>
        <w:ind w:firstLine="560"/>
      </w:pPr>
      <w:r>
        <w:rPr>
          <w:rFonts w:hint="eastAsia"/>
        </w:rPr>
        <w:t>评测语料数据集</w:t>
      </w:r>
    </w:p>
    <w:p>
      <w:pPr>
        <w:pStyle w:val="109"/>
        <w:rPr>
          <w:b/>
          <w:bCs/>
        </w:rPr>
      </w:pPr>
      <w:r>
        <w:rPr>
          <w:rFonts w:hint="eastAsia"/>
          <w:b/>
          <w:bCs/>
        </w:rPr>
        <w:t>高质量语料数据集来源</w:t>
      </w:r>
    </w:p>
    <w:p>
      <w:pPr>
        <w:ind w:firstLine="560"/>
      </w:pPr>
      <w:r>
        <w:rPr>
          <w:rFonts w:hint="eastAsia" w:ascii="Times New Roman" w:hAnsi="Times New Roman"/>
        </w:rPr>
        <w:t>细化自有数据说明、补充采购数据，去掉数据定制说法</w:t>
      </w:r>
    </w:p>
    <w:p>
      <w:pPr>
        <w:pStyle w:val="109"/>
      </w:pPr>
      <w:r>
        <w:rPr>
          <w:rFonts w:hint="eastAsia"/>
        </w:rPr>
        <w:t>高质量语料数据集构建流程</w:t>
      </w:r>
    </w:p>
    <w:p>
      <w:pPr>
        <w:pStyle w:val="109"/>
      </w:pPr>
      <w:r>
        <w:rPr>
          <w:rFonts w:hint="eastAsia"/>
        </w:rPr>
        <w:t>高质量语料数据集标注方法</w:t>
      </w:r>
    </w:p>
    <w:p>
      <w:pPr>
        <w:pStyle w:val="109"/>
      </w:pPr>
      <w:r>
        <w:rPr>
          <w:rFonts w:hint="eastAsia"/>
        </w:rPr>
        <w:t>高质量语料数据集标注规范及标签体系</w:t>
      </w:r>
    </w:p>
    <w:p>
      <w:pPr>
        <w:pStyle w:val="109"/>
      </w:pPr>
      <w:r>
        <w:rPr>
          <w:rFonts w:hint="eastAsia"/>
        </w:rPr>
        <w:t>高质量语料数据集成果产出</w:t>
      </w:r>
    </w:p>
    <w:p>
      <w:pPr>
        <w:pStyle w:val="107"/>
      </w:pPr>
      <w:r>
        <w:rPr>
          <w:rFonts w:hint="eastAsia"/>
        </w:rPr>
        <w:t>数据集清单</w:t>
      </w:r>
    </w:p>
    <w:p>
      <w:pPr>
        <w:pStyle w:val="107"/>
      </w:pPr>
      <w:r>
        <w:rPr>
          <w:rFonts w:hint="eastAsia"/>
        </w:rPr>
        <w:t>数据集示例</w:t>
      </w:r>
    </w:p>
    <w:p>
      <w:pPr>
        <w:pStyle w:val="108"/>
      </w:pPr>
      <w:r>
        <w:t>算法模型</w:t>
      </w:r>
      <w:r>
        <w:rPr>
          <w:rFonts w:hint="eastAsia"/>
        </w:rPr>
        <w:t>建设</w:t>
      </w:r>
      <w:r>
        <w:t>方案</w:t>
      </w:r>
      <w:r>
        <w:rPr>
          <w:rFonts w:hint="eastAsia"/>
        </w:rPr>
        <w:t>（张旭、</w:t>
      </w:r>
      <w:r>
        <w:rPr>
          <w:rFonts w:hint="eastAsia"/>
          <w:lang w:eastAsia="zh-CN"/>
        </w:rPr>
        <w:t>李振邦、</w:t>
      </w:r>
      <w:r>
        <w:rPr>
          <w:rFonts w:hint="eastAsia"/>
        </w:rPr>
        <w:t>崔涵）</w:t>
      </w:r>
    </w:p>
    <w:p>
      <w:pPr>
        <w:pStyle w:val="109"/>
      </w:pPr>
      <w:r>
        <w:rPr>
          <w:rFonts w:hint="eastAsia"/>
        </w:rPr>
        <w:t>总体框架</w:t>
      </w:r>
    </w:p>
    <w:p>
      <w:pPr>
        <w:pStyle w:val="112"/>
        <w:ind w:firstLine="560"/>
        <w:rPr>
          <w:bCs/>
        </w:rPr>
      </w:pPr>
      <w:r>
        <w:t>项目拟选择</w:t>
      </w:r>
      <w:r>
        <w:rPr>
          <w:rFonts w:hint="eastAsia"/>
        </w:rPr>
        <w:t>先进且活跃的</w:t>
      </w:r>
      <w:r>
        <w:rPr>
          <w:rFonts w:hint="eastAsia"/>
          <w:b/>
          <w:bCs/>
        </w:rPr>
        <w:t>开/闭源</w:t>
      </w:r>
      <w:r>
        <w:t>语言大模型、音频大模型、视觉大模型、多模态大模型为</w:t>
      </w:r>
      <w:r>
        <w:rPr>
          <w:b/>
          <w:bCs/>
        </w:rPr>
        <w:t>基础大模型（L0）</w:t>
      </w:r>
      <w:r>
        <w:t>。由于当前大模型技术更新迭代快，项目组将积极跟进国内外大模型研究进展，在安防行业人工智能共性服务平台中纳管</w:t>
      </w:r>
      <w:r>
        <w:rPr>
          <w:rFonts w:hint="eastAsia"/>
        </w:rPr>
        <w:t>通义千问</w:t>
      </w:r>
      <w:r>
        <w:t>、DeepSeek、GLM等优秀多个开源基础大模型，以更好支撑安防场景各类复杂应用。项目组将基础大模型与海量的安防行业高质量数据集结合，在共性服务平台上集中开展预训练，</w:t>
      </w:r>
      <w:r>
        <w:rPr>
          <w:b/>
          <w:bCs/>
        </w:rPr>
        <w:t>构建全要素解析、行为事件监测、行为事件预测、情景理解、线索分析研判、图像重建等安防行业共性能力。</w:t>
      </w:r>
      <w:r>
        <w:rPr>
          <w:rFonts w:hint="eastAsia"/>
        </w:rPr>
        <w:t>发布的</w:t>
      </w:r>
      <w:r>
        <w:t>大模型分为公安版和社会安防版，公安版采用全量数据训练，部署于公安信息网，社会安防版采用社会安防数据进行训练，不含公安敏感信息，部署于行业专网。在安防行业大模型基础上，结合具体场景任务进行微调，集中构建一批</w:t>
      </w:r>
      <w:r>
        <w:rPr>
          <w:b/>
          <w:bCs/>
        </w:rPr>
        <w:t>细分场景应用模型（L2）</w:t>
      </w:r>
      <w:r>
        <w:t>，并在此基础上通过模型轻量化、大小模型协同、端边云结合等方式形成</w:t>
      </w:r>
      <w:r>
        <w:rPr>
          <w:b/>
          <w:bCs/>
        </w:rPr>
        <w:t>AI规模化落地方案</w:t>
      </w:r>
      <w:r>
        <w:t>，统一为全国安防应用和企业产品赋能，减少各地各企业分散重复训练的成本</w:t>
      </w:r>
      <w:r>
        <w:rPr>
          <w:bCs/>
        </w:rPr>
        <w:t>。</w:t>
      </w:r>
    </w:p>
    <w:p>
      <w:pPr>
        <w:pStyle w:val="112"/>
        <w:ind w:firstLine="560"/>
        <w:rPr>
          <w:bCs/>
        </w:rPr>
      </w:pPr>
    </w:p>
    <w:p>
      <w:pPr>
        <w:pStyle w:val="112"/>
      </w:pPr>
      <w:r>
        <w:drawing>
          <wp:inline distT="0" distB="0" distL="0" distR="0">
            <wp:extent cx="8854440" cy="4183380"/>
            <wp:effectExtent l="0" t="0" r="3810" b="7620"/>
            <wp:docPr id="1"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5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8854440" cy="4183380"/>
                    </a:xfrm>
                    <a:prstGeom prst="rect">
                      <a:avLst/>
                    </a:prstGeom>
                    <a:noFill/>
                    <a:ln>
                      <a:noFill/>
                    </a:ln>
                  </pic:spPr>
                </pic:pic>
              </a:graphicData>
            </a:graphic>
          </wp:inline>
        </w:drawing>
      </w:r>
    </w:p>
    <w:p>
      <w:pPr>
        <w:pStyle w:val="24"/>
        <w:spacing w:before="190"/>
      </w:pPr>
      <w:r>
        <w:t>图</w:t>
      </w:r>
      <w:r>
        <w:fldChar w:fldCharType="begin"/>
      </w:r>
      <w:r>
        <w:instrText xml:space="preserve"> SEQ 图 \* ARABIC </w:instrText>
      </w:r>
      <w:r>
        <w:fldChar w:fldCharType="separate"/>
      </w:r>
      <w:r>
        <w:t>63</w:t>
      </w:r>
      <w:r>
        <w:fldChar w:fldCharType="end"/>
      </w:r>
      <w:r>
        <w:t xml:space="preserve"> 安防算法模型技术方案全景图</w:t>
      </w:r>
    </w:p>
    <w:p>
      <w:pPr>
        <w:pStyle w:val="112"/>
      </w:pPr>
    </w:p>
    <w:p>
      <w:pPr>
        <w:pStyle w:val="112"/>
        <w:sectPr>
          <w:headerReference r:id="rId26" w:type="first"/>
          <w:footerReference r:id="rId29" w:type="first"/>
          <w:headerReference r:id="rId24" w:type="default"/>
          <w:footerReference r:id="rId27" w:type="default"/>
          <w:headerReference r:id="rId25" w:type="even"/>
          <w:footerReference r:id="rId28" w:type="even"/>
          <w:pgSz w:w="11906" w:h="16838"/>
          <w:pgMar w:top="1440" w:right="1800" w:bottom="1440" w:left="1800" w:header="851" w:footer="992" w:gutter="0"/>
          <w:cols w:space="720" w:num="1"/>
          <w:docGrid w:type="lines" w:linePitch="312" w:charSpace="0"/>
        </w:sectPr>
      </w:pPr>
    </w:p>
    <w:p/>
    <w:p>
      <w:pPr>
        <w:pStyle w:val="109"/>
      </w:pPr>
      <w:r>
        <w:rPr>
          <w:rFonts w:hint="eastAsia"/>
        </w:rPr>
        <w:t>基础大模型技术方案</w:t>
      </w:r>
      <w:bookmarkStart w:id="188" w:name="_GoBack"/>
      <w:bookmarkEnd w:id="188"/>
    </w:p>
    <w:p>
      <w:pPr>
        <w:pStyle w:val="112"/>
        <w:ind w:firstLine="560"/>
        <w:rPr>
          <w:rFonts w:hint="eastAsia"/>
        </w:rPr>
      </w:pPr>
      <w:r>
        <w:t>项目拟选择</w:t>
      </w:r>
      <w:r>
        <w:rPr>
          <w:b/>
          <w:bCs/>
        </w:rPr>
        <w:t>先进且活跃的开/闭源</w:t>
      </w:r>
      <w:r>
        <w:t>语言大模型、音频大模型、视觉大模型、多模态大模型为</w:t>
      </w:r>
      <w:r>
        <w:rPr>
          <w:b/>
          <w:bCs/>
        </w:rPr>
        <w:t>基础大模型（L0）</w:t>
      </w:r>
      <w:r>
        <w:t>。由于当前大模型技术更新迭代快，项目组实时跟进活跃的</w:t>
      </w:r>
      <w:r>
        <w:rPr>
          <w:rFonts w:hint="eastAsia"/>
        </w:rPr>
        <w:t>基础</w:t>
      </w:r>
      <w:r>
        <w:t>大模型的最新进展（</w:t>
      </w:r>
      <w:r>
        <w:rPr>
          <w:rFonts w:hint="eastAsia"/>
        </w:rPr>
        <w:t>如</w:t>
      </w:r>
      <w:r>
        <w:fldChar w:fldCharType="begin"/>
      </w:r>
      <w:r>
        <w:instrText xml:space="preserve"> </w:instrText>
      </w:r>
      <w:r>
        <w:rPr>
          <w:rFonts w:hint="eastAsia"/>
        </w:rPr>
        <w:instrText xml:space="preserve">REF _Ref221629257 \h</w:instrText>
      </w:r>
      <w:r>
        <w:instrText xml:space="preserve">  \* MERGEFORMAT </w:instrText>
      </w:r>
      <w:r>
        <w:fldChar w:fldCharType="separate"/>
      </w:r>
      <w:r>
        <w:t>表33</w:t>
      </w:r>
      <w:r>
        <w:fldChar w:fldCharType="end"/>
      </w:r>
      <w:r>
        <w:rPr>
          <w:rFonts w:hint="eastAsia"/>
        </w:rPr>
        <w:t>，</w:t>
      </w:r>
      <w:r>
        <w:t>SuperCLUE 2025年11月），动态更新基础模型的泛化能力，快速迭代，构建基础模型上线、测试、优化、推理、服务等快速应用迭代的链条机制。依托的国产如飞桨的生态环境框架、LMDeploy等优秀的推理框架，形成与国产化算力适配快速生成优化上线迭代的基础大模型机制</w:t>
      </w:r>
      <w:r>
        <w:rPr>
          <w:rFonts w:hint="eastAsia"/>
        </w:rPr>
        <w:t>。</w:t>
      </w:r>
    </w:p>
    <w:p>
      <w:pPr>
        <w:pStyle w:val="112"/>
        <w:ind w:firstLine="560"/>
        <w:rPr>
          <w:rFonts w:hint="eastAsia"/>
        </w:rPr>
      </w:pPr>
    </w:p>
    <w:p>
      <w:pPr>
        <w:pStyle w:val="24"/>
        <w:spacing w:before="190"/>
        <w:rPr>
          <w:rFonts w:eastAsia="宋体"/>
        </w:rPr>
      </w:pPr>
      <w:r>
        <w:t>表</w:t>
      </w:r>
      <w:r>
        <w:fldChar w:fldCharType="begin"/>
      </w:r>
      <w:r>
        <w:instrText xml:space="preserve"> SEQ 表 \* ARABIC </w:instrText>
      </w:r>
      <w:r>
        <w:fldChar w:fldCharType="separate"/>
      </w:r>
      <w:r>
        <w:t>33</w:t>
      </w:r>
      <w:r>
        <w:fldChar w:fldCharType="end"/>
      </w:r>
      <w:r>
        <w:t xml:space="preserve"> 大模型整体能力对比(SuperCLUE 2025年11月)</w:t>
      </w:r>
    </w:p>
    <w:tbl>
      <w:tblPr>
        <w:tblStyle w:val="13"/>
        <w:tblW w:w="5000" w:type="pct"/>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Layout w:type="fixed"/>
        <w:tblCellMar>
          <w:top w:w="0" w:type="dxa"/>
          <w:left w:w="108" w:type="dxa"/>
          <w:bottom w:w="0" w:type="dxa"/>
          <w:right w:w="108" w:type="dxa"/>
        </w:tblCellMar>
      </w:tblPr>
      <w:tblGrid>
        <w:gridCol w:w="1456"/>
        <w:gridCol w:w="1636"/>
        <w:gridCol w:w="682"/>
        <w:gridCol w:w="536"/>
        <w:gridCol w:w="785"/>
        <w:gridCol w:w="785"/>
        <w:gridCol w:w="785"/>
        <w:gridCol w:w="1070"/>
        <w:gridCol w:w="787"/>
      </w:tblGrid>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269" w:hRule="atLeast"/>
          <w:jc w:val="center"/>
        </w:trPr>
        <w:tc>
          <w:tcPr>
            <w:tcW w:w="854" w:type="pct"/>
            <w:vMerge w:val="restart"/>
            <w:shd w:val="clear" w:color="auto" w:fill="D0CECE" w:themeFill="background2" w:themeFillShade="E6"/>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模型名称</w:t>
            </w:r>
          </w:p>
        </w:tc>
        <w:tc>
          <w:tcPr>
            <w:tcW w:w="959" w:type="pct"/>
            <w:vMerge w:val="restart"/>
            <w:shd w:val="clear" w:color="auto" w:fill="D0CECE" w:themeFill="background2" w:themeFillShade="E6"/>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机构</w:t>
            </w:r>
          </w:p>
        </w:tc>
        <w:tc>
          <w:tcPr>
            <w:tcW w:w="400" w:type="pct"/>
            <w:vMerge w:val="restart"/>
            <w:shd w:val="clear" w:color="auto" w:fill="D0CECE" w:themeFill="background2" w:themeFillShade="E6"/>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开/闭源</w:t>
            </w:r>
          </w:p>
        </w:tc>
        <w:tc>
          <w:tcPr>
            <w:tcW w:w="314" w:type="pct"/>
            <w:vMerge w:val="restart"/>
            <w:shd w:val="clear" w:color="auto" w:fill="D0CECE" w:themeFill="background2" w:themeFillShade="E6"/>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总分</w:t>
            </w:r>
          </w:p>
        </w:tc>
        <w:tc>
          <w:tcPr>
            <w:tcW w:w="460" w:type="pct"/>
            <w:vMerge w:val="restart"/>
            <w:shd w:val="clear" w:color="auto" w:fill="D0CECE" w:themeFill="background2" w:themeFillShade="E6"/>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数学推理</w:t>
            </w:r>
          </w:p>
        </w:tc>
        <w:tc>
          <w:tcPr>
            <w:tcW w:w="460" w:type="pct"/>
            <w:vMerge w:val="restart"/>
            <w:shd w:val="clear" w:color="auto" w:fill="D0CECE" w:themeFill="background2" w:themeFillShade="E6"/>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幻觉控制</w:t>
            </w:r>
          </w:p>
        </w:tc>
        <w:tc>
          <w:tcPr>
            <w:tcW w:w="460" w:type="pct"/>
            <w:vMerge w:val="restart"/>
            <w:shd w:val="clear" w:color="auto" w:fill="D0CECE" w:themeFill="background2" w:themeFillShade="E6"/>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科学推理</w:t>
            </w:r>
          </w:p>
        </w:tc>
        <w:tc>
          <w:tcPr>
            <w:tcW w:w="627" w:type="pct"/>
            <w:vMerge w:val="restart"/>
            <w:shd w:val="clear" w:color="auto" w:fill="D0CECE" w:themeFill="background2" w:themeFillShade="E6"/>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精确指令遵循</w:t>
            </w:r>
          </w:p>
        </w:tc>
        <w:tc>
          <w:tcPr>
            <w:tcW w:w="461" w:type="pct"/>
            <w:vMerge w:val="restart"/>
            <w:shd w:val="clear" w:color="auto" w:fill="D0CECE" w:themeFill="background2" w:themeFillShade="E6"/>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代码生成</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trHeight w:val="269" w:hRule="atLeast"/>
          <w:jc w:val="center"/>
        </w:trPr>
        <w:tc>
          <w:tcPr>
            <w:tcW w:w="854" w:type="pct"/>
            <w:vMerge w:val="continue"/>
            <w:shd w:val="clear" w:color="auto" w:fill="D0CECE" w:themeFill="background2" w:themeFillShade="E6"/>
            <w:noWrap/>
            <w:vAlign w:val="center"/>
          </w:tcPr>
          <w:p>
            <w:pPr>
              <w:spacing w:line="240" w:lineRule="auto"/>
              <w:ind w:firstLine="0" w:firstLineChars="0"/>
              <w:jc w:val="center"/>
              <w:rPr>
                <w:rFonts w:ascii="Times New Roman" w:hAnsi="Times New Roman" w:cs="Calibri"/>
                <w:color w:val="000000"/>
                <w:sz w:val="22"/>
                <w:szCs w:val="22"/>
              </w:rPr>
            </w:pPr>
          </w:p>
        </w:tc>
        <w:tc>
          <w:tcPr>
            <w:tcW w:w="959" w:type="pct"/>
            <w:vMerge w:val="continue"/>
            <w:shd w:val="clear" w:color="auto" w:fill="D0CECE" w:themeFill="background2" w:themeFillShade="E6"/>
            <w:noWrap/>
            <w:vAlign w:val="center"/>
          </w:tcPr>
          <w:p>
            <w:pPr>
              <w:spacing w:line="240" w:lineRule="auto"/>
              <w:ind w:firstLine="0" w:firstLineChars="0"/>
              <w:jc w:val="center"/>
              <w:rPr>
                <w:rFonts w:ascii="Times New Roman" w:hAnsi="Times New Roman" w:cs="Calibri"/>
                <w:color w:val="000000"/>
                <w:sz w:val="22"/>
                <w:szCs w:val="22"/>
              </w:rPr>
            </w:pPr>
          </w:p>
        </w:tc>
        <w:tc>
          <w:tcPr>
            <w:tcW w:w="400" w:type="pct"/>
            <w:vMerge w:val="continue"/>
            <w:shd w:val="clear" w:color="auto" w:fill="D0CECE" w:themeFill="background2" w:themeFillShade="E6"/>
            <w:noWrap/>
            <w:vAlign w:val="center"/>
          </w:tcPr>
          <w:p>
            <w:pPr>
              <w:spacing w:line="240" w:lineRule="auto"/>
              <w:ind w:firstLine="0" w:firstLineChars="0"/>
              <w:jc w:val="center"/>
              <w:rPr>
                <w:rFonts w:ascii="Times New Roman" w:hAnsi="Times New Roman" w:cs="Calibri"/>
                <w:color w:val="000000"/>
                <w:sz w:val="22"/>
                <w:szCs w:val="22"/>
              </w:rPr>
            </w:pPr>
          </w:p>
        </w:tc>
        <w:tc>
          <w:tcPr>
            <w:tcW w:w="314" w:type="pct"/>
            <w:vMerge w:val="continue"/>
            <w:shd w:val="clear" w:color="auto" w:fill="D0CECE" w:themeFill="background2" w:themeFillShade="E6"/>
            <w:noWrap/>
            <w:vAlign w:val="center"/>
          </w:tcPr>
          <w:p>
            <w:pPr>
              <w:spacing w:line="240" w:lineRule="auto"/>
              <w:ind w:firstLine="0" w:firstLineChars="0"/>
              <w:jc w:val="center"/>
              <w:rPr>
                <w:rFonts w:ascii="Times New Roman" w:hAnsi="Times New Roman" w:cs="Calibri"/>
                <w:color w:val="000000"/>
                <w:sz w:val="22"/>
                <w:szCs w:val="22"/>
              </w:rPr>
            </w:pPr>
          </w:p>
        </w:tc>
        <w:tc>
          <w:tcPr>
            <w:tcW w:w="460" w:type="pct"/>
            <w:vMerge w:val="continue"/>
            <w:shd w:val="clear" w:color="auto" w:fill="D0CECE" w:themeFill="background2" w:themeFillShade="E6"/>
            <w:noWrap/>
            <w:vAlign w:val="center"/>
          </w:tcPr>
          <w:p>
            <w:pPr>
              <w:spacing w:line="240" w:lineRule="auto"/>
              <w:ind w:firstLine="0" w:firstLineChars="0"/>
              <w:jc w:val="center"/>
              <w:rPr>
                <w:rFonts w:ascii="Times New Roman" w:hAnsi="Times New Roman" w:cs="Calibri"/>
                <w:color w:val="000000"/>
                <w:sz w:val="22"/>
                <w:szCs w:val="22"/>
              </w:rPr>
            </w:pPr>
          </w:p>
        </w:tc>
        <w:tc>
          <w:tcPr>
            <w:tcW w:w="460" w:type="pct"/>
            <w:vMerge w:val="continue"/>
            <w:shd w:val="clear" w:color="auto" w:fill="D0CECE" w:themeFill="background2" w:themeFillShade="E6"/>
            <w:noWrap/>
            <w:vAlign w:val="center"/>
          </w:tcPr>
          <w:p>
            <w:pPr>
              <w:spacing w:line="240" w:lineRule="auto"/>
              <w:ind w:firstLine="0" w:firstLineChars="0"/>
              <w:jc w:val="center"/>
              <w:rPr>
                <w:rFonts w:ascii="Times New Roman" w:hAnsi="Times New Roman" w:cs="Calibri"/>
                <w:color w:val="000000"/>
                <w:sz w:val="22"/>
                <w:szCs w:val="22"/>
              </w:rPr>
            </w:pPr>
          </w:p>
        </w:tc>
        <w:tc>
          <w:tcPr>
            <w:tcW w:w="460" w:type="pct"/>
            <w:vMerge w:val="continue"/>
            <w:shd w:val="clear" w:color="auto" w:fill="D0CECE" w:themeFill="background2" w:themeFillShade="E6"/>
            <w:noWrap/>
            <w:vAlign w:val="center"/>
          </w:tcPr>
          <w:p>
            <w:pPr>
              <w:spacing w:line="240" w:lineRule="auto"/>
              <w:ind w:firstLine="0" w:firstLineChars="0"/>
              <w:jc w:val="center"/>
              <w:rPr>
                <w:rFonts w:ascii="Times New Roman" w:hAnsi="Times New Roman" w:cs="Calibri"/>
                <w:color w:val="000000"/>
                <w:sz w:val="22"/>
                <w:szCs w:val="22"/>
              </w:rPr>
            </w:pPr>
          </w:p>
        </w:tc>
        <w:tc>
          <w:tcPr>
            <w:tcW w:w="627" w:type="pct"/>
            <w:vMerge w:val="continue"/>
            <w:shd w:val="clear" w:color="auto" w:fill="D0CECE" w:themeFill="background2" w:themeFillShade="E6"/>
            <w:noWrap/>
            <w:vAlign w:val="center"/>
          </w:tcPr>
          <w:p>
            <w:pPr>
              <w:spacing w:line="240" w:lineRule="auto"/>
              <w:ind w:firstLine="0" w:firstLineChars="0"/>
              <w:jc w:val="center"/>
              <w:rPr>
                <w:rFonts w:ascii="Times New Roman" w:hAnsi="Times New Roman" w:cs="Calibri"/>
                <w:color w:val="000000"/>
                <w:sz w:val="22"/>
                <w:szCs w:val="22"/>
              </w:rPr>
            </w:pPr>
          </w:p>
        </w:tc>
        <w:tc>
          <w:tcPr>
            <w:tcW w:w="461" w:type="pct"/>
            <w:vMerge w:val="continue"/>
            <w:shd w:val="clear" w:color="auto" w:fill="D0CECE" w:themeFill="background2" w:themeFillShade="E6"/>
            <w:noWrap/>
            <w:vAlign w:val="center"/>
          </w:tcPr>
          <w:p>
            <w:pPr>
              <w:spacing w:line="240" w:lineRule="auto"/>
              <w:ind w:firstLine="0" w:firstLineChars="0"/>
              <w:jc w:val="center"/>
              <w:rPr>
                <w:rFonts w:ascii="Times New Roman" w:hAnsi="Times New Roman" w:cs="Calibri"/>
                <w:color w:val="000000"/>
                <w:sz w:val="22"/>
                <w:szCs w:val="22"/>
              </w:rPr>
            </w:pP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DeepSeek-V3.2-Speciale</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深度求索</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62.02</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75.24</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82.95</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43.36</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44.34</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64.22</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DeepSeek-V3.2-Thinking</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深度求索</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60.4</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69.44</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85.17</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42.48</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42.58</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62.31</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ERNIE-5.0-Preview</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百度</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闭源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56.07</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48.15</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80.49</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29.2</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58.06</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64.42</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GLM-4.7</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智谱AI</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54.16</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60</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86.84</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37.5</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30.42</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56.05</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DeepSeek-V3.2-Exp-Thinking</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深度求索</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53.69</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49.07</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82.3</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36.28</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37.1</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63.7</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Kimi-K2-Thinking</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月之暗面</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53.07</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63.89</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77.88</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36.28</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30.65</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56.63</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openPangu-718B</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华为</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52.38</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46.3</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88.34</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27.43</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39.35</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60.46</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GLM-4.6</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智谱AI</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52.22</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58.33</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84.73</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36.28</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23.87</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57.89</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SenseNova V6.5 Pro</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商汤</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闭源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51.67</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49.07</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77.57</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30.97</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42.9</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57.82</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Qwen3-Max</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阿里巴巴</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闭源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51.56</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55.56</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78.39</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46.02</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13.55</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64.29</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Qwen3-Max-Preview-Thinking</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阿里巴巴</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闭源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51.31</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55.56</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76.21</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38.94</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33.55</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52.28</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Doubao-Seed-1.6-251015(Thinking)</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字节跳动</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闭源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51.01</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42.06</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89.17</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31.86</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36.77</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55.18</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Qwen3-235B-A22B-Thinking-2507</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阿里巴巴</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49.6</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52.78</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77.12</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26.55</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32.58</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58.94</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360zhinao3-o1.5</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360</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闭源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46.6</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32.41</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86.25</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24.78</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49.68</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39.87</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Qwen3-Next-80B-A3B-Thinking</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阿里巴巴</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43.41</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47.22</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68.52</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21.24</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31.94</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48.12</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MiniMax-M2.1</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稀宇科技</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41.73</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37.04</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72.61</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20.35</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22.26</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56.4</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gpt-oss-120b</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OpenAI</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40.88</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60.65</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57.93</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25.66</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26.45</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33.73</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Hunyuan-T1-20250822</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腾讯</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闭源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40.74</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36.11</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81.82</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22.12</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27.42</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36.24</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MiniMax-M2</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稀宇科技</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40.02</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19.44</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64.17</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32.74</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26.77</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56.96</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LongCat-Flash-Thinking</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美团</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开源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36.63</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23.15</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77.79</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17.7</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26.45</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38.09</w:t>
            </w:r>
          </w:p>
        </w:tc>
      </w:tr>
      <w:tr>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shd w:val="clear" w:color="auto" w:fill="FFFFFF" w:themeFill="background1"/>
          <w:tblCellMar>
            <w:top w:w="0" w:type="dxa"/>
            <w:left w:w="108" w:type="dxa"/>
            <w:bottom w:w="0" w:type="dxa"/>
            <w:right w:w="108" w:type="dxa"/>
          </w:tblCellMar>
        </w:tblPrEx>
        <w:trPr>
          <w:jc w:val="center"/>
        </w:trPr>
        <w:tc>
          <w:tcPr>
            <w:tcW w:w="85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Spark-X1.5</w:t>
            </w:r>
          </w:p>
        </w:tc>
        <w:tc>
          <w:tcPr>
            <w:tcW w:w="959"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科大讯飞</w:t>
            </w:r>
          </w:p>
        </w:tc>
        <w:tc>
          <w:tcPr>
            <w:tcW w:w="40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闭源</w:t>
            </w:r>
          </w:p>
        </w:tc>
        <w:tc>
          <w:tcPr>
            <w:tcW w:w="314"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31.56</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26.85</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69.66</w:t>
            </w:r>
          </w:p>
        </w:tc>
        <w:tc>
          <w:tcPr>
            <w:tcW w:w="460"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5.31</w:t>
            </w:r>
          </w:p>
        </w:tc>
        <w:tc>
          <w:tcPr>
            <w:tcW w:w="627"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8.71</w:t>
            </w:r>
          </w:p>
        </w:tc>
        <w:tc>
          <w:tcPr>
            <w:tcW w:w="461" w:type="pct"/>
            <w:shd w:val="clear" w:color="auto" w:fill="FFFFFF" w:themeFill="background1"/>
            <w:noWrap/>
            <w:vAlign w:val="center"/>
          </w:tcPr>
          <w:p>
            <w:pPr>
              <w:widowControl/>
              <w:spacing w:line="240" w:lineRule="auto"/>
              <w:ind w:firstLine="0" w:firstLineChars="0"/>
              <w:jc w:val="center"/>
              <w:textAlignment w:val="center"/>
              <w:rPr>
                <w:rFonts w:ascii="Times New Roman" w:hAnsi="Times New Roman" w:cs="Calibri"/>
                <w:color w:val="000000"/>
                <w:sz w:val="22"/>
                <w:szCs w:val="22"/>
              </w:rPr>
            </w:pPr>
            <w:r>
              <w:rPr>
                <w:rFonts w:ascii="Times New Roman" w:hAnsi="Times New Roman" w:eastAsia="宋体" w:cs="Calibri"/>
                <w:color w:val="000000"/>
                <w:kern w:val="0"/>
                <w:sz w:val="22"/>
                <w:szCs w:val="22"/>
                <w:lang w:bidi="ar"/>
              </w:rPr>
              <w:t>47.26</w:t>
            </w:r>
          </w:p>
        </w:tc>
      </w:tr>
    </w:tbl>
    <w:p>
      <w:pPr>
        <w:pStyle w:val="112"/>
        <w:ind w:firstLine="560"/>
        <w:rPr>
          <w:rFonts w:hint="eastAsia"/>
        </w:rPr>
        <w:sectPr>
          <w:pgSz w:w="11906" w:h="16838"/>
          <w:pgMar w:top="1440" w:right="1800" w:bottom="1440" w:left="1800" w:header="851" w:footer="992" w:gutter="0"/>
          <w:cols w:space="720" w:num="1"/>
          <w:docGrid w:type="lines" w:linePitch="312" w:charSpace="0"/>
        </w:sectPr>
      </w:pPr>
      <w:r>
        <w:rPr>
          <w:color w:val="000000"/>
        </w:rPr>
        <w:t>本项目将构建十亿级、百亿级不同规模的行业大模型，以适应不同应用场景的需要。</w:t>
      </w:r>
    </w:p>
    <w:p>
      <w:pPr>
        <w:ind w:firstLine="560"/>
      </w:pPr>
    </w:p>
    <w:p>
      <w:pPr>
        <w:pStyle w:val="107"/>
      </w:pPr>
      <w:r>
        <w:rPr>
          <w:rFonts w:hint="eastAsia"/>
        </w:rPr>
        <w:t>视觉基础大模型及技术服务</w:t>
      </w:r>
    </w:p>
    <w:p>
      <w:pPr>
        <w:pStyle w:val="107"/>
      </w:pPr>
      <w:r>
        <w:rPr>
          <w:rFonts w:hint="eastAsia"/>
        </w:rPr>
        <w:t>语音基础大模型及技术服务</w:t>
      </w:r>
    </w:p>
    <w:p>
      <w:pPr>
        <w:pStyle w:val="107"/>
      </w:pPr>
      <w:r>
        <w:rPr>
          <w:rFonts w:hint="eastAsia"/>
        </w:rPr>
        <w:t>语言基础大模型及技术服务</w:t>
      </w:r>
    </w:p>
    <w:p>
      <w:pPr>
        <w:pStyle w:val="107"/>
      </w:pPr>
      <w:r>
        <w:rPr>
          <w:rFonts w:hint="eastAsia"/>
        </w:rPr>
        <w:t>多模态基础大模型及技术服务</w:t>
      </w:r>
    </w:p>
    <w:p>
      <w:pPr>
        <w:ind w:firstLine="560"/>
      </w:pPr>
    </w:p>
    <w:p>
      <w:pPr>
        <w:pStyle w:val="109"/>
        <w:bidi w:val="0"/>
        <w:ind w:left="0" w:leftChars="0" w:firstLine="0" w:firstLineChars="0"/>
      </w:pPr>
      <w:r>
        <w:rPr>
          <w:rFonts w:hint="eastAsia"/>
        </w:rPr>
        <w:t>安防行业大模型</w:t>
      </w:r>
    </w:p>
    <w:p>
      <w:pPr>
        <w:pStyle w:val="112"/>
        <w:ind w:firstLine="560"/>
      </w:pPr>
      <w:r>
        <w:t>本项目在基础大模型之上，通过学习海量的安防知识、危险事件、地理信息、地理标识、人员图像、车辆图像、人员轨迹、车辆轨迹等数据，预训练安防行业L1大模型。该模型采用混合专家模型的方法，根据输入的不同动态地选择最合适的“专家”模型进行处理，具有</w:t>
      </w:r>
      <w:r>
        <w:rPr>
          <w:b/>
          <w:bCs/>
        </w:rPr>
        <w:t>全要素解析、行为事件监测、情景理解、线索分析研判、图像重建等能力</w:t>
      </w:r>
      <w:r>
        <w:t>，从而在公共安全、社会治理、行业融合等领域发挥重要作用。该模型将发布两种版本：</w:t>
      </w:r>
      <w:r>
        <w:rPr>
          <w:b/>
          <w:bCs/>
        </w:rPr>
        <w:t>公安版和社会安防版</w:t>
      </w:r>
      <w:r>
        <w:t>，其中公安版采用全量数据进行训练，主要服务于公安各警种；社会安防版使用去除公安敏感内容的数据进行训练，主要服务于社会安防。</w:t>
      </w:r>
    </w:p>
    <w:p>
      <w:pPr>
        <w:pStyle w:val="107"/>
        <w:bidi w:val="0"/>
        <w:ind w:left="0" w:leftChars="0" w:firstLine="0" w:firstLineChars="0"/>
      </w:pPr>
      <w:r>
        <w:rPr>
          <w:rFonts w:hint="eastAsia"/>
        </w:rPr>
        <w:t>安防行业大模型应具备的能力</w:t>
      </w:r>
    </w:p>
    <w:p>
      <w:r>
        <w:t>从安防行业的应用需求出发，本项目根据目前已有的安防应用结合未来安防对智能的需求，将安防行业L1大模型的能力归纳融合。不同于L0大模型的基础能力，安防行业L1大模型在兼顾大模型的通用性的基础上，更注重安防行业的实际业务需求。具体能力描述如下：</w:t>
      </w:r>
    </w:p>
    <w:p>
      <w:pPr>
        <w:ind w:firstLine="562"/>
        <w:rPr>
          <w:rFonts w:ascii="Times New Roman" w:hAnsi="Times New Roman"/>
          <w:b/>
          <w:bCs/>
        </w:rPr>
      </w:pPr>
      <w:r>
        <w:rPr>
          <w:rFonts w:ascii="Times New Roman" w:hAnsi="Times New Roman"/>
          <w:b/>
          <w:bCs/>
        </w:rPr>
        <w:t>1、全要素解析</w:t>
      </w:r>
    </w:p>
    <w:p>
      <w:pPr>
        <w:ind w:firstLine="560"/>
        <w:rPr>
          <w:rFonts w:ascii="Times New Roman" w:hAnsi="Times New Roman"/>
        </w:rPr>
      </w:pPr>
      <w:r>
        <w:rPr>
          <w:rFonts w:ascii="Times New Roman" w:hAnsi="Times New Roman"/>
        </w:rPr>
        <w:t>全要素解析是安防行业大模型的基础能力之一，主要针对图像、视频、文本和音频等单模态数据进行深入解析。通过单模态判别式能力（例如视图模态的分类、检测、分割和跟踪等）对输入数据进行细致的解析和理解。通过高效的图像分类算法，能够识别和分类监控摄像头捕获的不同对象（如车辆、行人等），实现海量监控图像的实时处理，快速识别关注目标。</w:t>
      </w:r>
    </w:p>
    <w:p>
      <w:pPr>
        <w:ind w:firstLine="562"/>
        <w:rPr>
          <w:rFonts w:ascii="Times New Roman" w:hAnsi="Times New Roman"/>
          <w:b/>
          <w:bCs/>
        </w:rPr>
      </w:pPr>
      <w:r>
        <w:rPr>
          <w:rFonts w:ascii="Times New Roman" w:hAnsi="Times New Roman"/>
          <w:b/>
          <w:bCs/>
        </w:rPr>
        <w:t>2、行为事件监测</w:t>
      </w:r>
    </w:p>
    <w:p>
      <w:pPr>
        <w:ind w:firstLine="560"/>
        <w:rPr>
          <w:rFonts w:ascii="Times New Roman" w:hAnsi="Times New Roman"/>
        </w:rPr>
      </w:pPr>
      <w:r>
        <w:rPr>
          <w:rFonts w:ascii="Times New Roman" w:hAnsi="Times New Roman"/>
        </w:rPr>
        <w:t>行为事件监测能力主要用于监测和识别图像、视频、文本和音频中的行为和事件。利用大模型的多模态判别式能力（如图文结合的分类、图音结合的分类等）实现对复杂行为和事件的精准监测，例如在公共安全监控中通过监控视频和现场描述文本的结合，更准确地识别出可疑行为。</w:t>
      </w:r>
    </w:p>
    <w:p>
      <w:pPr>
        <w:ind w:firstLine="562"/>
        <w:rPr>
          <w:rFonts w:ascii="Times New Roman" w:hAnsi="Times New Roman"/>
          <w:b/>
          <w:bCs/>
        </w:rPr>
      </w:pPr>
      <w:r>
        <w:rPr>
          <w:rFonts w:hint="eastAsia" w:ascii="Times New Roman" w:hAnsi="Times New Roman"/>
          <w:b/>
          <w:bCs/>
          <w:lang w:val="en-US" w:eastAsia="zh-CN"/>
        </w:rPr>
        <w:t>3</w:t>
      </w:r>
      <w:r>
        <w:rPr>
          <w:rFonts w:ascii="Times New Roman" w:hAnsi="Times New Roman"/>
          <w:b/>
          <w:bCs/>
        </w:rPr>
        <w:t>、情景理解</w:t>
      </w:r>
    </w:p>
    <w:p>
      <w:pPr>
        <w:ind w:firstLine="560"/>
        <w:rPr>
          <w:rFonts w:ascii="Times New Roman" w:hAnsi="Times New Roman"/>
        </w:rPr>
      </w:pPr>
      <w:r>
        <w:rPr>
          <w:rFonts w:ascii="Times New Roman" w:hAnsi="Times New Roman"/>
        </w:rPr>
        <w:t>基于多模态的情景理解能力用于处理和理解图像、视频、文本等多种数据类型，利用大模型的多模态检索和图生文等能力，提供更深入的内容理解和关联。多模态检索是多模态情景理解的重要应用之一，通过输入图像或文本进行相关信息的搜索和匹配，例如在刑侦案件中，通过输入犯罪嫌疑人的照片，检索出监控系统中的相关图像和视频，帮助快速定位嫌疑人。</w:t>
      </w:r>
    </w:p>
    <w:p>
      <w:pPr>
        <w:ind w:firstLine="562"/>
        <w:rPr>
          <w:rFonts w:ascii="Times New Roman" w:hAnsi="Times New Roman"/>
          <w:b/>
          <w:bCs/>
        </w:rPr>
      </w:pPr>
      <w:r>
        <w:rPr>
          <w:rFonts w:hint="eastAsia" w:ascii="Times New Roman" w:hAnsi="Times New Roman"/>
          <w:b/>
          <w:bCs/>
          <w:lang w:val="en-US" w:eastAsia="zh-CN"/>
        </w:rPr>
        <w:t>4</w:t>
      </w:r>
      <w:r>
        <w:rPr>
          <w:rFonts w:ascii="Times New Roman" w:hAnsi="Times New Roman"/>
          <w:b/>
          <w:bCs/>
        </w:rPr>
        <w:t>、线索分析研判</w:t>
      </w:r>
    </w:p>
    <w:p>
      <w:pPr>
        <w:ind w:firstLine="560"/>
        <w:rPr>
          <w:rFonts w:ascii="Times New Roman" w:hAnsi="Times New Roman"/>
        </w:rPr>
      </w:pPr>
      <w:r>
        <w:rPr>
          <w:rFonts w:ascii="Times New Roman" w:hAnsi="Times New Roman"/>
        </w:rPr>
        <w:t>线索分析研判能力通过整合表格数值、图像、文本和视频数据，利用多模态文本生成和多模态判别式能力进行综合分析和研判。在案件调查中，线索分析研判能力可以通过分析犯罪现场的图像、监控视频、相关文件和数据表格，生成详细的分析报告。例如，在一起盗窃案件中，通过分析监控视频中的嫌疑人行为、现场拍摄的图像和相关证据文件，综合推断出嫌疑人的行动轨迹和作案手段，帮助警方快速破案。</w:t>
      </w:r>
    </w:p>
    <w:p>
      <w:pPr>
        <w:ind w:firstLine="562"/>
        <w:rPr>
          <w:rFonts w:ascii="Times New Roman" w:hAnsi="Times New Roman"/>
          <w:b/>
          <w:bCs/>
        </w:rPr>
      </w:pPr>
      <w:r>
        <w:rPr>
          <w:rFonts w:hint="eastAsia" w:ascii="Times New Roman" w:hAnsi="Times New Roman"/>
          <w:b/>
          <w:bCs/>
          <w:lang w:val="en-US" w:eastAsia="zh-CN"/>
        </w:rPr>
        <w:t>5</w:t>
      </w:r>
      <w:r>
        <w:rPr>
          <w:rFonts w:ascii="Times New Roman" w:hAnsi="Times New Roman"/>
          <w:b/>
          <w:bCs/>
        </w:rPr>
        <w:t>、图像重建</w:t>
      </w:r>
    </w:p>
    <w:p>
      <w:pPr>
        <w:ind w:firstLine="560"/>
        <w:rPr>
          <w:rFonts w:ascii="Times New Roman" w:hAnsi="Times New Roman"/>
        </w:rPr>
      </w:pPr>
      <w:r>
        <w:rPr>
          <w:rFonts w:ascii="Times New Roman" w:hAnsi="Times New Roman"/>
        </w:rPr>
        <w:t>图像重建能力通过处理图像和文本输入，利用多模态图文生成能力，实现图像的重建和生成。在监控图像不清晰或部分缺失时，图像重建技术可以恢复图像细节，提高图像的质量和可用性。例如，在交通事故中，通过对模糊的事故现场图像进行重建，可以清晰地还原事故发生的细节，帮助调查人员分析事故原因。</w:t>
      </w:r>
    </w:p>
    <w:p>
      <w:pPr>
        <w:ind w:firstLine="560"/>
        <w:rPr>
          <w:rFonts w:ascii="Times New Roman" w:hAnsi="Times New Roman"/>
        </w:rPr>
      </w:pPr>
      <w:r>
        <w:rPr>
          <w:rFonts w:ascii="Times New Roman" w:hAnsi="Times New Roman"/>
        </w:rPr>
        <w:t>图生图技术可以根据输入图像生成新的图像，例如在失踪人员搜索中，通过分析失踪人员的旧照片，可以生成其当前的可能样貌，帮助搜索和定位。文生图技术还可以根据文本描述生成对应的图像，在安防应用中具有重要意义。</w:t>
      </w:r>
    </w:p>
    <w:p>
      <w:pPr>
        <w:ind w:firstLine="560"/>
        <w:rPr>
          <w:rFonts w:ascii="Times New Roman" w:hAnsi="Times New Roman"/>
        </w:rPr>
      </w:pPr>
      <w:r>
        <w:rPr>
          <w:rFonts w:ascii="Times New Roman" w:hAnsi="Times New Roman"/>
        </w:rPr>
        <w:t>根据上述这些行业共性能力，项目组整理了各能力的任务类型及简单描述，详见</w:t>
      </w:r>
      <w:r>
        <w:rPr>
          <w:rFonts w:ascii="Times New Roman" w:hAnsi="Times New Roman"/>
        </w:rPr>
        <w:fldChar w:fldCharType="begin"/>
      </w:r>
      <w:r>
        <w:rPr>
          <w:rFonts w:ascii="Times New Roman" w:hAnsi="Times New Roman"/>
        </w:rPr>
        <w:instrText xml:space="preserve"> REF _Ref173059611 \h  \* MERGEFORMAT </w:instrText>
      </w:r>
      <w:r>
        <w:rPr>
          <w:rFonts w:ascii="Times New Roman" w:hAnsi="Times New Roman"/>
        </w:rPr>
        <w:fldChar w:fldCharType="separate"/>
      </w:r>
      <w:r>
        <w:rPr>
          <w:rFonts w:ascii="Times New Roman" w:hAnsi="Times New Roman"/>
        </w:rPr>
        <w:t>表35</w:t>
      </w:r>
      <w:r>
        <w:rPr>
          <w:rFonts w:ascii="Times New Roman" w:hAnsi="Times New Roman"/>
        </w:rPr>
        <w:fldChar w:fldCharType="end"/>
      </w:r>
      <w:r>
        <w:rPr>
          <w:rFonts w:ascii="Times New Roman" w:hAnsi="Times New Roman"/>
        </w:rPr>
        <w:t>。</w:t>
      </w:r>
    </w:p>
    <w:p>
      <w:pPr>
        <w:pStyle w:val="24"/>
      </w:pPr>
      <w:r>
        <w:t>表</w:t>
      </w:r>
      <w:r>
        <w:fldChar w:fldCharType="begin"/>
      </w:r>
      <w:r>
        <w:instrText xml:space="preserve"> SEQ 表 \* ARABIC </w:instrText>
      </w:r>
      <w:r>
        <w:fldChar w:fldCharType="separate"/>
      </w:r>
      <w:r>
        <w:t>35</w:t>
      </w:r>
      <w:r>
        <w:fldChar w:fldCharType="end"/>
      </w:r>
      <w:r>
        <w:t xml:space="preserve"> 行业大模型任务</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0"/>
        <w:gridCol w:w="2389"/>
        <w:gridCol w:w="44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0CECE"/>
            <w:vAlign w:val="center"/>
          </w:tcPr>
          <w:p>
            <w:pPr>
              <w:spacing w:line="240" w:lineRule="auto"/>
              <w:ind w:firstLine="0" w:firstLineChars="0"/>
              <w:jc w:val="center"/>
              <w:rPr>
                <w:rFonts w:ascii="Times New Roman" w:hAnsi="Times New Roman"/>
                <w:sz w:val="24"/>
                <w:szCs w:val="24"/>
              </w:rPr>
            </w:pPr>
            <w:r>
              <w:rPr>
                <w:rFonts w:ascii="Times New Roman" w:hAnsi="Times New Roman"/>
                <w:sz w:val="24"/>
                <w:szCs w:val="24"/>
              </w:rPr>
              <w:t>安防行业大模型能力</w:t>
            </w:r>
          </w:p>
        </w:tc>
        <w:tc>
          <w:tcPr>
            <w:tcW w:w="0" w:type="auto"/>
            <w:shd w:val="clear" w:color="auto" w:fill="D0CECE"/>
            <w:vAlign w:val="center"/>
          </w:tcPr>
          <w:p>
            <w:pPr>
              <w:spacing w:line="240" w:lineRule="auto"/>
              <w:ind w:firstLine="0" w:firstLineChars="0"/>
              <w:jc w:val="center"/>
              <w:rPr>
                <w:rFonts w:ascii="Times New Roman" w:hAnsi="Times New Roman"/>
                <w:sz w:val="24"/>
                <w:szCs w:val="24"/>
              </w:rPr>
            </w:pPr>
            <w:r>
              <w:rPr>
                <w:rFonts w:ascii="Times New Roman" w:hAnsi="Times New Roman"/>
                <w:sz w:val="24"/>
                <w:szCs w:val="24"/>
              </w:rPr>
              <w:t>输入类型</w:t>
            </w:r>
          </w:p>
        </w:tc>
        <w:tc>
          <w:tcPr>
            <w:tcW w:w="4473" w:type="dxa"/>
            <w:shd w:val="clear" w:color="auto" w:fill="D0CECE"/>
            <w:vAlign w:val="center"/>
          </w:tcPr>
          <w:p>
            <w:pPr>
              <w:spacing w:line="240" w:lineRule="auto"/>
              <w:ind w:firstLine="0" w:firstLineChars="0"/>
              <w:jc w:val="center"/>
              <w:rPr>
                <w:rFonts w:ascii="Times New Roman" w:hAnsi="Times New Roman"/>
                <w:sz w:val="24"/>
                <w:szCs w:val="24"/>
              </w:rPr>
            </w:pPr>
            <w:r>
              <w:rPr>
                <w:rFonts w:ascii="Times New Roman" w:hAnsi="Times New Roman"/>
                <w:sz w:val="24"/>
                <w:szCs w:val="24"/>
              </w:rPr>
              <w:t>任务描述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ind w:firstLine="0" w:firstLineChars="0"/>
              <w:jc w:val="center"/>
              <w:rPr>
                <w:rFonts w:ascii="Times New Roman" w:hAnsi="Times New Roman"/>
                <w:sz w:val="24"/>
                <w:szCs w:val="24"/>
              </w:rPr>
            </w:pPr>
            <w:r>
              <w:rPr>
                <w:rFonts w:ascii="Times New Roman" w:hAnsi="Times New Roman"/>
                <w:sz w:val="24"/>
                <w:szCs w:val="24"/>
              </w:rPr>
              <w:t>全要素解析</w:t>
            </w:r>
          </w:p>
        </w:tc>
        <w:tc>
          <w:tcPr>
            <w:tcW w:w="0" w:type="auto"/>
            <w:vAlign w:val="center"/>
          </w:tcPr>
          <w:p>
            <w:pPr>
              <w:spacing w:line="240" w:lineRule="auto"/>
              <w:ind w:firstLine="0" w:firstLineChars="0"/>
              <w:jc w:val="center"/>
              <w:rPr>
                <w:rFonts w:ascii="Times New Roman" w:hAnsi="Times New Roman"/>
                <w:sz w:val="24"/>
                <w:szCs w:val="24"/>
              </w:rPr>
            </w:pPr>
            <w:r>
              <w:rPr>
                <w:rFonts w:ascii="Times New Roman" w:hAnsi="Times New Roman"/>
                <w:sz w:val="24"/>
                <w:szCs w:val="24"/>
              </w:rPr>
              <w:t>图像/视频/音频/文本单模态输入</w:t>
            </w:r>
          </w:p>
        </w:tc>
        <w:tc>
          <w:tcPr>
            <w:tcW w:w="4473" w:type="dxa"/>
            <w:vAlign w:val="center"/>
          </w:tcPr>
          <w:p>
            <w:pPr>
              <w:spacing w:line="240" w:lineRule="auto"/>
              <w:ind w:firstLine="0" w:firstLineChars="0"/>
              <w:jc w:val="left"/>
              <w:rPr>
                <w:rFonts w:ascii="Times New Roman" w:hAnsi="Times New Roman"/>
                <w:sz w:val="24"/>
                <w:szCs w:val="24"/>
              </w:rPr>
            </w:pPr>
            <w:r>
              <w:rPr>
                <w:rFonts w:ascii="Times New Roman" w:hAnsi="Times New Roman"/>
                <w:sz w:val="24"/>
                <w:szCs w:val="24"/>
              </w:rPr>
              <w:t>主要针对单模态的传统任务：</w:t>
            </w:r>
          </w:p>
          <w:p>
            <w:pPr>
              <w:spacing w:line="240" w:lineRule="auto"/>
              <w:ind w:firstLine="0" w:firstLineChars="0"/>
              <w:jc w:val="left"/>
              <w:rPr>
                <w:rFonts w:ascii="Times New Roman" w:hAnsi="Times New Roman"/>
                <w:sz w:val="24"/>
                <w:szCs w:val="24"/>
              </w:rPr>
            </w:pPr>
            <w:r>
              <w:rPr>
                <w:rFonts w:ascii="Times New Roman" w:hAnsi="Times New Roman"/>
                <w:sz w:val="24"/>
                <w:szCs w:val="24"/>
              </w:rPr>
              <w:t>图形模态的检测、分割、识别等任务</w:t>
            </w:r>
            <w:r>
              <w:rPr>
                <w:rFonts w:hint="eastAsia" w:ascii="Times New Roman" w:hAnsi="Times New Roman"/>
                <w:sz w:val="24"/>
                <w:szCs w:val="24"/>
              </w:rPr>
              <w:t>，实现人、车、物目标细分类别或属性搜索</w:t>
            </w:r>
            <w:r>
              <w:rPr>
                <w:rFonts w:ascii="Times New Roman" w:hAnsi="Times New Roman"/>
                <w:sz w:val="24"/>
                <w:szCs w:val="24"/>
              </w:rPr>
              <w:t>；</w:t>
            </w:r>
          </w:p>
          <w:p>
            <w:pPr>
              <w:spacing w:line="240" w:lineRule="auto"/>
              <w:ind w:firstLine="0" w:firstLineChars="0"/>
              <w:jc w:val="left"/>
              <w:rPr>
                <w:rFonts w:ascii="Times New Roman" w:hAnsi="Times New Roman"/>
                <w:sz w:val="24"/>
                <w:szCs w:val="24"/>
              </w:rPr>
            </w:pPr>
            <w:r>
              <w:rPr>
                <w:rFonts w:ascii="Times New Roman" w:hAnsi="Times New Roman"/>
                <w:sz w:val="24"/>
                <w:szCs w:val="24"/>
              </w:rPr>
              <w:t>视频模态的跟踪任务；</w:t>
            </w:r>
          </w:p>
          <w:p>
            <w:pPr>
              <w:spacing w:line="240" w:lineRule="auto"/>
              <w:ind w:firstLine="0" w:firstLineChars="0"/>
              <w:jc w:val="left"/>
              <w:rPr>
                <w:rFonts w:ascii="Times New Roman" w:hAnsi="Times New Roman"/>
                <w:sz w:val="24"/>
                <w:szCs w:val="24"/>
              </w:rPr>
            </w:pPr>
            <w:r>
              <w:rPr>
                <w:rFonts w:ascii="Times New Roman" w:hAnsi="Times New Roman"/>
                <w:sz w:val="24"/>
                <w:szCs w:val="24"/>
              </w:rPr>
              <w:t>音频模态的检测、分类、识别等任务。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ind w:firstLine="0" w:firstLineChars="0"/>
              <w:jc w:val="center"/>
              <w:rPr>
                <w:rFonts w:ascii="Times New Roman" w:hAnsi="Times New Roman"/>
                <w:sz w:val="24"/>
                <w:szCs w:val="24"/>
              </w:rPr>
            </w:pPr>
            <w:r>
              <w:rPr>
                <w:rFonts w:ascii="Times New Roman" w:hAnsi="Times New Roman"/>
                <w:sz w:val="24"/>
                <w:szCs w:val="24"/>
              </w:rPr>
              <w:t>行为事件监测</w:t>
            </w:r>
          </w:p>
        </w:tc>
        <w:tc>
          <w:tcPr>
            <w:tcW w:w="0" w:type="auto"/>
            <w:vAlign w:val="center"/>
          </w:tcPr>
          <w:p>
            <w:pPr>
              <w:spacing w:line="240" w:lineRule="auto"/>
              <w:ind w:firstLine="0" w:firstLineChars="0"/>
              <w:jc w:val="center"/>
              <w:rPr>
                <w:rFonts w:ascii="Times New Roman" w:hAnsi="Times New Roman"/>
                <w:sz w:val="24"/>
                <w:szCs w:val="24"/>
              </w:rPr>
            </w:pPr>
            <w:r>
              <w:rPr>
                <w:rFonts w:ascii="Times New Roman" w:hAnsi="Times New Roman"/>
                <w:sz w:val="24"/>
                <w:szCs w:val="24"/>
              </w:rPr>
              <w:t>图像/视频/音频</w:t>
            </w:r>
          </w:p>
        </w:tc>
        <w:tc>
          <w:tcPr>
            <w:tcW w:w="4473" w:type="dxa"/>
            <w:vAlign w:val="center"/>
          </w:tcPr>
          <w:p>
            <w:pPr>
              <w:spacing w:line="240" w:lineRule="auto"/>
              <w:ind w:firstLine="0" w:firstLineChars="0"/>
              <w:jc w:val="left"/>
              <w:rPr>
                <w:rFonts w:ascii="Times New Roman" w:hAnsi="Times New Roman"/>
                <w:sz w:val="24"/>
                <w:szCs w:val="24"/>
              </w:rPr>
            </w:pPr>
            <w:r>
              <w:rPr>
                <w:rFonts w:ascii="Times New Roman" w:hAnsi="Times New Roman"/>
                <w:sz w:val="24"/>
                <w:szCs w:val="24"/>
              </w:rPr>
              <w:t>图像、图像序列和音频序列是否存在关注的行为事件及类别。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vAlign w:val="center"/>
          </w:tcPr>
          <w:p>
            <w:pPr>
              <w:spacing w:line="240" w:lineRule="auto"/>
              <w:ind w:firstLine="0" w:firstLineChars="0"/>
              <w:jc w:val="center"/>
              <w:rPr>
                <w:rFonts w:ascii="Times New Roman" w:hAnsi="Times New Roman"/>
                <w:sz w:val="24"/>
                <w:szCs w:val="24"/>
              </w:rPr>
            </w:pPr>
            <w:r>
              <w:rPr>
                <w:rFonts w:ascii="Times New Roman" w:hAnsi="Times New Roman"/>
                <w:sz w:val="24"/>
                <w:szCs w:val="24"/>
              </w:rPr>
              <w:t>情景理解</w:t>
            </w:r>
          </w:p>
        </w:tc>
        <w:tc>
          <w:tcPr>
            <w:tcW w:w="0" w:type="auto"/>
            <w:vAlign w:val="center"/>
          </w:tcPr>
          <w:p>
            <w:pPr>
              <w:spacing w:line="240" w:lineRule="auto"/>
              <w:ind w:firstLine="0" w:firstLineChars="0"/>
              <w:jc w:val="center"/>
              <w:rPr>
                <w:rFonts w:ascii="Times New Roman" w:hAnsi="Times New Roman"/>
                <w:sz w:val="24"/>
                <w:szCs w:val="24"/>
              </w:rPr>
            </w:pPr>
            <w:r>
              <w:rPr>
                <w:rFonts w:ascii="Times New Roman" w:hAnsi="Times New Roman"/>
                <w:sz w:val="24"/>
                <w:szCs w:val="24"/>
              </w:rPr>
              <w:t>图像/视频/音频</w:t>
            </w:r>
          </w:p>
        </w:tc>
        <w:tc>
          <w:tcPr>
            <w:tcW w:w="4473" w:type="dxa"/>
            <w:vAlign w:val="center"/>
          </w:tcPr>
          <w:p>
            <w:pPr>
              <w:spacing w:line="240" w:lineRule="auto"/>
              <w:ind w:firstLine="0" w:firstLineChars="0"/>
              <w:rPr>
                <w:rFonts w:ascii="Times New Roman" w:hAnsi="Times New Roman"/>
                <w:sz w:val="24"/>
                <w:szCs w:val="24"/>
              </w:rPr>
            </w:pPr>
            <w:r>
              <w:rPr>
                <w:rFonts w:ascii="Times New Roman" w:hAnsi="Times New Roman"/>
                <w:sz w:val="24"/>
                <w:szCs w:val="24"/>
              </w:rPr>
              <w:t>图像/音频模态向文本模态的转换；</w:t>
            </w:r>
          </w:p>
          <w:p>
            <w:pPr>
              <w:spacing w:line="240" w:lineRule="auto"/>
              <w:ind w:firstLine="0" w:firstLineChars="0"/>
              <w:rPr>
                <w:rFonts w:ascii="Times New Roman" w:hAnsi="Times New Roman"/>
                <w:sz w:val="24"/>
                <w:szCs w:val="24"/>
              </w:rPr>
            </w:pPr>
            <w:r>
              <w:rPr>
                <w:rFonts w:ascii="Times New Roman" w:hAnsi="Times New Roman"/>
                <w:sz w:val="24"/>
                <w:szCs w:val="24"/>
              </w:rPr>
              <w:t>对音频/图像/视频等模型做摘要等。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ind w:firstLine="0" w:firstLineChars="0"/>
              <w:jc w:val="center"/>
              <w:rPr>
                <w:rFonts w:ascii="Times New Roman" w:hAnsi="Times New Roman"/>
                <w:sz w:val="24"/>
                <w:szCs w:val="24"/>
              </w:rPr>
            </w:pPr>
            <w:r>
              <w:rPr>
                <w:rFonts w:ascii="Times New Roman" w:hAnsi="Times New Roman"/>
                <w:sz w:val="24"/>
                <w:szCs w:val="24"/>
              </w:rPr>
              <w:t>线索分析研判</w:t>
            </w:r>
          </w:p>
        </w:tc>
        <w:tc>
          <w:tcPr>
            <w:tcW w:w="0" w:type="auto"/>
            <w:vAlign w:val="center"/>
          </w:tcPr>
          <w:p>
            <w:pPr>
              <w:spacing w:line="240" w:lineRule="auto"/>
              <w:ind w:firstLine="0" w:firstLineChars="0"/>
              <w:jc w:val="center"/>
              <w:rPr>
                <w:rFonts w:ascii="Times New Roman" w:hAnsi="Times New Roman"/>
                <w:sz w:val="24"/>
                <w:szCs w:val="24"/>
              </w:rPr>
            </w:pPr>
            <w:r>
              <w:rPr>
                <w:rFonts w:ascii="Times New Roman" w:hAnsi="Times New Roman"/>
                <w:sz w:val="24"/>
                <w:szCs w:val="24"/>
              </w:rPr>
              <w:t>图像/视频/文本/音频</w:t>
            </w:r>
          </w:p>
        </w:tc>
        <w:tc>
          <w:tcPr>
            <w:tcW w:w="4473" w:type="dxa"/>
            <w:vAlign w:val="center"/>
          </w:tcPr>
          <w:p>
            <w:pPr>
              <w:spacing w:line="240" w:lineRule="auto"/>
              <w:ind w:firstLine="0" w:firstLineChars="0"/>
              <w:jc w:val="left"/>
              <w:rPr>
                <w:rFonts w:ascii="Times New Roman" w:hAnsi="Times New Roman"/>
                <w:sz w:val="24"/>
                <w:szCs w:val="24"/>
              </w:rPr>
            </w:pPr>
            <w:r>
              <w:rPr>
                <w:rFonts w:ascii="Times New Roman" w:hAnsi="Times New Roman"/>
                <w:sz w:val="24"/>
                <w:szCs w:val="24"/>
              </w:rPr>
              <w:t>关键信息提取；</w:t>
            </w:r>
          </w:p>
          <w:p>
            <w:pPr>
              <w:spacing w:line="240" w:lineRule="auto"/>
              <w:ind w:firstLine="0" w:firstLineChars="0"/>
              <w:jc w:val="left"/>
              <w:rPr>
                <w:rFonts w:ascii="Times New Roman" w:hAnsi="Times New Roman"/>
                <w:sz w:val="24"/>
                <w:szCs w:val="24"/>
              </w:rPr>
            </w:pPr>
            <w:r>
              <w:rPr>
                <w:rFonts w:ascii="Times New Roman" w:hAnsi="Times New Roman"/>
                <w:sz w:val="24"/>
                <w:szCs w:val="24"/>
              </w:rPr>
              <w:t>人员/车辆轨迹分析；</w:t>
            </w:r>
          </w:p>
          <w:p>
            <w:pPr>
              <w:spacing w:line="240" w:lineRule="auto"/>
              <w:ind w:firstLine="0" w:firstLineChars="0"/>
              <w:jc w:val="left"/>
              <w:rPr>
                <w:rFonts w:ascii="Times New Roman" w:hAnsi="Times New Roman"/>
                <w:sz w:val="24"/>
                <w:szCs w:val="24"/>
              </w:rPr>
            </w:pPr>
            <w:r>
              <w:rPr>
                <w:rFonts w:ascii="Times New Roman" w:hAnsi="Times New Roman"/>
                <w:sz w:val="24"/>
                <w:szCs w:val="24"/>
              </w:rPr>
              <w:t>因果关系推理；</w:t>
            </w:r>
          </w:p>
          <w:p>
            <w:pPr>
              <w:spacing w:line="240" w:lineRule="auto"/>
              <w:ind w:firstLine="0" w:firstLineChars="0"/>
              <w:jc w:val="left"/>
              <w:rPr>
                <w:rFonts w:ascii="Times New Roman" w:hAnsi="Times New Roman"/>
                <w:sz w:val="24"/>
                <w:szCs w:val="24"/>
              </w:rPr>
            </w:pPr>
            <w:r>
              <w:rPr>
                <w:rFonts w:ascii="Times New Roman" w:hAnsi="Times New Roman"/>
                <w:sz w:val="24"/>
                <w:szCs w:val="24"/>
              </w:rPr>
              <w:t>关联分析等。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ind w:firstLine="0" w:firstLineChars="0"/>
              <w:jc w:val="center"/>
              <w:rPr>
                <w:rFonts w:ascii="Times New Roman" w:hAnsi="Times New Roman"/>
                <w:sz w:val="24"/>
                <w:szCs w:val="24"/>
              </w:rPr>
            </w:pPr>
            <w:r>
              <w:rPr>
                <w:rFonts w:ascii="Times New Roman" w:hAnsi="Times New Roman"/>
                <w:sz w:val="24"/>
                <w:szCs w:val="24"/>
              </w:rPr>
              <w:t>图像重建</w:t>
            </w:r>
          </w:p>
        </w:tc>
        <w:tc>
          <w:tcPr>
            <w:tcW w:w="0" w:type="auto"/>
            <w:vAlign w:val="center"/>
          </w:tcPr>
          <w:p>
            <w:pPr>
              <w:spacing w:line="240" w:lineRule="auto"/>
              <w:ind w:firstLine="0" w:firstLineChars="0"/>
              <w:jc w:val="center"/>
              <w:rPr>
                <w:rFonts w:ascii="Times New Roman" w:hAnsi="Times New Roman"/>
                <w:sz w:val="24"/>
                <w:szCs w:val="24"/>
              </w:rPr>
            </w:pPr>
            <w:r>
              <w:rPr>
                <w:rFonts w:ascii="Times New Roman" w:hAnsi="Times New Roman"/>
                <w:sz w:val="24"/>
                <w:szCs w:val="24"/>
              </w:rPr>
              <w:t>文本/图像</w:t>
            </w:r>
          </w:p>
        </w:tc>
        <w:tc>
          <w:tcPr>
            <w:tcW w:w="4473" w:type="dxa"/>
            <w:vAlign w:val="center"/>
          </w:tcPr>
          <w:p>
            <w:pPr>
              <w:spacing w:line="240" w:lineRule="auto"/>
              <w:ind w:firstLine="0" w:firstLineChars="0"/>
              <w:jc w:val="left"/>
              <w:rPr>
                <w:rFonts w:ascii="Times New Roman" w:hAnsi="Times New Roman"/>
                <w:sz w:val="24"/>
                <w:szCs w:val="24"/>
              </w:rPr>
            </w:pPr>
            <w:r>
              <w:rPr>
                <w:rFonts w:ascii="Times New Roman" w:hAnsi="Times New Roman"/>
                <w:sz w:val="24"/>
                <w:szCs w:val="24"/>
              </w:rPr>
              <w:t>根据文本和低质量图片复原人脸或关键目标的图片。</w:t>
            </w:r>
          </w:p>
        </w:tc>
      </w:tr>
    </w:tbl>
    <w:p/>
    <w:p>
      <w:pPr>
        <w:pStyle w:val="107"/>
        <w:bidi w:val="0"/>
        <w:ind w:left="0" w:leftChars="0" w:firstLine="0" w:firstLineChars="0"/>
      </w:pPr>
      <w:r>
        <w:rPr>
          <w:rFonts w:hint="eastAsia"/>
        </w:rPr>
        <w:t>训练</w:t>
      </w:r>
      <w:r>
        <w:rPr>
          <w:rFonts w:hint="eastAsia"/>
          <w:lang w:eastAsia="zh-CN"/>
        </w:rPr>
        <w:t>运行时</w:t>
      </w:r>
      <w:r>
        <w:rPr>
          <w:rFonts w:hint="eastAsia"/>
        </w:rPr>
        <w:t>数据</w:t>
      </w:r>
      <w:r>
        <w:rPr>
          <w:rFonts w:hint="eastAsia"/>
          <w:lang w:eastAsia="zh-CN"/>
        </w:rPr>
        <w:t>工程</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304800" cy="304800"/>
            <wp:effectExtent l="0" t="0" r="0" b="0"/>
            <wp:docPr id="3" name="Picture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2" descr="IMG_256"/>
                    <pic:cNvPicPr>
                      <a:picLocks noChangeAspect="1"/>
                    </pic:cNvPicPr>
                  </pic:nvPicPr>
                  <pic:blipFill>
                    <a:blip r:embed="rId40"/>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66690" cy="3511550"/>
            <wp:effectExtent l="0" t="0" r="10160" b="12700"/>
            <wp:docPr id="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3"/>
                    <pic:cNvPicPr>
                      <a:picLocks noChangeAspect="1"/>
                    </pic:cNvPicPr>
                  </pic:nvPicPr>
                  <pic:blipFill>
                    <a:blip r:embed="rId41"/>
                    <a:stretch>
                      <a:fillRect/>
                    </a:stretch>
                  </pic:blipFill>
                  <pic:spPr>
                    <a:xfrm>
                      <a:off x="0" y="0"/>
                      <a:ext cx="5266690" cy="3511550"/>
                    </a:xfrm>
                    <a:prstGeom prst="rect">
                      <a:avLst/>
                    </a:prstGeom>
                    <a:noFill/>
                    <a:ln>
                      <a:noFill/>
                    </a:ln>
                  </pic:spPr>
                </pic:pic>
              </a:graphicData>
            </a:graphic>
          </wp:inline>
        </w:drawing>
      </w:r>
    </w:p>
    <w:p>
      <w:pPr>
        <w:keepNext w:val="0"/>
        <w:keepLines w:val="0"/>
        <w:widowControl/>
        <w:suppressLineNumbers w:val="0"/>
        <w:jc w:val="left"/>
      </w:pPr>
    </w:p>
    <w:p>
      <w:pPr>
        <w:pStyle w:val="607"/>
        <w:bidi w:val="0"/>
        <w:ind w:left="0" w:leftChars="0" w:firstLine="0" w:firstLineChars="0"/>
        <w:rPr>
          <w:rFonts w:hint="default"/>
        </w:rPr>
      </w:pPr>
      <w:r>
        <w:rPr>
          <w:rFonts w:hint="default"/>
        </w:rPr>
        <w:t>数据源接入模块</w:t>
      </w:r>
    </w:p>
    <w:p>
      <w:pPr>
        <w:rPr>
          <w:rFonts w:hint="default"/>
        </w:rPr>
      </w:pPr>
      <w:r>
        <w:rPr>
          <w:rFonts w:hint="default"/>
        </w:rPr>
        <w:t>数据源接入模块是</w:t>
      </w:r>
      <w:r>
        <w:rPr>
          <w:rFonts w:hint="eastAsia"/>
          <w:lang w:eastAsia="zh-CN"/>
        </w:rPr>
        <w:t>训练过程</w:t>
      </w:r>
      <w:r>
        <w:rPr>
          <w:rFonts w:hint="default"/>
        </w:rPr>
        <w:t>的</w:t>
      </w:r>
      <w:r>
        <w:rPr>
          <w:rFonts w:hint="eastAsia"/>
          <w:lang w:eastAsia="zh-CN"/>
        </w:rPr>
        <w:t>共性</w:t>
      </w:r>
      <w:r>
        <w:rPr>
          <w:rFonts w:hint="default"/>
        </w:rPr>
        <w:t>模块，负责实现多源异构数据的统一接入与融合，为后续的建模分析提供稳定可靠的数据基础支撑。</w:t>
      </w:r>
    </w:p>
    <w:p>
      <w:pPr>
        <w:rPr>
          <w:rFonts w:hint="eastAsia" w:eastAsia="仿宋"/>
          <w:lang w:eastAsia="zh-CN"/>
        </w:rPr>
      </w:pPr>
      <w:r>
        <w:rPr>
          <w:rFonts w:hint="default"/>
        </w:rPr>
        <w:t>该模块通过统一数据模型抽象与 Schema 规范，实现字段标准化、类型转换与元数据管理，消除多源数据之间的结构差异；同时支持多源数据融合</w:t>
      </w:r>
      <w:r>
        <w:rPr>
          <w:rFonts w:hint="eastAsia"/>
          <w:lang w:eastAsia="zh-CN"/>
        </w:rPr>
        <w:t>。</w:t>
      </w:r>
    </w:p>
    <w:p>
      <w:pPr>
        <w:pStyle w:val="607"/>
        <w:bidi w:val="0"/>
        <w:ind w:left="0" w:leftChars="0" w:firstLine="0" w:firstLineChars="0"/>
        <w:rPr>
          <w:rFonts w:hint="default"/>
        </w:rPr>
      </w:pPr>
      <w:r>
        <w:rPr>
          <w:rFonts w:hint="default"/>
        </w:rPr>
        <w:t>数据清洗与标准化模块</w:t>
      </w:r>
    </w:p>
    <w:p>
      <w:pPr>
        <w:rPr>
          <w:rFonts w:hint="default"/>
        </w:rPr>
      </w:pPr>
      <w:r>
        <w:rPr>
          <w:rFonts w:hint="default"/>
        </w:rPr>
        <w:t>数据清洗与标准化模块主要负责对接入数据进行质量治理与合规控制，提升数据可用性与一致性。在去重方面，模块支持基于 MinHash 与 SimHash 的近似相似度计算算法，实现大规模文本或多模态数据的高效相似检测与重复样本剔除，降低冗余数据对存储与模型训练的影响；同时通过规则引擎与统计方法进行噪声过滤，识别异常值、乱码数据、格式错误及无效字段，确保数据结构与内容的规范性。</w:t>
      </w:r>
    </w:p>
    <w:p>
      <w:pPr>
        <w:rPr>
          <w:rFonts w:hint="default"/>
        </w:rPr>
      </w:pPr>
    </w:p>
    <w:p>
      <w:pPr>
        <w:rPr>
          <w:rFonts w:hint="default"/>
        </w:rPr>
      </w:pPr>
      <w:r>
        <w:rPr>
          <w:rFonts w:hint="default"/>
        </w:rPr>
        <w:t>针对多模态数据，模块支持对图像分辨率、文件大小、清晰度，音频时长、采样率，以及文本长度、字符分布等指标进行阈值过滤与质量分级，避免低质量样本进入下游流程；同时构建内容安全与合规过滤机制，对不关注领域数据及违法违规内容进行自动识别与拦截，结合关键词规则与模型识别能力，保障数据集的合法性、相关性与可控性，为后续数据分析或模型训练提供高质量、可治理的数据基础。</w:t>
      </w:r>
    </w:p>
    <w:p>
      <w:pPr>
        <w:pStyle w:val="607"/>
        <w:bidi w:val="0"/>
        <w:ind w:left="0" w:leftChars="0" w:firstLine="0" w:firstLineChars="0"/>
        <w:rPr>
          <w:rFonts w:hint="default"/>
        </w:rPr>
      </w:pPr>
      <w:r>
        <w:rPr>
          <w:rFonts w:hint="default"/>
        </w:rPr>
        <w:t>数据质量评估模块</w:t>
      </w:r>
    </w:p>
    <w:p>
      <w:pPr>
        <w:rPr>
          <w:rFonts w:hint="eastAsia"/>
          <w:lang w:eastAsia="zh-CN"/>
        </w:rPr>
      </w:pPr>
      <w:r>
        <w:rPr>
          <w:rFonts w:hint="default"/>
        </w:rPr>
        <w:t>数据质量评估模块用于对数据集整体质量进行量化分析</w:t>
      </w:r>
      <w:r>
        <w:rPr>
          <w:rFonts w:hint="eastAsia"/>
          <w:lang w:eastAsia="zh-CN"/>
        </w:rPr>
        <w:t>。模块首先基于去重算法与相似度计算结果，对数据样本进行重复率统计，区分完全重复与近似重复样本，形成重复率指标与分布报告，评估数据冗余程度及对存储与建模效率的影响。</w:t>
      </w:r>
    </w:p>
    <w:p>
      <w:pPr>
        <w:rPr>
          <w:rFonts w:hint="eastAsia" w:eastAsia="仿宋"/>
          <w:lang w:eastAsia="zh-CN"/>
        </w:rPr>
      </w:pPr>
      <w:r>
        <w:rPr>
          <w:rFonts w:hint="eastAsia"/>
          <w:lang w:eastAsia="zh-CN"/>
        </w:rPr>
        <w:t>同时，模块通过规则校验、异常检测与分类模型评估垃圾数据比例，包括无效样本、低质量内容、格式错误及噪声数据占比，并生成质量评分。在语义层面，模块结合向量化表示与聚类分析方法，对数据进行语义多样性评估，衡量主题分布广度、语义覆盖范围与样本分布均衡性，识别语义集中或数据偏置问题，从而为数据筛选、补充与结构优化提供定量支撑，提升数据集的代表性与泛化能力。</w:t>
      </w:r>
    </w:p>
    <w:p>
      <w:pPr>
        <w:pStyle w:val="607"/>
        <w:bidi w:val="0"/>
        <w:ind w:left="0" w:leftChars="0" w:firstLine="0" w:firstLineChars="0"/>
        <w:rPr>
          <w:rFonts w:hint="default"/>
        </w:rPr>
      </w:pPr>
      <w:r>
        <w:rPr>
          <w:rFonts w:hint="default"/>
        </w:rPr>
        <w:t>数据增强模块</w:t>
      </w:r>
    </w:p>
    <w:p>
      <w:pPr>
        <w:rPr>
          <w:rFonts w:hint="default"/>
        </w:rPr>
      </w:pPr>
      <w:r>
        <w:rPr>
          <w:rFonts w:hint="default"/>
        </w:rPr>
        <w:t>数据增强模块旨在通过多策略扩展与变换原始数据，提高数据规模、语义覆盖度与模型泛化能力。在文本数据方面，模块支持基于规则与模型的语义改写（Paraphrasing），在保持语义一致的前提下生成多样化表达；支持多语种数据翻译与回译增强（Back Translation），扩展跨语言语料分布；同时构建对比样本生成机制（Contrastive Sample Generation），通过构造正负样本对、扰动样本或难例样本，增强模型对语义差异与边界特征的判别能力。</w:t>
      </w:r>
    </w:p>
    <w:p>
      <w:pPr>
        <w:rPr>
          <w:rFonts w:hint="default"/>
        </w:rPr>
      </w:pPr>
      <w:r>
        <w:rPr>
          <w:rFonts w:hint="default"/>
        </w:rPr>
        <w:t>在图像数据方面，模块支持多种图像增强策略，包括几何变换（旋转、裁剪、翻转）、色彩扰动、噪声注入、模糊处理及分辨率调整等。整体模块支持可配置化增强策略组合与强度控制，并提供增强数据标记与溯源能力，确保增强过程可追踪、可回滚，为模型训练提供更加丰富、均衡且具鲁棒性的数据基础。</w:t>
      </w:r>
    </w:p>
    <w:p>
      <w:pPr>
        <w:pStyle w:val="607"/>
        <w:bidi w:val="0"/>
        <w:ind w:left="0" w:leftChars="0" w:firstLine="0" w:firstLineChars="0"/>
        <w:rPr>
          <w:rFonts w:hint="default"/>
        </w:rPr>
      </w:pPr>
      <w:r>
        <w:rPr>
          <w:rFonts w:hint="default"/>
        </w:rPr>
        <w:t>数据版本与治理模块</w:t>
      </w:r>
    </w:p>
    <w:p>
      <w:pPr>
        <w:rPr>
          <w:rFonts w:hint="default"/>
        </w:rPr>
      </w:pPr>
      <w:r>
        <w:rPr>
          <w:rFonts w:hint="default"/>
        </w:rPr>
        <w:t>模块对参与模型训练的数据集进行版本化管理，为每一次数据变更（如样本新增、删除、清洗规则调整、标注修订等）生成唯一版本标识，并记录元数据（数据规模、字段结构、质量指标、生成时间、责任人等），确保不同训练任务可精确定位所使用的数据版本，实现实验可复现与结果可审计。</w:t>
      </w:r>
    </w:p>
    <w:p>
      <w:pPr>
        <w:rPr>
          <w:rFonts w:hint="default"/>
        </w:rPr>
      </w:pPr>
      <w:r>
        <w:rPr>
          <w:rFonts w:hint="default"/>
        </w:rPr>
        <w:t>同时，模块支持训练数据集快照机制，在关键节点（如模型发布前、重大数据更新后）生成完整数据状态镜像，用于归档与对比分析；当数据异常或模型效果退化时，可基于历史版本或快照执行一键回滚，快速恢复至指定稳定版本，避免不可控的数据漂移风险。通过版本血缘追踪与变更记录管理，模块实现数据全生命周期治理，强化数据合规性与风险控制能力，为模型稳定迭代提供可靠的数据基础。</w:t>
      </w:r>
    </w:p>
    <w:p>
      <w:pPr>
        <w:pStyle w:val="607"/>
        <w:bidi w:val="0"/>
        <w:ind w:left="0" w:leftChars="0" w:firstLine="0" w:firstLineChars="0"/>
        <w:rPr>
          <w:rFonts w:hint="default"/>
        </w:rPr>
      </w:pPr>
      <w:r>
        <w:rPr>
          <w:rFonts w:hint="default"/>
        </w:rPr>
        <w:t>数据存储与格式模块</w:t>
      </w:r>
    </w:p>
    <w:p>
      <w:pPr>
        <w:rPr>
          <w:rFonts w:hint="default"/>
        </w:rPr>
      </w:pPr>
      <w:r>
        <w:rPr>
          <w:rFonts w:hint="default"/>
        </w:rPr>
        <w:t>模块基于分布式文件系统或对象存储架构，结合数据分片（Sharding）策略，将数据按照样本、时间、哈希或业务维度进行切分，实现并行读写与负载均衡，提升数据吞吐性能与扩展能力；同时支持冷热分层存储与压缩策略，优化存储成本与访问效率。</w:t>
      </w:r>
    </w:p>
    <w:p>
      <w:pPr>
        <w:rPr>
          <w:rFonts w:hint="default"/>
        </w:rPr>
      </w:pPr>
      <w:r>
        <w:rPr>
          <w:rFonts w:hint="eastAsia"/>
          <w:lang w:eastAsia="zh-CN"/>
        </w:rPr>
        <w:t>同时，</w:t>
      </w:r>
      <w:r>
        <w:rPr>
          <w:rFonts w:hint="default"/>
        </w:rPr>
        <w:t>支持预先 Tokenize（Pre-tokenization）与 Lazy Tokenize 两种设计决策。预先 Tokenize 方案通过离线分词与编码，将文本提前转换为模型输入格式，适用于训练场景稳定、对吞吐要求高的环境；Lazy Tokenize 则在数据加载阶段动态完成分词与编码，适用于多模型共享数据或 Tokenizer 频繁迭代的场景。模块支持统一数据格式抽象与元数据管理，确保不同存储策略与处理策略之间的兼容性与可追溯性，在性能、灵活性与存储成本之间实现可控平衡。</w:t>
      </w:r>
    </w:p>
    <w:p>
      <w:pPr>
        <w:pStyle w:val="607"/>
        <w:bidi w:val="0"/>
        <w:ind w:left="0" w:leftChars="0" w:firstLine="0" w:firstLineChars="0"/>
        <w:rPr>
          <w:rFonts w:hint="default"/>
        </w:rPr>
      </w:pPr>
      <w:r>
        <w:rPr>
          <w:rFonts w:hint="default"/>
        </w:rPr>
        <w:t>Tokenization 与特征化模块</w:t>
      </w:r>
    </w:p>
    <w:p>
      <w:pPr>
        <w:rPr>
          <w:rFonts w:hint="default"/>
        </w:rPr>
      </w:pPr>
      <w:r>
        <w:rPr>
          <w:rFonts w:hint="default"/>
        </w:rPr>
        <w:t>模块负责将原始多模态数据转换为模型可直接消费的结构化表示，是训练与推理流程中的核心前处理组件。模块支持自定义 Tokenizer 训练，包括基于 BPE、WordPiece、Unigram 等算法构建子词词表，结合领域语料进行词表优化与 OOV 控制；同时支持与主流框架（如 Hugging Face Transformers）兼容的分词器格式输出。为提升性能，模块提供分词缓存机制（Token Cache），对高频样本或静态数据进行结果持久化存储，降低重复计算开销，提高数据加载吞吐效率。</w:t>
      </w:r>
    </w:p>
    <w:p>
      <w:pPr>
        <w:rPr>
          <w:rFonts w:hint="default"/>
        </w:rPr>
      </w:pPr>
      <w:r>
        <w:rPr>
          <w:rFonts w:hint="default"/>
        </w:rPr>
        <w:t>在特殊 token 管理方面，模块支持统一维护 BOS、EOS、PAD、UNK 及任务自定义控制 token（如指令起始标记、角色标记等），并提供版本化与冲突检测能力，确保不同模型与任务之间的一致性。在多模态场景下，模块集成图像编码与音频编码能力，例如基于视觉编码模型进行图像特征提取，或基于频谱转换与声学模型进行音频向量化表示，实现跨模态特征对齐与统一嵌入空间构建。</w:t>
      </w:r>
    </w:p>
    <w:p>
      <w:pPr>
        <w:pStyle w:val="607"/>
        <w:bidi w:val="0"/>
        <w:ind w:left="0" w:leftChars="0" w:firstLine="0" w:firstLineChars="0"/>
        <w:rPr>
          <w:rFonts w:hint="default"/>
        </w:rPr>
      </w:pPr>
      <w:r>
        <w:rPr>
          <w:rFonts w:hint="default"/>
        </w:rPr>
        <w:t>数据调度与采样策略模块</w:t>
      </w:r>
    </w:p>
    <w:p>
      <w:pPr>
        <w:rPr>
          <w:rFonts w:hint="default"/>
        </w:rPr>
      </w:pPr>
      <w:r>
        <w:rPr>
          <w:rFonts w:hint="default"/>
        </w:rPr>
        <w:t>模块负责在模型训练过程中对数据加载、组织与分发进行高效控制，是保障训练吞吐与样本分布均衡性的关键组件。模块支持高性能批量加载（Batch Loading）机制，通过预取（Prefetch）、内存映射（Memory Mapping）与异步 I/O 等技术提升数据读取效率，并结合分布式数据管道框架（如 PyTorch 的 DataLoader 机制）实现可扩展的数据输入流水线。</w:t>
      </w:r>
    </w:p>
    <w:p>
      <w:pPr>
        <w:rPr>
          <w:rFonts w:hint="default"/>
        </w:rPr>
      </w:pPr>
      <w:r>
        <w:rPr>
          <w:rFonts w:hint="default"/>
        </w:rPr>
        <w:t>在样本组织策略上，模块支持动态拼接（Packing）技术，将不同长度样本在单个 batch 内进行高效拼接与填充优化，减少 padding 带来的算力浪费，提升 GPU 利用率；同时实现全局随机打乱（Global Shuffle），在跨分片、跨文件级别进行样本重排，避免局部数据顺序偏置，增强训练稳定性与泛化能力。在分布式训练场景下，模块支持多进程与多节点同步调度，结合数据并行或混合并行策略，确保各节点样本不重复且分布均衡，并通过统一的随机种子与采样状态管理机制实现可复现训练流程，从而在大规模集群环境中保障训练效率与统计一致性。</w:t>
      </w:r>
    </w:p>
    <w:p>
      <w:pPr>
        <w:pStyle w:val="607"/>
        <w:bidi w:val="0"/>
        <w:ind w:left="0" w:leftChars="0" w:firstLine="0" w:firstLineChars="0"/>
        <w:rPr>
          <w:rFonts w:hint="default"/>
        </w:rPr>
      </w:pPr>
      <w:r>
        <w:rPr>
          <w:rFonts w:hint="default"/>
        </w:rPr>
        <w:t>在线数据监控模块</w:t>
      </w:r>
    </w:p>
    <w:p>
      <w:pPr>
        <w:rPr>
          <w:rFonts w:hint="default"/>
        </w:rPr>
      </w:pPr>
      <w:r>
        <w:rPr>
          <w:rFonts w:hint="default"/>
        </w:rPr>
        <w:t>在线数据监控模块用于在模型训练过程中对数据流进行实时调控与策略优化，实现数据分布、样本难度与训练阶段之间的动态匹配。模块支持多数据源比例控制，可对不同来源或不同任务类型的数据设置权重与采样占比，避免单一数据源过拟合或分布失衡问题；同时支持重加权采样（Re-weighted Sampling），根据样本质量分数、类别频次或历史损失值动态调整采样概率，从而优化训练信号结构。</w:t>
      </w:r>
    </w:p>
    <w:p>
      <w:pPr>
        <w:rPr>
          <w:rFonts w:hint="default"/>
        </w:rPr>
      </w:pPr>
      <w:r>
        <w:rPr>
          <w:rFonts w:hint="default"/>
        </w:rPr>
        <w:t>在样本难度管理方面，模块支持难度分级采样与课程学习（Curriculum Learning）策略，即根据样本复杂度、模型置信度或损失值对数据进行分层，在训练早期优先使用低难度样本，在模型收敛后逐步引入高难度或长尾样本；同时支持动态混合策略，例如在 warmup 阶段提高通用数据比例、降低高噪声或高复杂度数据占比，以稳定梯度更新过程。此外，模块集成难例挖掘（Hard Example Mining）机制，基于实时 loss 统计或误判记录识别高价值样本并提升其采样频率，从而增强模型对边界样本与复杂模式的学习能力。整体模块强调可观测性与可调控性，通过实时指标监控与策略反馈闭环，实现训练数据分布的持续优化与精细化控制。</w:t>
      </w:r>
    </w:p>
    <w:p>
      <w:pPr>
        <w:pStyle w:val="107"/>
        <w:bidi w:val="0"/>
        <w:ind w:left="0" w:leftChars="0" w:firstLine="0" w:firstLineChars="0"/>
      </w:pPr>
      <w:r>
        <w:rPr>
          <w:rFonts w:hint="eastAsia"/>
        </w:rPr>
        <w:t>行业模型训练与优化</w:t>
      </w:r>
    </w:p>
    <w:p>
      <w:pPr>
        <w:pStyle w:val="607"/>
        <w:bidi w:val="0"/>
        <w:ind w:left="0" w:leftChars="0" w:firstLine="0" w:firstLineChars="0"/>
        <w:rPr>
          <w:rFonts w:hint="default"/>
        </w:rPr>
      </w:pPr>
      <w:r>
        <w:rPr>
          <w:rFonts w:hint="default"/>
        </w:rPr>
        <w:t>模型定义与结构研究</w:t>
      </w:r>
    </w:p>
    <w:p>
      <w:pPr>
        <w:rPr>
          <w:rFonts w:hint="default"/>
        </w:rPr>
      </w:pPr>
      <w:r>
        <w:rPr>
          <w:rFonts w:hint="eastAsia"/>
          <w:lang w:eastAsia="zh-CN"/>
        </w:rPr>
        <w:t>该部分工作</w:t>
      </w:r>
      <w:r>
        <w:rPr>
          <w:rFonts w:hint="default"/>
        </w:rPr>
        <w:t>主要负责模型架构选型、参数配置与权重生命周期管理，是模型研发与工程落地的核心。在模型结构层面，</w:t>
      </w:r>
      <w:r>
        <w:rPr>
          <w:rFonts w:hint="eastAsia"/>
          <w:lang w:eastAsia="zh-CN"/>
        </w:rPr>
        <w:t>研究</w:t>
      </w:r>
      <w:r>
        <w:rPr>
          <w:rFonts w:hint="default"/>
        </w:rPr>
        <w:t>主流架构的调研、对比与定义，包括基于自注意力机制的 Transformer 架构（如 Attention Is All You Need 所提出的结构）、稀疏专家模型 MoE（Mixture of Experts）以及多模态融合架构（文本-图像-音频联合建模）。</w:t>
      </w:r>
    </w:p>
    <w:p>
      <w:pPr>
        <w:rPr>
          <w:rFonts w:hint="default"/>
        </w:rPr>
      </w:pPr>
      <w:r>
        <w:rPr>
          <w:rFonts w:hint="default"/>
        </w:rPr>
        <w:t>在工程实现层面，模块提供系统化配置管理能力，支持对关键超参数进行统一管理与版本控制，包括层数（num_layers）、隐藏维度（hidden_size）、注意力头数、RoPE 参数、KV Cache 策略等，确保不同实验配置可复现与可追溯。</w:t>
      </w:r>
    </w:p>
    <w:p>
      <w:pPr>
        <w:pStyle w:val="607"/>
        <w:bidi w:val="0"/>
        <w:ind w:left="0" w:leftChars="0" w:firstLine="0" w:firstLineChars="0"/>
        <w:rPr>
          <w:rFonts w:hint="default"/>
        </w:rPr>
      </w:pPr>
      <w:r>
        <w:rPr>
          <w:rFonts w:hint="default"/>
        </w:rPr>
        <w:t>训练策略设计</w:t>
      </w:r>
    </w:p>
    <w:p>
      <w:pPr>
        <w:rPr>
          <w:rFonts w:hint="eastAsia" w:eastAsia="仿宋"/>
          <w:lang w:eastAsia="zh-CN"/>
        </w:rPr>
      </w:pPr>
      <w:r>
        <w:rPr>
          <w:rFonts w:hint="eastAsia"/>
          <w:lang w:eastAsia="zh-CN"/>
        </w:rPr>
        <w:t>该部分工作主要</w:t>
      </w:r>
      <w:r>
        <w:rPr>
          <w:rFonts w:hint="default"/>
        </w:rPr>
        <w:t>用于定义模型训练过程中的优化路径与系统级加速策略，是影响模型收敛效率与最终性能的关键因素。</w:t>
      </w:r>
      <w:r>
        <w:rPr>
          <w:rFonts w:hint="eastAsia"/>
          <w:lang w:eastAsia="zh-CN"/>
        </w:rPr>
        <w:t>在实际训练过程中，支持多种主流优化器，包括 AdamW（权重衰减解耦优化）、Lion（基于符号动量的轻量级优化算法）以及 Adafactor（适用于超大模型、节省显存的自适应优化方法），可根据模型规模与训练稳定性需求进行选择与调参。在学习率调度方面，支持多种策略组合，如 Cosine Annealing（余弦退火）、Linear Decay（线性衰减）以及 Warmup 机制（线性或指数预热），通过分阶段调控学习率变化曲线，缓解训练初期不稳定问题并优化后期收敛效果。同时提供梯度裁剪（Gradient Clipping）能力，包括按范数裁剪（clip by global norm）或按值裁剪，以防止梯度爆炸并增强数值稳定性。</w:t>
      </w:r>
    </w:p>
    <w:p>
      <w:pPr>
        <w:pStyle w:val="607"/>
        <w:bidi w:val="0"/>
        <w:ind w:left="0" w:leftChars="0" w:firstLine="0" w:firstLineChars="0"/>
        <w:rPr>
          <w:rFonts w:hint="default"/>
        </w:rPr>
      </w:pPr>
      <w:r>
        <w:rPr>
          <w:rFonts w:hint="default"/>
        </w:rPr>
        <w:t>微调策略设计</w:t>
      </w:r>
    </w:p>
    <w:p>
      <w:pPr>
        <w:rPr>
          <w:rFonts w:hint="eastAsia"/>
          <w:lang w:eastAsia="zh-CN"/>
        </w:rPr>
      </w:pPr>
      <w:r>
        <w:rPr>
          <w:rFonts w:hint="eastAsia"/>
          <w:lang w:eastAsia="zh-CN"/>
        </w:rPr>
        <w:t>该部分工作主要用于在预训练模型基础上进行任务适配与能力强化，重点解决跨模态对齐、指令理解与人类偏好一致性问题，是模型从“通用能力”走向“可用能力”的关键阶段。</w:t>
      </w:r>
    </w:p>
    <w:p>
      <w:pPr>
        <w:rPr>
          <w:rFonts w:hint="default"/>
          <w:lang w:eastAsia="zh-CN"/>
        </w:rPr>
      </w:pPr>
      <w:r>
        <w:rPr>
          <w:rFonts w:hint="default"/>
          <w:lang w:eastAsia="zh-CN"/>
        </w:rPr>
        <w:t>在能力对齐层面，</w:t>
      </w:r>
      <w:r>
        <w:rPr>
          <w:rFonts w:hint="eastAsia"/>
          <w:lang w:eastAsia="zh-CN"/>
        </w:rPr>
        <w:t>研究</w:t>
      </w:r>
      <w:r>
        <w:rPr>
          <w:rFonts w:hint="default"/>
          <w:lang w:eastAsia="zh-CN"/>
        </w:rPr>
        <w:t>表征对齐微调（Representation Alignment FT），通过对比学习或跨模态映射约束，使文本、图像、音频等不同模态嵌入空间对齐，提升跨模态检索与理解能力；支持指令微调（Multimodal Instruction Tuning），基于多模态指令数据对模型进行监督学习，使模型具备理解复杂指令并生成结构化输出的能力；同时支持生成式多模态微调（Generative Multimodal FT），面向图文生成、视觉问答、多模态对话等场景进行端到端生成优化。</w:t>
      </w:r>
    </w:p>
    <w:p>
      <w:pPr>
        <w:rPr>
          <w:rFonts w:hint="default"/>
          <w:lang w:eastAsia="zh-CN"/>
        </w:rPr>
      </w:pPr>
      <w:r>
        <w:rPr>
          <w:rFonts w:hint="default"/>
          <w:lang w:eastAsia="zh-CN"/>
        </w:rPr>
        <w:t>在偏好建模与对齐优化方面，</w:t>
      </w:r>
      <w:r>
        <w:rPr>
          <w:rFonts w:hint="eastAsia"/>
          <w:lang w:eastAsia="zh-CN"/>
        </w:rPr>
        <w:t>研究</w:t>
      </w:r>
      <w:r>
        <w:rPr>
          <w:rFonts w:hint="default"/>
          <w:lang w:eastAsia="zh-CN"/>
        </w:rPr>
        <w:t>多模态对齐与 RLHF（Reinforcement Learning from Human Feedback）流程，通过构建奖励模型与人类偏好数据，对模型输出进行排序学习与策略优化，提升回答质量、安全性与符合人类期望的程度。该过程通常结合监督微调（SFT）、奖励模型训练与强化学习阶段进行分阶段优化。整体模块强调数据质量、反馈闭环与训练稳定性控制，以实现模型在真实应用场景中的可控性与一致性。</w:t>
      </w:r>
    </w:p>
    <w:p>
      <w:pPr>
        <w:pStyle w:val="607"/>
        <w:bidi w:val="0"/>
        <w:ind w:left="0" w:leftChars="0" w:firstLine="0" w:firstLineChars="0"/>
        <w:rPr>
          <w:rFonts w:hint="default"/>
        </w:rPr>
      </w:pPr>
      <w:r>
        <w:rPr>
          <w:rFonts w:hint="default"/>
        </w:rPr>
        <w:t>模型评估研究</w:t>
      </w:r>
    </w:p>
    <w:p>
      <w:pPr>
        <w:rPr>
          <w:rFonts w:hint="eastAsia"/>
          <w:lang w:eastAsia="zh-CN"/>
        </w:rPr>
      </w:pPr>
      <w:r>
        <w:rPr>
          <w:rFonts w:hint="eastAsia"/>
          <w:lang w:eastAsia="zh-CN"/>
        </w:rPr>
        <w:t>该部分工作用于系统化衡量模型能力边界、泛化性能与安全合规水平，是模型迭代与发布决策的重要依据。在基础能力评估层面，模块支持离线 benchmark 测试，基于公开或自建评测集对模型进行标准化对比。对于生成式模型，还可通过 Perplexity（困惑度）评估语言建模能力，从概率分布拟合角度衡量模型对真实语料的预测质量，用于比较不同架构或训练策略下的收敛效果与建模能力。</w:t>
      </w:r>
    </w:p>
    <w:p>
      <w:pPr>
        <w:rPr>
          <w:rFonts w:hint="eastAsia"/>
          <w:lang w:eastAsia="zh-CN"/>
        </w:rPr>
      </w:pPr>
      <w:r>
        <w:rPr>
          <w:rFonts w:hint="eastAsia"/>
          <w:lang w:eastAsia="zh-CN"/>
        </w:rPr>
        <w:t>在综合能力与风险控制层面，模块支持多任务评测框架，对问答、推理、代码生成、多模态理解等不同任务进行统一评估，分析模型在跨任务场景下的稳定性与泛化能力。同时引入 Safety 评估体系，对有害内容生成、偏见、公平性、隐私泄露与对抗攻击鲁棒性进行系统测试，可结合人工审查与自动检测工具形成多维安全评分。整体评估模块强调“可量化指标 + 人工质检 + 场景化验证”三位一体方法，为模型优化方向与上线决策提供客观依据。</w:t>
      </w:r>
    </w:p>
    <w:p>
      <w:pPr>
        <w:pStyle w:val="607"/>
        <w:bidi w:val="0"/>
        <w:ind w:left="0" w:leftChars="0" w:firstLine="0" w:firstLineChars="0"/>
        <w:rPr>
          <w:rFonts w:hint="default"/>
        </w:rPr>
      </w:pPr>
      <w:r>
        <w:rPr>
          <w:rFonts w:hint="default"/>
        </w:rPr>
        <w:t>模型迭代和升级</w:t>
      </w:r>
    </w:p>
    <w:p>
      <w:pPr>
        <w:rPr>
          <w:rFonts w:hint="eastAsia"/>
          <w:lang w:eastAsia="zh-CN"/>
        </w:rPr>
      </w:pPr>
      <w:r>
        <w:rPr>
          <w:rFonts w:hint="eastAsia"/>
          <w:lang w:eastAsia="zh-CN"/>
        </w:rPr>
        <w:t>该模块用于构建模型全生命周期管理体系，确保模型从研发、测试到发布与优化形成可持续演进机制。</w:t>
      </w:r>
    </w:p>
    <w:p>
      <w:pPr>
        <w:rPr>
          <w:rFonts w:hint="eastAsia"/>
          <w:lang w:eastAsia="zh-CN"/>
        </w:rPr>
      </w:pPr>
      <w:r>
        <w:rPr>
          <w:rFonts w:hint="eastAsia"/>
          <w:lang w:eastAsia="zh-CN"/>
        </w:rPr>
        <w:t>在版本管理与发布策略方面，模块支持模型版本编号规范、权重与配置绑定管理，以及灰度发布、分阶段上线与回滚机制，保障生产环境稳定性；通过区分实验版本、候选版本与正式版本，实现可追溯与可复现的发布流程。在迭代与反馈闭环层面，模块整合线上日志、用户反馈、错误样本与性能指标，形成数据回流机制，将真实场景问题转化为可训练样本或优化任务，实现“评估—分析—改进—再评估”的闭环优化流程。</w:t>
      </w:r>
    </w:p>
    <w:p>
      <w:pPr>
        <w:rPr>
          <w:rFonts w:hint="eastAsia"/>
          <w:lang w:eastAsia="zh-CN"/>
        </w:rPr>
      </w:pPr>
    </w:p>
    <w:p>
      <w:pPr>
        <w:rPr>
          <w:rFonts w:hint="eastAsia"/>
          <w:lang w:eastAsia="zh-CN"/>
        </w:rPr>
      </w:pPr>
      <w:r>
        <w:rPr>
          <w:rFonts w:hint="eastAsia"/>
          <w:lang w:eastAsia="zh-CN"/>
        </w:rPr>
        <w:t>在数据与模型协同演进方面，模块建立数据模型迭代机制，包括新增高质量数据、修复偏差数据、扩展长尾样本与重新加权训练等策略，与模型结构或训练策略调整同步推进；同时设计系统化模型优化路径，如从参数规模扩展、训练数据规模扩展、结构改进到对齐优化的阶段式升级规划。配套完善的评估与验收机制，基于离线指标、场景测试与安全审核进行多维度验收，确保性能提升真实有效且风险可控，从而实现模型能力稳步提升与工程化落地的平衡。</w:t>
      </w:r>
    </w:p>
    <w:p>
      <w:pPr>
        <w:ind w:left="0" w:leftChars="0" w:firstLine="0" w:firstLineChars="0"/>
        <w:rPr>
          <w:rFonts w:hint="eastAsia"/>
          <w:lang w:eastAsia="zh-CN"/>
        </w:rPr>
      </w:pPr>
    </w:p>
    <w:p>
      <w:pPr>
        <w:pStyle w:val="607"/>
        <w:bidi w:val="0"/>
        <w:ind w:left="0" w:leftChars="0" w:firstLine="0" w:firstLineChars="0"/>
        <w:rPr>
          <w:rFonts w:hint="default"/>
        </w:rPr>
      </w:pPr>
      <w:r>
        <w:rPr>
          <w:rFonts w:hint="default"/>
        </w:rPr>
        <w:t>行业多模态表征大模型</w:t>
      </w:r>
    </w:p>
    <w:p>
      <w:pPr>
        <w:rPr>
          <w:rFonts w:hint="default"/>
        </w:rPr>
      </w:pPr>
      <w:r>
        <w:rPr>
          <w:rFonts w:hint="default"/>
        </w:rPr>
        <w:t>训练融合安防行业数据模态，在统一或对齐的语义空间中，对图像、文本、语音、视频等多种模态进行编码，并输出可用于检索、匹配、分类、推理等任务的高质量 embedding 的大规模模型。</w:t>
      </w:r>
    </w:p>
    <w:p>
      <w:pPr>
        <w:ind w:left="0" w:leftChars="0" w:firstLine="0" w:firstLineChars="0"/>
      </w:pPr>
      <w:r>
        <w:drawing>
          <wp:inline distT="0" distB="0" distL="114300" distR="114300">
            <wp:extent cx="5267325" cy="2950210"/>
            <wp:effectExtent l="0" t="0" r="9525" b="2540"/>
            <wp:docPr id="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5"/>
                    <pic:cNvPicPr>
                      <a:picLocks noChangeAspect="1"/>
                    </pic:cNvPicPr>
                  </pic:nvPicPr>
                  <pic:blipFill>
                    <a:blip r:embed="rId42"/>
                    <a:stretch>
                      <a:fillRect/>
                    </a:stretch>
                  </pic:blipFill>
                  <pic:spPr>
                    <a:xfrm>
                      <a:off x="0" y="0"/>
                      <a:ext cx="5267325" cy="2950210"/>
                    </a:xfrm>
                    <a:prstGeom prst="rect">
                      <a:avLst/>
                    </a:prstGeom>
                    <a:noFill/>
                    <a:ln>
                      <a:noFill/>
                    </a:ln>
                  </pic:spPr>
                </pic:pic>
              </a:graphicData>
            </a:graphic>
          </wp:inline>
        </w:drawing>
      </w:r>
    </w:p>
    <w:p>
      <w:pPr>
        <w:rPr>
          <w:rFonts w:hint="default"/>
        </w:rPr>
      </w:pPr>
      <w:r>
        <w:rPr>
          <w:rFonts w:hint="default"/>
        </w:rPr>
        <w:t>针对安防主要关注的对象（人、</w:t>
      </w:r>
      <w:r>
        <w:rPr>
          <w:rFonts w:hint="eastAsia"/>
          <w:lang w:eastAsia="zh-CN"/>
        </w:rPr>
        <w:t>车</w:t>
      </w:r>
      <w:r>
        <w:rPr>
          <w:rFonts w:hint="default"/>
        </w:rPr>
        <w:t>）</w:t>
      </w:r>
      <w:r>
        <w:rPr>
          <w:rFonts w:hint="eastAsia"/>
          <w:lang w:eastAsia="zh-CN"/>
        </w:rPr>
        <w:t>及通用要素</w:t>
      </w:r>
      <w:r>
        <w:rPr>
          <w:rFonts w:hint="default"/>
        </w:rPr>
        <w:t>，构建专有的视觉特征提取器，针对通用对象构建通用视觉识别模型，这些模型分别用于提取不同目标的视觉特征，用于安防场景中的检索行业应用中。</w:t>
      </w:r>
    </w:p>
    <w:p>
      <w:pPr>
        <w:rPr>
          <w:rFonts w:hint="default"/>
        </w:rPr>
      </w:pPr>
      <w:r>
        <w:rPr>
          <w:rFonts w:hint="default"/>
        </w:rPr>
        <w:t>训练整体采用由粗到细、由通用到行业的三阶段策略，避免一次性端到端训练带来的不稳定与过拟合。阶段一：多模态对齐预训练。行业数据往往存在模态分布不一致、语义表达不统一以及标注噪声较大的问题，如果直接进行多模态深度融合训练，模型容易在早期陷入局部最优甚至出现模态塌缩。通过对比学习的方式，可以在不引入复杂交互结构的前提下，先行建立不同模态之间稳定、可度量的共享语义空间，使文本、图像等模态在向量层面具备统一的语义尺度。该阶段的核心优势在于训练稳定性高、对数据规模和标注质量要求相对可控，并且能够天然适配大规模负样本，有效提升检索场景下的全局召回能力。在具体方法上，通常采用双塔结构分别对不同模态进行编码，并通过对比损失函数（如 InfoNCE 或 CLIP Loss）拉近语义相关样本在向量空间中的距离，同时推远不相关样本。结合行业 Query–文本或 Query–图像对数据，并引入难负样本挖掘机制，可以在该阶段完成行业语义的初步对齐，为后续复杂融合训练奠定基础。</w:t>
      </w:r>
    </w:p>
    <w:p>
      <w:pPr>
        <w:rPr>
          <w:rFonts w:hint="default"/>
        </w:rPr>
      </w:pPr>
      <w:r>
        <w:rPr>
          <w:rFonts w:hint="default"/>
        </w:rPr>
        <w:t>第二阶段：多模态融合训练。对复杂行业检索意图和细粒度语义关系的建模能力上。仅依赖对比训练得到的独立编码向量，模型更擅长处理粗粒度相关性判断，但在面对包含多约束条件、隐含逻辑关系或细节判别要求的行业查询时，往往难以区分高相似但业务含义不同的候选结果。多模态融合训练通过引入跨模态交互结构，使模型能够在 token 级或区域级层面建模不同模态之间的细粒度对齐关系，从而显著提升排序精度和业务可用性。该阶段的优势在于能够充分利用行业数据中的结构化信息和上下文关联，增强模型对复杂场景的理解能力，尤其适合用于 Top-K 精排或高价值检索场景。在训练方法上，通常在对比训练得到的编码器基础上，引入 Cross-Encoder 或多模态 Transformer 结构，对文本、图像（或其他模态）进行联合建模，并采用相关性分类或排序损失进行监督训练。该阶段训练规模相对可控，主要作用于候选集层面，从而在保证整体系统性能的同时，显著提升最终检索结果的精度与可信度。</w:t>
      </w:r>
    </w:p>
    <w:p>
      <w:pPr>
        <w:pStyle w:val="110"/>
        <w:bidi w:val="0"/>
        <w:ind w:left="0" w:leftChars="0" w:firstLine="0" w:firstLineChars="0"/>
        <w:rPr>
          <w:rFonts w:hint="default"/>
        </w:rPr>
      </w:pPr>
      <w:r>
        <w:rPr>
          <w:rFonts w:hint="default"/>
        </w:rPr>
        <w:t>行业多模态通用表征大模型</w:t>
      </w:r>
    </w:p>
    <w:p>
      <w:pPr>
        <w:pStyle w:val="112"/>
        <w:rPr>
          <w:rFonts w:hint="eastAsia" w:eastAsia="仿宋"/>
          <w:lang w:eastAsia="zh-CN"/>
        </w:rPr>
      </w:pPr>
      <w:r>
        <w:rPr>
          <w:rFonts w:hint="eastAsia"/>
          <w:lang w:eastAsia="zh-CN"/>
        </w:rPr>
        <w:t>基于安防行业数据和行业多模态表征大模型构建方法，训练微调的表征模型。</w:t>
      </w:r>
    </w:p>
    <w:p>
      <w:pPr>
        <w:pStyle w:val="110"/>
        <w:bidi w:val="0"/>
        <w:ind w:left="0" w:leftChars="0" w:firstLine="0" w:firstLineChars="0"/>
        <w:rPr>
          <w:rFonts w:hint="default"/>
        </w:rPr>
      </w:pPr>
      <w:r>
        <w:rPr>
          <w:rFonts w:hint="default"/>
        </w:rPr>
        <w:t>行业人体表征大模型</w:t>
      </w:r>
    </w:p>
    <w:p>
      <w:pPr>
        <w:pStyle w:val="112"/>
        <w:rPr>
          <w:rFonts w:hint="default"/>
        </w:rPr>
      </w:pPr>
      <w:r>
        <w:rPr>
          <w:rFonts w:hint="default"/>
        </w:rPr>
        <w:t>基于安防行业</w:t>
      </w:r>
      <w:r>
        <w:rPr>
          <w:rFonts w:hint="eastAsia"/>
          <w:lang w:eastAsia="zh-CN"/>
        </w:rPr>
        <w:t>人体</w:t>
      </w:r>
      <w:r>
        <w:rPr>
          <w:rFonts w:hint="default"/>
        </w:rPr>
        <w:t>数据和行业多模态表征大模型构建方法，训练微调的表征模型。</w:t>
      </w:r>
    </w:p>
    <w:p>
      <w:pPr>
        <w:pStyle w:val="110"/>
        <w:bidi w:val="0"/>
        <w:ind w:left="0" w:leftChars="0" w:firstLine="0" w:firstLineChars="0"/>
        <w:rPr>
          <w:rFonts w:hint="default"/>
        </w:rPr>
      </w:pPr>
      <w:r>
        <w:rPr>
          <w:rFonts w:hint="default"/>
        </w:rPr>
        <w:t>行业车辆表征大模型</w:t>
      </w:r>
    </w:p>
    <w:p>
      <w:pPr>
        <w:pStyle w:val="112"/>
        <w:rPr>
          <w:rFonts w:hint="default"/>
        </w:rPr>
      </w:pPr>
      <w:r>
        <w:rPr>
          <w:rFonts w:hint="default"/>
        </w:rPr>
        <w:t>基于安防行业</w:t>
      </w:r>
      <w:r>
        <w:rPr>
          <w:rFonts w:hint="eastAsia"/>
          <w:lang w:eastAsia="zh-CN"/>
        </w:rPr>
        <w:t>车辆</w:t>
      </w:r>
      <w:r>
        <w:rPr>
          <w:rFonts w:hint="default"/>
        </w:rPr>
        <w:t>数据和行业多模态表征大模型构建方法，训练微调的表征模型。</w:t>
      </w:r>
    </w:p>
    <w:p>
      <w:pPr>
        <w:pStyle w:val="607"/>
        <w:bidi w:val="0"/>
        <w:ind w:left="0" w:leftChars="0" w:firstLine="0" w:firstLineChars="0"/>
        <w:rPr>
          <w:rFonts w:hint="default"/>
        </w:rPr>
      </w:pPr>
      <w:r>
        <w:rPr>
          <w:rFonts w:hint="default"/>
        </w:rPr>
        <w:t>行业多模态理解大模型</w:t>
      </w:r>
    </w:p>
    <w:p>
      <w:pPr>
        <w:pStyle w:val="112"/>
        <w:rPr>
          <w:rFonts w:hint="default"/>
        </w:rPr>
      </w:pPr>
      <w:r>
        <w:rPr>
          <w:rFonts w:hint="default"/>
        </w:rPr>
        <w:t>针对模型的风险识别能力，基于已训练完成的安防行业多模态检索模型，进一步构建多模态搜索推理模型，从“相关内容召回”向“可理解、可推理搜索”的关键升级路径。该模型不再局限于静态相似度匹配，而是以多模态语义表示为基础，将用户查询视为一个需要被解析、推断和逐步收敛的搜索任务，从而支持复杂业务场景下的多条件检索与结果理解。通过将检索模型产生的高质量候选结果作为推理输入，多模态搜索推理模型能够在保持高召回效率的同时，引入更强的语义组合和逻辑建模能力，体现出当前大模型技术在搜索与知识获取方向上的先进发展趋势。</w:t>
      </w:r>
    </w:p>
    <w:p>
      <w:pPr>
        <w:pStyle w:val="112"/>
        <w:rPr>
          <w:rFonts w:hint="default"/>
        </w:rPr>
      </w:pPr>
      <w:r>
        <w:rPr>
          <w:rFonts w:hint="default"/>
        </w:rPr>
        <w:t>以已训练完成的多模态检索模型作为能力基座。检索模型在该阶段保持冻结或半冻结状态，仅负责为推理模型提供高质量、多样化的候选多模态内容及其向量表示。推理模型的核心目标并非学习“如何找到相关内容”，而是学习“如何在相关内容的基础上进行理解与推断”。为提升模型在真实搜索场景中的鲁棒性和泛化能力，训练过程中通常引入课程学习与难例驱动训练机制。同时，利用检索模型不断生成具有挑战性的候选集作为训练输入，使推理模型在“相似但不等价”的多模态内容中学习精细区分能力。这种逐步加深难度的训练模式，有助于模型形成稳定且可解释的推理行为。</w:t>
      </w:r>
    </w:p>
    <w:p>
      <w:pPr>
        <w:pStyle w:val="112"/>
        <w:rPr>
          <w:rFonts w:hint="default"/>
        </w:rPr>
      </w:pPr>
      <w:r>
        <w:rPr>
          <w:rFonts w:hint="default"/>
        </w:rPr>
        <w:t>在应用技术形态上，多模态搜索推理模型采用“检索增强推理（Retrieval-Augmented Reasoning）”的设计范式，将多模态检索模型作为前置能力模块，与具备推理能力的多模态大模型进行解耦式集成。这种架构一方面充分复用已有的向量检索和索引体系，避免端到端超大模型带来的高成本与不可控风险；另一方面通过推理模型对候选结果进行跨模态联合理解和上下文建模，实现对图像、文本及其关系的深层语义推断。该设计在当前多模态大模型体系中具有明显的先进性，同时在工程实现上具备良好的模块化特征，便于独立优化与迭代升级。</w:t>
      </w:r>
    </w:p>
    <w:p>
      <w:pPr>
        <w:pStyle w:val="607"/>
        <w:bidi w:val="0"/>
        <w:ind w:left="0" w:leftChars="0" w:firstLine="0" w:firstLineChars="0"/>
        <w:rPr>
          <w:rFonts w:hint="default"/>
        </w:rPr>
      </w:pPr>
      <w:r>
        <w:rPr>
          <w:rFonts w:hint="default"/>
        </w:rPr>
        <w:t>行业多模态时空推理大模型</w:t>
      </w:r>
    </w:p>
    <w:p>
      <w:pPr>
        <w:ind w:firstLine="420"/>
        <w:rPr>
          <w:rFonts w:hint="eastAsia"/>
          <w:lang w:eastAsia="zh-CN"/>
        </w:rPr>
      </w:pPr>
      <w:r>
        <w:rPr>
          <w:rFonts w:hint="eastAsia"/>
          <w:lang w:eastAsia="zh-CN"/>
        </w:rPr>
        <w:t>针对城市安全治理的能力，</w:t>
      </w:r>
      <w:r>
        <w:rPr>
          <w:rFonts w:hint="default"/>
        </w:rPr>
        <w:t>在多模态搜索推理大模型的基础上，引入时间与空间维度信息，进一步构建多模态时空推理大模型，是实现复杂现实场景智能理解与决策的关键升级。该模型将时间序列、空间位置与多模态感知信息进行统一建模，使搜索与推理能力从静态语义匹配扩展至动态时空演化分析。通过将文本、图像、视频等多模态信息与时间戳、地理坐标等时空要素进行联合编码，模型能够理解事件在不同时间和空间尺度上的发生规律，为跨时段、跨区域的综合推理提供坚实基础</w:t>
      </w:r>
      <w:r>
        <w:rPr>
          <w:rFonts w:hint="eastAsia"/>
          <w:lang w:eastAsia="zh-CN"/>
        </w:rPr>
        <w:t>。</w:t>
      </w:r>
    </w:p>
    <w:p>
      <w:pPr>
        <w:pStyle w:val="286"/>
        <w:ind w:left="0" w:leftChars="0" w:firstLine="0" w:firstLineChars="0"/>
        <w:rPr>
          <w:rFonts w:hint="eastAsia"/>
          <w:lang w:eastAsia="zh-CN"/>
        </w:rPr>
      </w:pPr>
      <w:r>
        <w:drawing>
          <wp:inline distT="0" distB="0" distL="114300" distR="114300">
            <wp:extent cx="5273040" cy="2930525"/>
            <wp:effectExtent l="0" t="0" r="3810" b="3175"/>
            <wp:docPr id="44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Picture 85"/>
                    <pic:cNvPicPr>
                      <a:picLocks noChangeAspect="1"/>
                    </pic:cNvPicPr>
                  </pic:nvPicPr>
                  <pic:blipFill>
                    <a:blip r:embed="rId43"/>
                    <a:stretch>
                      <a:fillRect/>
                    </a:stretch>
                  </pic:blipFill>
                  <pic:spPr>
                    <a:xfrm>
                      <a:off x="0" y="0"/>
                      <a:ext cx="5273040" cy="2930525"/>
                    </a:xfrm>
                    <a:prstGeom prst="rect">
                      <a:avLst/>
                    </a:prstGeom>
                    <a:noFill/>
                    <a:ln>
                      <a:noFill/>
                    </a:ln>
                  </pic:spPr>
                </pic:pic>
              </a:graphicData>
            </a:graphic>
          </wp:inline>
        </w:drawing>
      </w:r>
    </w:p>
    <w:p>
      <w:pPr>
        <w:ind w:firstLine="420"/>
        <w:rPr>
          <w:rFonts w:hint="default"/>
        </w:rPr>
      </w:pPr>
      <w:r>
        <w:rPr>
          <w:rFonts w:hint="default"/>
        </w:rPr>
        <w:t>多模态时空推理大模型以地图数据为核心空间载体，将 POI（Point of Interest）和 ROI（Region of Interest）作为高层语义锚点，构建结构化的时空语义表示体系。地图拓扑、道路网络、区域边界等信息被编码为空间约束，与多模态搜索推理模型输出的候选内容进行对齐，从而使模型能够在推理过程中显式感知“在哪里发生、与周边环境的关系以及空间可达性”等关键因素。同时，通过对 POI 和 ROI 的行业属性、功能标签及历史行为特征进行建模，模型不仅能够理解单点位置的语义，还能够在区域尺度上进行聚合分析和关联推断，显著提升复杂场景下的推理准确性与可解释性。</w:t>
      </w:r>
    </w:p>
    <w:p>
      <w:pPr>
        <w:rPr>
          <w:rFonts w:hint="default"/>
        </w:rPr>
      </w:pPr>
    </w:p>
    <w:p>
      <w:pPr>
        <w:pStyle w:val="607"/>
        <w:bidi w:val="0"/>
        <w:ind w:left="0" w:leftChars="0" w:firstLine="0" w:firstLineChars="0"/>
        <w:rPr>
          <w:rFonts w:hint="default"/>
        </w:rPr>
      </w:pPr>
      <w:r>
        <w:rPr>
          <w:rFonts w:hint="default"/>
        </w:rPr>
        <w:t>行业多模态生成大模型</w:t>
      </w:r>
    </w:p>
    <w:p>
      <w:pPr>
        <w:pStyle w:val="112"/>
        <w:rPr>
          <w:rFonts w:hint="default"/>
        </w:rPr>
      </w:pPr>
      <w:r>
        <w:rPr>
          <w:rFonts w:hint="default"/>
        </w:rPr>
        <w:t>行业多模态生成大模型指能够在文本、图像、语音等多种模态之间进行条件生成与跨模态生成的统一大规模模型体系，面向特定行业场景构建端到端生成能力。该类模型通常以统一 Transformer 主干或多模态融合架构为核心，通过共享语义嵌入空间实现跨模态对齐，使模型既能够完成“文本生成图像”“文本生成语音”，也能够完成“图像生成语音描述”“语音生成图像内容”等跨模态生成任务，实现多模态输入与多模态输出的灵活组合。</w:t>
      </w:r>
    </w:p>
    <w:p>
      <w:pPr>
        <w:pStyle w:val="112"/>
        <w:rPr>
          <w:rFonts w:hint="default"/>
        </w:rPr>
      </w:pPr>
      <w:r>
        <w:rPr>
          <w:rFonts w:hint="default"/>
        </w:rPr>
        <w:t>在技术实现层面，可结合扩散模型与自回归生成框架，例如参考 Stable Diffusion 的条件扩散生成机制实现高质量图像生成，结合语音生成模型如 VALL-E 实现高保真语音合成，同时借鉴统一语言模型架构（如 GPT-4）进行跨模态条件建模与指令控制。针对行业应用，可通过领域数据微调与对齐训练，使模型具备行业术语理解、风格控制与专业内容生成能力，例如在数字人播报、智能客服、工业可视化生成、文旅内容创作等场景中实现统一生成与交互能力。整体目标是构建一个统一参数空间、统一调度接口、统一训练范式的大规模多模态生成系统，降低系统复杂度，同时提升跨模态生成质量与可扩展性。</w:t>
      </w:r>
    </w:p>
    <w:p>
      <w:pPr>
        <w:pStyle w:val="107"/>
        <w:bidi w:val="0"/>
        <w:ind w:left="0" w:leftChars="0" w:firstLine="0" w:firstLineChars="0"/>
        <w:rPr>
          <w:rFonts w:hint="default"/>
        </w:rPr>
      </w:pPr>
      <w:r>
        <w:rPr>
          <w:rFonts w:hint="default"/>
        </w:rPr>
        <w:t>安防行业大模型量化压缩与蒸馏算法研究</w:t>
      </w:r>
    </w:p>
    <w:p>
      <w:pPr>
        <w:pStyle w:val="607"/>
        <w:bidi w:val="0"/>
        <w:ind w:left="0" w:leftChars="0" w:firstLine="0" w:firstLineChars="0"/>
        <w:rPr>
          <w:rFonts w:hint="default"/>
        </w:rPr>
      </w:pPr>
      <w:r>
        <w:rPr>
          <w:rFonts w:hint="default"/>
        </w:rPr>
        <w:t>模型可压缩性分析</w:t>
      </w:r>
    </w:p>
    <w:p>
      <w:pPr>
        <w:rPr>
          <w:rFonts w:hint="default"/>
        </w:rPr>
      </w:pPr>
      <w:r>
        <w:rPr>
          <w:rFonts w:hint="default"/>
        </w:rPr>
        <w:t>模型可压缩性分析模块用于系统评估大模型在量化、剪枝与蒸馏等压缩路径下的性能损失风险与收益空间，为部署优化与成本控制提供决策依据。</w:t>
      </w:r>
    </w:p>
    <w:p>
      <w:pPr>
        <w:rPr>
          <w:rFonts w:hint="default"/>
        </w:rPr>
      </w:pPr>
      <w:r>
        <w:rPr>
          <w:rFonts w:hint="default"/>
        </w:rPr>
        <w:t>在量化分析方面，模块对不同层类型（Embedding、Attention、MLP、LayerNorm 等）进行敏感度评估，给出推荐量化 bit 范围。例如，Embedding 与 Attention 权重通常对精度较敏感，建议优先采用 8-bit 或混合精度量化；MLP 层在部分场景下可尝试 4-bit 量化；对激活值可结合对称/非对称量化策略进行动态校准。通过逐层误差传播分析与校准数据集测试，评估量化后对困惑度（Perplexity）、下游任务指标与推理稳定性的影响，形成分层量化建议与混合精度方案。</w:t>
      </w:r>
    </w:p>
    <w:p>
      <w:pPr>
        <w:rPr>
          <w:rFonts w:hint="default"/>
        </w:rPr>
      </w:pPr>
      <w:r>
        <w:rPr>
          <w:rFonts w:hint="default"/>
        </w:rPr>
        <w:t>在结构压缩层面，模块提供剪枝比例建议，包括结构化剪枝（如按通道、按头剪枝）与非结构化剪枝的可行性分析。通常建议从 10%–30% 的保守剪枝比例开始，结合稀疏度—性能曲线评估可接受区间，并分析不同模块（Attention vs. FFN）对剪枝的敏感度差异。在知识蒸馏方面，模块评估教师模型与学生模型之间的容量差距、任务复杂度与对齐难度，判断蒸馏可行性与预期性能上限，包括是否需要中间层对齐（Feature-based Distillation）或仅输出层蒸馏（Logit-based Distillation）。整体模块通过量化敏感度分析、结构冗余评估与蒸馏可达性判断，形成系统化压缩路径建议，在模型性能、推理延迟与部署成本之间实现可控平衡。</w:t>
      </w:r>
    </w:p>
    <w:p>
      <w:pPr>
        <w:pStyle w:val="607"/>
        <w:bidi w:val="0"/>
        <w:ind w:left="0" w:leftChars="0" w:firstLine="0" w:firstLineChars="0"/>
        <w:rPr>
          <w:rFonts w:hint="default"/>
        </w:rPr>
      </w:pPr>
      <w:r>
        <w:rPr>
          <w:rFonts w:hint="default"/>
        </w:rPr>
        <w:t>量化算法研究</w:t>
      </w:r>
    </w:p>
    <w:p>
      <w:pPr>
        <w:rPr>
          <w:rFonts w:hint="default"/>
        </w:rPr>
      </w:pPr>
      <w:r>
        <w:rPr>
          <w:rFonts w:hint="default"/>
        </w:rPr>
        <w:t>量化算法研究模块聚焦于在尽可能降低模型存储与推理成本的前提下，维持模型精度与稳定性，是大模型部署优化的核心技术方向之一。模块围绕不同阶段与不同精度目标，系统研究多种量化路径与算法实现机制。</w:t>
      </w:r>
    </w:p>
    <w:p>
      <w:pPr>
        <w:rPr>
          <w:rFonts w:hint="default"/>
        </w:rPr>
      </w:pPr>
      <w:r>
        <w:rPr>
          <w:rFonts w:hint="default"/>
        </w:rPr>
        <w:t>在 PTQ（Post-Training Quantization） 方面，重点研究在不重新训练或仅少量校准数据参与的情况下，对已训练模型进行权重与激活值量化的方法。包括对称/非对称量化、逐通道量化（Per-channel）、逐张量量化（Per-tensor）、误差补偿与校准数据选择策略等。PTQ 具有工程成本低、部署速度快的优势，适用于大规模模型快速压缩场景，但对高压缩率场景下的精度保持能力存在一定挑战。</w:t>
      </w:r>
    </w:p>
    <w:p>
      <w:pPr>
        <w:rPr>
          <w:rFonts w:hint="default"/>
        </w:rPr>
      </w:pPr>
      <w:r>
        <w:rPr>
          <w:rFonts w:hint="default"/>
        </w:rPr>
        <w:t>在 QAT（Quantization Aware Training） 方面，模块研究在训练阶段引入量化模拟算子（Fake Quantization），使模型在前向与反向传播过程中感知量化误差，从而主动学习对量化噪声的鲁棒表示。QAT 通常能够在 8-bit 或更低精度下取得优于 PTQ 的性能表现，但训练成本更高，工程复杂度也更大，适用于对精度要求较高的生产级部署场景。</w:t>
      </w:r>
    </w:p>
    <w:p>
      <w:pPr>
        <w:rPr>
          <w:rFonts w:hint="default"/>
        </w:rPr>
      </w:pPr>
      <w:r>
        <w:rPr>
          <w:rFonts w:hint="default"/>
        </w:rPr>
        <w:t>在超低比特量化方向（如 4-bit、3-bit 甚至 2-bit 量化），模块重点研究分组量化（Group-wise Quantization）、混合精度策略、离群值处理（Outlier Channel Splitting）、以及结合缩放因子与零点优化的非均匀量化方法。此类方法在显著降低显存占用与推理带宽需求的同时，对数值稳定性与精度保持提出更高挑战，通常需要配合蒸馏、再训练或混合精度设计。整体模块通过算法对比实验与误差传播分析，形成不同模型规模与部署场景下的最优量化策略建议。</w:t>
      </w:r>
    </w:p>
    <w:p>
      <w:pPr>
        <w:pStyle w:val="607"/>
        <w:bidi w:val="0"/>
        <w:ind w:left="0" w:leftChars="0" w:firstLine="0" w:firstLineChars="0"/>
        <w:rPr>
          <w:rFonts w:hint="default"/>
        </w:rPr>
      </w:pPr>
      <w:r>
        <w:rPr>
          <w:rFonts w:hint="default"/>
        </w:rPr>
        <w:t>模型剪枝研究</w:t>
      </w:r>
    </w:p>
    <w:p>
      <w:pPr>
        <w:rPr>
          <w:rFonts w:hint="default"/>
        </w:rPr>
      </w:pPr>
      <w:r>
        <w:rPr>
          <w:rFonts w:hint="default"/>
        </w:rPr>
        <w:t>模型剪枝研究模块聚焦于通过移除冗余参数或结构单元，降低模型计算复杂度与存储开销，在尽量保持性能的前提下提升推理效率与部署适配性。根据剪枝粒度与硬件友好程度，主要分为非结构化剪枝与结构化剪枝两大方向。</w:t>
      </w:r>
    </w:p>
    <w:p>
      <w:pPr>
        <w:rPr>
          <w:rFonts w:hint="default"/>
        </w:rPr>
      </w:pPr>
      <w:r>
        <w:rPr>
          <w:rFonts w:hint="default"/>
        </w:rPr>
        <w:t>在非结构化剪枝（Unstructured Pruning）方面，剪枝对象通常为单个权重参数，通过基于权重幅值（Magnitude-based Pruning）、梯度敏感度或重要性评分进行稀疏化处理，使权重矩阵呈现高比例稀疏分布。该方法能够在理论上获得较高压缩率（如 50%–90% 稀疏度），并在一定程度上保持模型精度，但由于生成的是不规则稀疏结构，对通用硬件加速支持有限，通常需要专用稀疏计算库或定制推理引擎才能充分释放性能收益。</w:t>
      </w:r>
    </w:p>
    <w:p>
      <w:pPr>
        <w:rPr>
          <w:rFonts w:hint="default"/>
        </w:rPr>
      </w:pPr>
      <w:r>
        <w:rPr>
          <w:rFonts w:hint="default"/>
        </w:rPr>
        <w:t>在结构化剪枝（Structured Pruning）方面，剪枝粒度提升至通道（Channel）、注意力头（Attention Head）、隐藏维度或整层结构，直接移除完整结构单元，从而生成规则、紧凑的新模型结构。该方法对 GPU、CPU 等通用硬件更加友好，能够直接减少 FLOPs 与实际推理延迟，适合工业部署场景。常见策略包括基于通道重要性评分的通道裁剪、基于注意力权重分布的头剪枝，以及对前馈网络（FFN）宽度的压缩。整体研究强调在“压缩率—性能损失—硬件加速收益”三者之间建立量化评估体系，为不同规模模型与部署环境提供最优剪枝路径建议。</w:t>
      </w:r>
    </w:p>
    <w:p>
      <w:pPr>
        <w:pStyle w:val="607"/>
        <w:bidi w:val="0"/>
        <w:ind w:left="0" w:leftChars="0" w:firstLine="0" w:firstLineChars="0"/>
        <w:rPr>
          <w:rFonts w:hint="default"/>
        </w:rPr>
      </w:pPr>
      <w:r>
        <w:rPr>
          <w:rFonts w:hint="default"/>
        </w:rPr>
        <w:t>低秩分解</w:t>
      </w:r>
    </w:p>
    <w:p>
      <w:pPr>
        <w:rPr>
          <w:rFonts w:hint="default"/>
        </w:rPr>
      </w:pPr>
      <w:r>
        <w:rPr>
          <w:rFonts w:hint="default"/>
        </w:rPr>
        <w:t>低秩分解研究模块聚焦于利用矩阵的低秩结构对大规模模型参数进行近似表示，以实现参数压缩与计算加速，同时在微调场景中降低训练成本与显存占用，是当前超大模型优化的重要技术路径之一。</w:t>
      </w:r>
    </w:p>
    <w:p>
      <w:pPr>
        <w:rPr>
          <w:rFonts w:hint="default" w:hAnsi="DejaVu Math TeX Gyre" w:cs="Times New Roman"/>
          <w:i w:val="0"/>
          <w:kern w:val="2"/>
          <w:sz w:val="28"/>
          <w:szCs w:val="21"/>
          <w:lang w:bidi="ar-SA"/>
        </w:rPr>
      </w:pPr>
      <w:r>
        <w:rPr>
          <w:rFonts w:hint="default"/>
        </w:rPr>
        <w:t>在超大模型压缩方面，低秩分解通过将权重矩阵</w:t>
      </w:r>
      <m:oMath>
        <m:r>
          <m:rPr>
            <m:sty m:val="p"/>
          </m:rPr>
          <w:rPr>
            <w:rFonts w:hint="default" w:ascii="DejaVu Math TeX Gyre" w:hAnsi="DejaVu Math TeX Gyre" w:cs="Times New Roman"/>
            <w:kern w:val="2"/>
            <w:sz w:val="28"/>
            <w:szCs w:val="21"/>
            <w:lang w:eastAsia="zh-CN" w:bidi="ar-SA"/>
          </w:rPr>
          <m:t>W</m:t>
        </m:r>
        <m:r>
          <m:rPr>
            <m:sty m:val="p"/>
          </m:rPr>
          <w:rPr>
            <w:rFonts w:ascii="DejaVu Math TeX Gyre" w:hAnsi="DejaVu Math TeX Gyre" w:cs="Times New Roman"/>
            <w:kern w:val="2"/>
            <w:sz w:val="28"/>
            <w:szCs w:val="21"/>
            <w:lang w:bidi="ar-SA"/>
          </w:rPr>
          <m:t>∈</m:t>
        </m:r>
        <m:sSup>
          <m:sSupPr>
            <m:ctrlPr>
              <w:rPr>
                <w:rFonts w:ascii="DejaVu Math TeX Gyre" w:hAnsi="DejaVu Math TeX Gyre" w:cs="Times New Roman"/>
                <w:kern w:val="2"/>
                <w:sz w:val="28"/>
                <w:szCs w:val="21"/>
                <w:lang w:bidi="ar-SA"/>
              </w:rPr>
            </m:ctrlPr>
          </m:sSupPr>
          <m:e>
            <m:r>
              <m:rPr>
                <m:sty m:val="p"/>
                <m:scr m:val="double-struck"/>
              </m:rPr>
              <w:rPr>
                <w:rFonts w:ascii="DejaVu Math TeX Gyre" w:hAnsi="DejaVu Math TeX Gyre" w:cs="Times New Roman"/>
                <w:kern w:val="2"/>
                <w:sz w:val="28"/>
                <w:szCs w:val="21"/>
                <w:lang w:bidi="ar-SA"/>
              </w:rPr>
              <m:t>ℝ</m:t>
            </m:r>
            <m:ctrlPr>
              <w:rPr>
                <w:rFonts w:ascii="DejaVu Math TeX Gyre" w:hAnsi="DejaVu Math TeX Gyre" w:cs="Times New Roman"/>
                <w:kern w:val="2"/>
                <w:sz w:val="28"/>
                <w:szCs w:val="21"/>
                <w:lang w:bidi="ar-SA"/>
              </w:rPr>
            </m:ctrlPr>
          </m:e>
          <m:sup>
            <m:r>
              <m:rPr>
                <m:sty m:val="p"/>
              </m:rPr>
              <w:rPr>
                <w:rFonts w:hint="default" w:ascii="DejaVu Math TeX Gyre" w:hAnsi="DejaVu Math TeX Gyre" w:cs="Times New Roman"/>
                <w:kern w:val="2"/>
                <w:sz w:val="28"/>
                <w:szCs w:val="21"/>
                <w:lang w:bidi="ar-SA"/>
              </w:rPr>
              <m:t>m</m:t>
            </m:r>
            <m:r>
              <m:rPr>
                <m:sty m:val="p"/>
              </m:rPr>
              <w:rPr>
                <w:rFonts w:ascii="DejaVu Math TeX Gyre" w:hAnsi="DejaVu Math TeX Gyre" w:cs="Times New Roman"/>
                <w:kern w:val="2"/>
                <w:sz w:val="28"/>
                <w:szCs w:val="21"/>
                <w:lang w:bidi="ar-SA"/>
              </w:rPr>
              <m:t>×</m:t>
            </m:r>
            <m:r>
              <m:rPr>
                <m:sty m:val="p"/>
              </m:rPr>
              <w:rPr>
                <w:rFonts w:hint="default" w:ascii="DejaVu Math TeX Gyre" w:hAnsi="DejaVu Math TeX Gyre" w:cs="Times New Roman"/>
                <w:kern w:val="2"/>
                <w:sz w:val="28"/>
                <w:szCs w:val="21"/>
                <w:lang w:bidi="ar-SA"/>
              </w:rPr>
              <m:t>n</m:t>
            </m:r>
            <m:ctrlPr>
              <w:rPr>
                <w:rFonts w:ascii="DejaVu Math TeX Gyre" w:hAnsi="DejaVu Math TeX Gyre" w:cs="Times New Roman"/>
                <w:kern w:val="2"/>
                <w:sz w:val="28"/>
                <w:szCs w:val="21"/>
                <w:lang w:bidi="ar-SA"/>
              </w:rPr>
            </m:ctrlPr>
          </m:sup>
        </m:sSup>
      </m:oMath>
      <w:r>
        <w:rPr>
          <w:rFonts w:hint="default" w:hAnsi="DejaVu Math TeX Gyre" w:cs="Times New Roman"/>
          <w:i w:val="0"/>
          <w:kern w:val="2"/>
          <w:sz w:val="28"/>
          <w:szCs w:val="21"/>
          <w:lang w:bidi="ar-SA"/>
        </w:rPr>
        <w:t>解为两个低秩矩阵</w:t>
      </w:r>
      <m:oMath>
        <m:r>
          <m:rPr>
            <m:sty m:val="p"/>
          </m:rPr>
          <w:rPr>
            <w:rFonts w:hint="default" w:ascii="DejaVu Math TeX Gyre" w:hAnsi="DejaVu Math TeX Gyre" w:cs="Times New Roman"/>
            <w:kern w:val="2"/>
            <w:sz w:val="28"/>
            <w:szCs w:val="21"/>
            <w:lang w:val="en-US" w:eastAsia="zh-CN" w:bidi="ar-SA"/>
          </w:rPr>
          <m:t>A</m:t>
        </m:r>
        <m:r>
          <m:rPr>
            <m:sty m:val="p"/>
          </m:rPr>
          <w:rPr>
            <w:rFonts w:ascii="DejaVu Math TeX Gyre" w:hAnsi="DejaVu Math TeX Gyre" w:cs="Times New Roman"/>
            <w:kern w:val="2"/>
            <w:sz w:val="28"/>
            <w:szCs w:val="21"/>
            <w:lang w:bidi="ar-SA"/>
          </w:rPr>
          <m:t>∈</m:t>
        </m:r>
        <m:sSup>
          <m:sSupPr>
            <m:ctrlPr>
              <w:rPr>
                <w:rFonts w:ascii="DejaVu Math TeX Gyre" w:hAnsi="DejaVu Math TeX Gyre" w:cs="Times New Roman"/>
                <w:kern w:val="2"/>
                <w:sz w:val="28"/>
                <w:szCs w:val="21"/>
                <w:lang w:bidi="ar-SA"/>
              </w:rPr>
            </m:ctrlPr>
          </m:sSupPr>
          <m:e>
            <m:r>
              <m:rPr>
                <m:sty m:val="p"/>
                <m:scr m:val="double-struck"/>
              </m:rPr>
              <w:rPr>
                <w:rFonts w:ascii="DejaVu Math TeX Gyre" w:hAnsi="DejaVu Math TeX Gyre" w:cs="Times New Roman"/>
                <w:kern w:val="2"/>
                <w:sz w:val="28"/>
                <w:szCs w:val="21"/>
                <w:lang w:bidi="ar-SA"/>
              </w:rPr>
              <m:t>ℝ</m:t>
            </m:r>
            <m:ctrlPr>
              <w:rPr>
                <w:rFonts w:ascii="DejaVu Math TeX Gyre" w:hAnsi="DejaVu Math TeX Gyre" w:cs="Times New Roman"/>
                <w:kern w:val="2"/>
                <w:sz w:val="28"/>
                <w:szCs w:val="21"/>
                <w:lang w:bidi="ar-SA"/>
              </w:rPr>
            </m:ctrlPr>
          </m:e>
          <m:sup>
            <m:r>
              <m:rPr>
                <m:sty m:val="p"/>
              </m:rPr>
              <w:rPr>
                <w:rFonts w:hint="default" w:ascii="DejaVu Math TeX Gyre" w:hAnsi="DejaVu Math TeX Gyre" w:cs="Times New Roman"/>
                <w:kern w:val="2"/>
                <w:sz w:val="28"/>
                <w:szCs w:val="21"/>
                <w:lang w:bidi="ar-SA"/>
              </w:rPr>
              <m:t>m</m:t>
            </m:r>
            <m:r>
              <m:rPr>
                <m:sty m:val="p"/>
              </m:rPr>
              <w:rPr>
                <w:rFonts w:ascii="DejaVu Math TeX Gyre" w:hAnsi="DejaVu Math TeX Gyre" w:cs="Times New Roman"/>
                <w:kern w:val="2"/>
                <w:sz w:val="28"/>
                <w:szCs w:val="21"/>
                <w:lang w:bidi="ar-SA"/>
              </w:rPr>
              <m:t>×</m:t>
            </m:r>
            <m:r>
              <m:rPr>
                <m:sty m:val="p"/>
              </m:rPr>
              <w:rPr>
                <w:rFonts w:hint="default" w:ascii="DejaVu Math TeX Gyre" w:hAnsi="DejaVu Math TeX Gyre" w:cs="Times New Roman"/>
                <w:kern w:val="2"/>
                <w:sz w:val="28"/>
                <w:szCs w:val="21"/>
                <w:lang w:val="en-US" w:eastAsia="zh-CN" w:bidi="ar-SA"/>
              </w:rPr>
              <m:t>r</m:t>
            </m:r>
            <m:ctrlPr>
              <w:rPr>
                <w:rFonts w:ascii="DejaVu Math TeX Gyre" w:hAnsi="DejaVu Math TeX Gyre" w:cs="Times New Roman"/>
                <w:kern w:val="2"/>
                <w:sz w:val="28"/>
                <w:szCs w:val="21"/>
                <w:lang w:bidi="ar-SA"/>
              </w:rPr>
            </m:ctrlPr>
          </m:sup>
        </m:sSup>
      </m:oMath>
      <w:r>
        <w:rPr>
          <w:rFonts w:hint="eastAsia" w:hAnsi="DejaVu Math TeX Gyre" w:cs="Times New Roman"/>
          <w:i w:val="0"/>
          <w:kern w:val="2"/>
          <w:sz w:val="28"/>
          <w:szCs w:val="21"/>
          <w:lang w:eastAsia="zh-CN" w:bidi="ar-SA"/>
        </w:rPr>
        <w:t>与</w:t>
      </w:r>
      <m:oMath>
        <m:r>
          <m:rPr>
            <m:sty m:val="p"/>
          </m:rPr>
          <w:rPr>
            <w:rFonts w:hint="default" w:ascii="DejaVu Math TeX Gyre" w:hAnsi="DejaVu Math TeX Gyre" w:cs="Times New Roman"/>
            <w:kern w:val="2"/>
            <w:sz w:val="28"/>
            <w:szCs w:val="21"/>
            <w:lang w:val="en-US" w:eastAsia="zh-CN" w:bidi="ar-SA"/>
          </w:rPr>
          <m:t>B</m:t>
        </m:r>
        <m:r>
          <m:rPr>
            <m:sty m:val="p"/>
          </m:rPr>
          <w:rPr>
            <w:rFonts w:ascii="DejaVu Math TeX Gyre" w:hAnsi="DejaVu Math TeX Gyre" w:cs="Times New Roman"/>
            <w:kern w:val="2"/>
            <w:sz w:val="28"/>
            <w:szCs w:val="21"/>
            <w:lang w:bidi="ar-SA"/>
          </w:rPr>
          <m:t>∈</m:t>
        </m:r>
        <m:sSup>
          <m:sSupPr>
            <m:ctrlPr>
              <w:rPr>
                <w:rFonts w:ascii="DejaVu Math TeX Gyre" w:hAnsi="DejaVu Math TeX Gyre" w:cs="Times New Roman"/>
                <w:kern w:val="2"/>
                <w:sz w:val="28"/>
                <w:szCs w:val="21"/>
                <w:lang w:bidi="ar-SA"/>
              </w:rPr>
            </m:ctrlPr>
          </m:sSupPr>
          <m:e>
            <m:r>
              <m:rPr>
                <m:sty m:val="p"/>
                <m:scr m:val="double-struck"/>
              </m:rPr>
              <w:rPr>
                <w:rFonts w:ascii="DejaVu Math TeX Gyre" w:hAnsi="DejaVu Math TeX Gyre" w:cs="Times New Roman"/>
                <w:kern w:val="2"/>
                <w:sz w:val="28"/>
                <w:szCs w:val="21"/>
                <w:lang w:bidi="ar-SA"/>
              </w:rPr>
              <m:t>ℝ</m:t>
            </m:r>
            <m:ctrlPr>
              <w:rPr>
                <w:rFonts w:ascii="DejaVu Math TeX Gyre" w:hAnsi="DejaVu Math TeX Gyre" w:cs="Times New Roman"/>
                <w:kern w:val="2"/>
                <w:sz w:val="28"/>
                <w:szCs w:val="21"/>
                <w:lang w:bidi="ar-SA"/>
              </w:rPr>
            </m:ctrlPr>
          </m:e>
          <m:sup>
            <m:r>
              <m:rPr>
                <m:sty m:val="p"/>
              </m:rPr>
              <w:rPr>
                <w:rFonts w:hint="default" w:ascii="DejaVu Math TeX Gyre" w:hAnsi="DejaVu Math TeX Gyre" w:cs="Times New Roman"/>
                <w:kern w:val="2"/>
                <w:sz w:val="28"/>
                <w:szCs w:val="21"/>
                <w:lang w:val="en-US" w:eastAsia="zh-CN" w:bidi="ar-SA"/>
              </w:rPr>
              <m:t>r</m:t>
            </m:r>
            <m:r>
              <m:rPr>
                <m:sty m:val="p"/>
              </m:rPr>
              <w:rPr>
                <w:rFonts w:ascii="DejaVu Math TeX Gyre" w:hAnsi="DejaVu Math TeX Gyre" w:cs="Times New Roman"/>
                <w:kern w:val="2"/>
                <w:sz w:val="28"/>
                <w:szCs w:val="21"/>
                <w:lang w:bidi="ar-SA"/>
              </w:rPr>
              <m:t>×</m:t>
            </m:r>
            <m:r>
              <m:rPr>
                <m:sty m:val="p"/>
              </m:rPr>
              <w:rPr>
                <w:rFonts w:hint="default" w:ascii="DejaVu Math TeX Gyre" w:hAnsi="DejaVu Math TeX Gyre" w:cs="Times New Roman"/>
                <w:kern w:val="2"/>
                <w:sz w:val="28"/>
                <w:szCs w:val="21"/>
                <w:lang w:bidi="ar-SA"/>
              </w:rPr>
              <m:t>n</m:t>
            </m:r>
            <m:ctrlPr>
              <w:rPr>
                <w:rFonts w:ascii="DejaVu Math TeX Gyre" w:hAnsi="DejaVu Math TeX Gyre" w:cs="Times New Roman"/>
                <w:kern w:val="2"/>
                <w:sz w:val="28"/>
                <w:szCs w:val="21"/>
                <w:lang w:bidi="ar-SA"/>
              </w:rPr>
            </m:ctrlPr>
          </m:sup>
        </m:sSup>
      </m:oMath>
      <w:r>
        <w:rPr>
          <w:rFonts w:hint="default" w:hAnsi="DejaVu Math TeX Gyre" w:cs="Times New Roman"/>
          <w:i w:val="0"/>
          <w:kern w:val="2"/>
          <w:sz w:val="28"/>
          <w:szCs w:val="21"/>
          <w:lang w:bidi="ar-SA"/>
        </w:rPr>
        <w:t xml:space="preserve">（其中 </w:t>
      </w:r>
      <m:oMath>
        <m:r>
          <m:rPr>
            <m:sty m:val="p"/>
          </m:rPr>
          <w:rPr>
            <w:rFonts w:hint="default" w:ascii="DejaVu Math TeX Gyre" w:hAnsi="DejaVu Math TeX Gyre" w:cs="Times New Roman"/>
            <w:kern w:val="2"/>
            <w:sz w:val="28"/>
            <w:szCs w:val="21"/>
            <w:lang w:val="en-US" w:bidi="ar-SA"/>
          </w:rPr>
          <m:t>r≪min(m,n)</m:t>
        </m:r>
      </m:oMath>
      <w:r>
        <w:rPr>
          <w:rFonts w:hint="default" w:hAnsi="DejaVu Math TeX Gyre" w:cs="Times New Roman"/>
          <w:i w:val="0"/>
          <w:kern w:val="2"/>
          <w:sz w:val="28"/>
          <w:szCs w:val="21"/>
          <w:lang w:bidi="ar-SA"/>
        </w:rPr>
        <w:t>），显著减少参数量与计算量。该方法可应用于 Attention 投影矩阵、前馈网络（FFN）层以及嵌入层，通过秩选择策略与误差控制机制，在保证模型性能可接受的前提下实现有效压缩。结合 SVD 分解、分块低秩近似或动态秩选择策略，可在不同层设置不同压缩强度，形成分层压缩方案。在微调场景中，低秩思想通常以参数高效微调（PEFT）的形式出现，例如通过在冻结原模型权重的基础上引入可训练的低秩增量矩阵，实现小规模参数更新而保持主模型不变。</w:t>
      </w:r>
    </w:p>
    <w:p>
      <w:pPr>
        <w:rPr>
          <w:rFonts w:hint="eastAsia" w:hAnsi="DejaVu Math TeX Gyre" w:cs="Times New Roman"/>
          <w:i w:val="0"/>
          <w:kern w:val="2"/>
          <w:sz w:val="28"/>
          <w:szCs w:val="21"/>
          <w:lang w:eastAsia="zh-CN" w:bidi="ar-SA"/>
        </w:rPr>
      </w:pPr>
    </w:p>
    <w:p>
      <w:pPr>
        <w:pStyle w:val="607"/>
        <w:bidi w:val="0"/>
        <w:ind w:left="0" w:leftChars="0" w:firstLine="0" w:firstLineChars="0"/>
        <w:rPr>
          <w:rFonts w:hint="default"/>
        </w:rPr>
      </w:pPr>
      <w:r>
        <w:rPr>
          <w:rFonts w:hint="default"/>
        </w:rPr>
        <w:t>知识蒸馏</w:t>
      </w:r>
    </w:p>
    <w:p>
      <w:pPr>
        <w:rPr>
          <w:rFonts w:hint="default"/>
        </w:rPr>
      </w:pPr>
      <w:r>
        <w:rPr>
          <w:rFonts w:hint="default"/>
        </w:rPr>
        <w:t>知识蒸馏模块旨在通过“教师模型—学生模型”范式，将大模型的知识迁移至更小规模或更高效率的模型，在降低参数规模与推理成本的同时尽量保持性能表现，是模型压缩与能力迁移的重要技术路径。</w:t>
      </w:r>
    </w:p>
    <w:p>
      <w:pPr>
        <w:rPr>
          <w:rFonts w:hint="default"/>
        </w:rPr>
      </w:pPr>
      <w:r>
        <w:rPr>
          <w:rFonts w:hint="default"/>
        </w:rPr>
        <w:t>在Logits 蒸馏方面，学生模型通过拟合教师模型输出的软标签（Soft Targets）进行训练，通常采用温度参数（Temperature）对输出分布进行平滑处理，使学生学习到类别之间的相对关系信息，而不仅仅是硬标签。该方法实现简单、工程成本低，适用于分类或生成任务的基础能力迁移，是最常见的蒸馏形式。</w:t>
      </w:r>
    </w:p>
    <w:p>
      <w:pPr>
        <w:rPr>
          <w:rFonts w:hint="default"/>
        </w:rPr>
      </w:pPr>
      <w:r>
        <w:rPr>
          <w:rFonts w:hint="default"/>
        </w:rPr>
        <w:t>在中间层蒸馏（Feature-based Distillation）方面，学生模型不仅学习最终输出，还对齐教师模型的中间隐藏层表示、注意力分布或特征图，从而在表征空间层面进行知识迁移。该方法通常用于结构差异较大的模型之间，或在需要更高性能保留率的场景下使用，但对结构设计与映射方式要求更高。</w:t>
      </w:r>
    </w:p>
    <w:p>
      <w:pPr>
        <w:rPr>
          <w:rFonts w:hint="default"/>
        </w:rPr>
      </w:pPr>
      <w:r>
        <w:rPr>
          <w:rFonts w:hint="default"/>
        </w:rPr>
        <w:t>在多任务蒸馏方面，学生模型同时学习教师在多个任务上的输出行为，通过联合损失函数整合不同任务信号，实现跨任务能力压缩与统一建模。这种方法适用于构建轻量级通用模型或行业专用模型，在保持多任务泛化能力的同时降低模型规模。整体蒸馏策略需要综合考虑教师—学生容量差距、任务复杂度与训练稳定性，通过温度调节、损失权重设计与阶段式训练策略实现最佳迁移效果。</w:t>
      </w:r>
    </w:p>
    <w:p>
      <w:pPr>
        <w:pStyle w:val="607"/>
        <w:bidi w:val="0"/>
        <w:ind w:left="0" w:leftChars="0" w:firstLine="0" w:firstLineChars="0"/>
        <w:rPr>
          <w:rFonts w:hint="default"/>
        </w:rPr>
      </w:pPr>
      <w:r>
        <w:rPr>
          <w:rFonts w:hint="default"/>
        </w:rPr>
        <w:t>混合压缩策略</w:t>
      </w:r>
    </w:p>
    <w:p>
      <w:pPr>
        <w:rPr>
          <w:rFonts w:hint="default"/>
        </w:rPr>
      </w:pPr>
      <w:r>
        <w:rPr>
          <w:rFonts w:hint="default"/>
        </w:rPr>
        <w:t>混合压缩策略模块旨在综合利用量化、剪枝、低秩分解与知识蒸馏等多种压缩技术，在性能、模型规模与推理效率之间实现系统级最优平衡。该模块强调策略自动化与搜索优化能力，而非单一压缩方法的局部改进。</w:t>
      </w:r>
    </w:p>
    <w:p>
      <w:pPr>
        <w:rPr>
          <w:rFonts w:hint="default"/>
        </w:rPr>
      </w:pPr>
      <w:r>
        <w:rPr>
          <w:rFonts w:hint="default"/>
        </w:rPr>
        <w:t>在自动组合策略方面，模块支持根据模型结构特征与部署约束（显存、延迟、功耗等）自动选择压缩路径，例如“结构化剪枝 + 8-bit 量化”或“低秩分解 + 蒸馏 + 4-bit 混合量化”等组合方案。通过分层策略配置（Layer-wise Strategy Assignment），对不同模块采用不同压缩方式，以适配其敏感度差异。在压缩超参数搜索方面，引入自动化搜索机制（如基于网格搜索、贝叶斯优化或进化算法），对剪枝比例、量化 bit 数、低秩秩值、蒸馏温度等关键参数进行联合优化，构建多维压缩配置空间并评估性能变化趋势。</w:t>
      </w:r>
    </w:p>
    <w:p>
      <w:pPr>
        <w:rPr>
          <w:rFonts w:hint="default"/>
        </w:rPr>
      </w:pPr>
      <w:r>
        <w:rPr>
          <w:rFonts w:hint="default"/>
        </w:rPr>
        <w:t>在精度-延迟 Pareto 优化方面，模块构建多目标优化框架，将模型精度（Accuracy / Perplexity 等指标）与实际推理延迟（Latency）、吞吐量（Throughput）、模型大小（Model Size）纳入统一评估体系，通过 Pareto Front 分析筛选非劣解集合，辅助决策最优部署方案。整体模块强调系统级协同优化，通过自动搜索与多目标评估机制，实现压缩效果的可量化与可解释，在资源受限场景下提供高性价比模型版本。</w:t>
      </w:r>
    </w:p>
    <w:p>
      <w:pPr>
        <w:pStyle w:val="607"/>
        <w:bidi w:val="0"/>
        <w:ind w:left="0" w:leftChars="0" w:firstLine="0" w:firstLineChars="0"/>
        <w:rPr>
          <w:rFonts w:hint="default"/>
        </w:rPr>
      </w:pPr>
      <w:r>
        <w:rPr>
          <w:rFonts w:hint="default"/>
        </w:rPr>
        <w:t>精度对齐优化</w:t>
      </w:r>
    </w:p>
    <w:p>
      <w:pPr>
        <w:rPr>
          <w:rFonts w:hint="default"/>
        </w:rPr>
      </w:pPr>
      <w:r>
        <w:rPr>
          <w:rFonts w:hint="default"/>
        </w:rPr>
        <w:t>精度对齐优化模块用于在模型压缩或结构调整后恢复性能，并在能力层面重新对齐目标任务与人类期望，是模型工程化落地中的关键收敛保障机制。该模块通常作为量化、剪枝或蒸馏之后的“恢复阶段”，以较低成本弥补精度损失与行为偏移。</w:t>
      </w:r>
    </w:p>
    <w:p>
      <w:pPr>
        <w:rPr>
          <w:rFonts w:hint="default"/>
        </w:rPr>
      </w:pPr>
      <w:r>
        <w:rPr>
          <w:rFonts w:hint="default"/>
        </w:rPr>
        <w:t>在小规模再训练方面，模块通过少量高质量数据进行短周期再训练（Short Fine-tuning），对压缩后模型进行权重微调或局部解冻训练，修正因数值近似或结构裁剪带来的分布偏移。可采用低学习率、分层解冻或仅微调关键模块（如输出层、Attention 投影层）等策略，在控制计算成本的同时最大化精度恢复效果。</w:t>
      </w:r>
    </w:p>
    <w:p>
      <w:pPr>
        <w:rPr>
          <w:rFonts w:hint="default"/>
        </w:rPr>
      </w:pPr>
      <w:r>
        <w:rPr>
          <w:rFonts w:hint="default"/>
        </w:rPr>
        <w:t>在对齐再优化方面，模块重点关注模型输出行为与目标标准之间的一致性，包括任务目标对齐、风格一致性与安全合规约束。可结合监督微调（SFT）、偏好优化或轻量级对齐数据进行再训练，强化模型在关键场景下的稳定性与可靠性。整体机制强调“压缩—恢复—对齐”的闭环优化流程，在保持高压缩率的同时确保性能指标与行为表现达到可上线标准。</w:t>
      </w:r>
    </w:p>
    <w:p>
      <w:pPr>
        <w:pStyle w:val="607"/>
        <w:bidi w:val="0"/>
        <w:ind w:left="0" w:leftChars="0" w:firstLine="0" w:firstLineChars="0"/>
        <w:rPr>
          <w:rFonts w:hint="default"/>
        </w:rPr>
      </w:pPr>
      <w:r>
        <w:rPr>
          <w:rFonts w:hint="default"/>
        </w:rPr>
        <w:t>性能评估与基准测试</w:t>
      </w:r>
    </w:p>
    <w:p>
      <w:pPr>
        <w:pStyle w:val="112"/>
        <w:rPr>
          <w:rFonts w:hint="default"/>
        </w:rPr>
      </w:pPr>
      <w:r>
        <w:rPr>
          <w:rFonts w:hint="default"/>
        </w:rPr>
        <w:t>性能评估与基准测试模块用于对模型在压缩、优化或迭代后的综合表现进行系统化验证，从精度、效率与稳定性三个维度构建多指标评估体系，为上线决策与版本对比提供量化依据。</w:t>
      </w:r>
    </w:p>
    <w:p>
      <w:pPr>
        <w:pStyle w:val="112"/>
        <w:rPr>
          <w:rFonts w:hint="default"/>
        </w:rPr>
      </w:pPr>
    </w:p>
    <w:p>
      <w:pPr>
        <w:pStyle w:val="112"/>
        <w:rPr>
          <w:rFonts w:hint="default"/>
        </w:rPr>
      </w:pPr>
      <w:r>
        <w:rPr>
          <w:rFonts w:hint="default"/>
        </w:rPr>
        <w:t>在精度指标方面，根据任务类型选取对应评价标准，例如分类任务的 Accuracy、F1-score，生成任务的 BLEU、ROUGE 或 Perplexity，多模态任务的 Recall@K、mAP 等；同时可结合行业自定义指标与场景测试集进行专项评估，分析不同任务子集或难度区间的性能分布，确保模型能力提升具有统计显著性与业务相关性。</w:t>
      </w:r>
    </w:p>
    <w:p>
      <w:pPr>
        <w:pStyle w:val="112"/>
        <w:rPr>
          <w:rFonts w:hint="default"/>
        </w:rPr>
      </w:pPr>
      <w:r>
        <w:rPr>
          <w:rFonts w:hint="default"/>
        </w:rPr>
        <w:t>在效率指标方面，重点衡量模型在真实部署环境下的资源消耗与响应能力，包括推理延迟（Latency）、吞吐量（Throughput）、显存占用（Memory Footprint）、参数规模（Model Size）、FLOPs 等；在多机多卡或边缘部署场景下，还需评估扩展效率与带宽利用率，确保优化策略带来实际系统收益。</w:t>
      </w:r>
    </w:p>
    <w:p>
      <w:pPr>
        <w:pStyle w:val="112"/>
        <w:rPr>
          <w:rFonts w:hint="default"/>
        </w:rPr>
      </w:pPr>
      <w:r>
        <w:rPr>
          <w:rFonts w:hint="default"/>
        </w:rPr>
        <w:t>在稳定性指标方面，评估模型在长时间运行与复杂输入场景下的鲁棒性与一致性，包括输出波动性、数值稳定性（是否出现 NaN/Inf）、异常输入容错能力以及多轮对话一致性等。可结合压力测试与对抗样本测试进行验证。整体模块通过标准化评测流程与自动化基准对比工具，构建可重复、可追踪的评估体系，支撑模型版本迭代与工程决策。</w:t>
      </w:r>
    </w:p>
    <w:p>
      <w:pPr>
        <w:pStyle w:val="107"/>
        <w:bidi w:val="0"/>
        <w:ind w:left="0" w:leftChars="0" w:firstLine="0" w:firstLineChars="0"/>
        <w:rPr>
          <w:rFonts w:hint="default"/>
        </w:rPr>
      </w:pPr>
      <w:r>
        <w:rPr>
          <w:rFonts w:hint="default"/>
        </w:rPr>
        <w:t>行业模型国产化适配与加速</w:t>
      </w:r>
    </w:p>
    <w:p>
      <w:pPr>
        <w:rPr>
          <w:rFonts w:hint="default"/>
        </w:rPr>
      </w:pPr>
      <w:r>
        <w:rPr>
          <w:rFonts w:hint="default"/>
        </w:rPr>
        <w:t>行业模型国产化适配与加速模块聚焦于行业大模型在国产算力平台上的高效运行与性能优化，目标是在保证模型精度与稳定性的前提下，充分释放国产硬件架构的计算潜力，实现可控、安全、低成本的部署能力。</w:t>
      </w:r>
    </w:p>
    <w:p>
      <w:pPr>
        <w:pStyle w:val="607"/>
        <w:bidi w:val="0"/>
        <w:ind w:left="0" w:leftChars="0" w:firstLine="0" w:firstLineChars="0"/>
        <w:rPr>
          <w:rFonts w:hint="default"/>
        </w:rPr>
      </w:pPr>
      <w:r>
        <w:rPr>
          <w:rFonts w:hint="default"/>
        </w:rPr>
        <w:t>硬件适配与抽象模块</w:t>
      </w:r>
    </w:p>
    <w:p>
      <w:pPr>
        <w:rPr>
          <w:rFonts w:hint="default"/>
        </w:rPr>
      </w:pPr>
      <w:r>
        <w:rPr>
          <w:rFonts w:hint="default"/>
        </w:rPr>
        <w:t>硬件适配与抽象模块旨在构建模型框架与底层算力之间的统一抽象层，实现跨硬件平台的可移植性与性能可控性，是模型工程体系中的关键基础设施。</w:t>
      </w:r>
    </w:p>
    <w:p>
      <w:pPr>
        <w:rPr>
          <w:rFonts w:hint="default"/>
        </w:rPr>
      </w:pPr>
      <w:r>
        <w:rPr>
          <w:rFonts w:hint="default"/>
        </w:rPr>
        <w:t>在统一算子接口方面，模块对矩阵乘法（GEMM）、Attention、LayerNorm、卷积、激活函数等核心算子进行标准化封装，屏蔽不同硬件后端（GPU、NPU、CPU 等）之间的实现差异，通过统一 API 进行调度与调用；同时支持算子自动选择与融合优化，根据设备特性选择最优内核实现或执行图优化。在统一内存接口方面，模块抽象显存与主存管理机制，统一管理张量分配、释放、缓存复用与数据拷贝策略，支持异步数据传输与计算重叠，减少内存碎片与数据搬移开销。</w:t>
      </w:r>
    </w:p>
    <w:p>
      <w:pPr>
        <w:rPr>
          <w:rFonts w:hint="default"/>
        </w:rPr>
      </w:pPr>
      <w:r>
        <w:rPr>
          <w:rFonts w:hint="default"/>
        </w:rPr>
        <w:t>在精度格式适配方面，模块支持多种数值格式，包括 FP32、BF16、FP16、INT8、INT4 等，能够根据设备能力与部署需求自动选择或混合精度执行策略，并处理不同精度间的数据转换与缩放问题，确保数值稳定性与性能平衡。在设备能力探测方面，模块在运行时自动检测设备算力（FLOPs）、显存容量、内存带宽与并行单元规模等关键指标，据此动态调整并行策略、批大小（Batch Size）、量化级别与缓存配置，实现资源感知型调度与自适应优化。整体模块通过“算子抽象 + 内存抽象 + 精度适配 + 能力感知”机制，构建软硬件解耦且高效协同的运行基础架构。</w:t>
      </w:r>
    </w:p>
    <w:p>
      <w:pPr>
        <w:pStyle w:val="607"/>
        <w:bidi w:val="0"/>
        <w:ind w:left="0" w:leftChars="0" w:firstLine="0" w:firstLineChars="0"/>
        <w:rPr>
          <w:rFonts w:hint="default"/>
        </w:rPr>
      </w:pPr>
      <w:r>
        <w:rPr>
          <w:rFonts w:hint="default"/>
        </w:rPr>
        <w:t>算子级优化模块</w:t>
      </w:r>
    </w:p>
    <w:p>
      <w:pPr>
        <w:rPr>
          <w:rFonts w:hint="default"/>
        </w:rPr>
      </w:pPr>
      <w:r>
        <w:rPr>
          <w:rFonts w:hint="default"/>
        </w:rPr>
        <w:t>算子级优化模块聚焦于底层计算内核的性能提升，通过对关键算子执行路径进行细粒度优化，最大化硬件利用率与吞吐能力，是高性能推理与训练系统的重要加速手段。</w:t>
      </w:r>
    </w:p>
    <w:p>
      <w:pPr>
        <w:rPr>
          <w:rFonts w:hint="default"/>
        </w:rPr>
      </w:pPr>
      <w:r>
        <w:rPr>
          <w:rFonts w:hint="default"/>
        </w:rPr>
        <w:t>在 Kernel Fusion 方面，通过将多个连续算子（如 MatMul + Bias + Activation + LayerNorm）进行融合，减少中间张量写回与显存访问次数，降低内存带宽压力与 kernel launch 开销，从而提升整体执行效率。在 Tensor Core 利用 方面，针对支持矩阵加速单元的硬件平台，优化矩阵维度对齐与数据排布格式，使计算路径能够调用专用矩阵乘法单元，实现高吞吐混合精度计算。</w:t>
      </w:r>
    </w:p>
    <w:p>
      <w:pPr>
        <w:rPr>
          <w:rFonts w:hint="default"/>
        </w:rPr>
      </w:pPr>
      <w:r>
        <w:rPr>
          <w:rFonts w:hint="default"/>
        </w:rPr>
        <w:t>在 Warp-level 优化 层面，通过线程束（Warp）级协同与共享内存优化，减少线程分支与同步开销，提升并行执行效率；在 Tile 优化 方面，通过分块计算（Tiling）策略优化数据复用与缓存命中率，合理规划寄存器与共享内存占用，避免访存瓶颈。最后，在 内存对齐优化 方面，通过对齐数据结构、优化张量布局（如行主序/列主序或特定块布局）与向量化加载方式，降低非对齐访问带来的性能损耗。整体模块强调“计算-访存-调度”协同优化，在算子级别实现高效、稳定且可扩展的性能提升。</w:t>
      </w:r>
    </w:p>
    <w:p>
      <w:pPr>
        <w:pStyle w:val="607"/>
        <w:bidi w:val="0"/>
        <w:ind w:left="0" w:leftChars="0" w:firstLine="0" w:firstLineChars="0"/>
        <w:rPr>
          <w:rFonts w:hint="default"/>
        </w:rPr>
      </w:pPr>
      <w:r>
        <w:rPr>
          <w:rFonts w:hint="default"/>
        </w:rPr>
        <w:t>高效 Attention 优化模块</w:t>
      </w:r>
    </w:p>
    <w:p>
      <w:pPr>
        <w:rPr>
          <w:rFonts w:hint="default"/>
        </w:rPr>
      </w:pPr>
      <w:r>
        <w:rPr>
          <w:rFonts w:hint="default"/>
        </w:rPr>
        <w:t>高效 Attention 优化模块聚焦于降低自注意力机制在长序列与大规模推理场景下的计算与显存开销，是提升大模型吞吐能力与推理效率的核心优化方向。</w:t>
      </w:r>
    </w:p>
    <w:p>
      <w:pPr>
        <w:rPr>
          <w:rFonts w:hint="default"/>
        </w:rPr>
      </w:pPr>
      <w:r>
        <w:rPr>
          <w:rFonts w:hint="default"/>
        </w:rPr>
        <w:t>在 FlashAttention 方面（如 FlashAttention），通过块状计算（tiling）与在线 softmax 归一化策略，将 Attention 计算重构为 IO-aware 算法，显著减少显存读写次数，实现接近理论带宽上限的执行效率，尤其适用于长序列训练与推理场景。在 PagedAttention 方面（如 vLLM 中的实现），通过将 KV Cache 分页管理并映射至非连续显存区域，提高显存利用率与批量推理吞吐能力，特别适用于多请求并发场景。</w:t>
      </w:r>
    </w:p>
    <w:p>
      <w:pPr>
        <w:rPr>
          <w:rFonts w:hint="default"/>
        </w:rPr>
      </w:pPr>
      <w:r>
        <w:rPr>
          <w:rFonts w:hint="default"/>
        </w:rPr>
        <w:t>在结构层面，Multi-Query Attention（MQA） 通过共享 Key 和 Value 投影，仅保留多头 Query，显著降低 KV Cache 存储规模与内存带宽需求，在推理阶段能够有效减少显存占用与访问开销。进一步地，模块支持 KV Cache 压缩 策略，包括低比特量化、分组压缩、滑动窗口裁剪或基于重要性评分的历史 token 剪枝，以控制长上下文场景下的显存增长。整体模块围绕“计算重构 + 存储优化 + 结构简化”三条主线，系统提升 Attention 机制在高并发与长序列条件下的性能与可扩展性。</w:t>
      </w:r>
    </w:p>
    <w:p>
      <w:pPr>
        <w:pStyle w:val="607"/>
        <w:bidi w:val="0"/>
        <w:ind w:left="0" w:leftChars="0" w:firstLine="0" w:firstLineChars="0"/>
        <w:rPr>
          <w:rFonts w:hint="default"/>
        </w:rPr>
      </w:pPr>
      <w:r>
        <w:rPr>
          <w:rFonts w:hint="default"/>
        </w:rPr>
        <w:t>并行与分布式执行模块</w:t>
      </w:r>
    </w:p>
    <w:p>
      <w:pPr>
        <w:rPr>
          <w:rFonts w:hint="default"/>
        </w:rPr>
      </w:pPr>
      <w:r>
        <w:rPr>
          <w:rFonts w:hint="default"/>
        </w:rPr>
        <w:t>并行与分布式执行模块用于提升大模型在不同规模算力环境下的执行效率与扩展能力，覆盖单卡、多卡及多机场景，是实现高吞吐与低延迟部署的关键基础模块。</w:t>
      </w:r>
    </w:p>
    <w:p>
      <w:pPr>
        <w:rPr>
          <w:rFonts w:hint="default"/>
        </w:rPr>
      </w:pPr>
      <w:r>
        <w:rPr>
          <w:rFonts w:hint="default"/>
        </w:rPr>
        <w:t>在单卡优化方面，模块通过批量合并（Batch Merging）与动态 batching 技术，将多个小请求在运行时自动聚合为统一批次执行，提高算力利用率与吞吐效率；同时结合算子融合、显存复用与 KV Cache 管理优化，减少碎片化计算与频繁调度带来的性能损耗，提升单卡资源使用率与响应稳定性。</w:t>
      </w:r>
    </w:p>
    <w:p>
      <w:pPr>
        <w:rPr>
          <w:rFonts w:hint="default"/>
        </w:rPr>
      </w:pPr>
      <w:r>
        <w:rPr>
          <w:rFonts w:hint="default"/>
        </w:rPr>
        <w:t>在多卡优化方面，模块支持主流并行策略，包括 Tensor Parallel（张量并行，将单层计算拆分到多卡执行）、Pipeline Parallel（流水线并行，将不同层分布到不同设备）、以及 Data Parallel（数据并行，通过多副本同步梯度更新）。可根据模型规模与网络拓扑设计混合并行策略，在计算负载、通信成本与显存占用之间取得平衡，提升整体扩展效率。</w:t>
      </w:r>
    </w:p>
    <w:p>
      <w:pPr>
        <w:rPr>
          <w:rFonts w:hint="default"/>
        </w:rPr>
      </w:pPr>
      <w:r>
        <w:rPr>
          <w:rFonts w:hint="default"/>
        </w:rPr>
        <w:t>在多机优化方面，模块支持跨节点分布式调度与异步执行机制，通过梯度异步更新、通信压缩与计算通信重叠等方式降低网络瓶颈影响；同时结合任务调度与资源感知分配策略，实现大规模集群环境下的高效运行与弹性扩展。整体模块构建“单卡优化—多卡并行—多机协同”三级并行体系，实现从边缘部署到数据中心级推理的全场景覆盖。</w:t>
      </w:r>
    </w:p>
    <w:p>
      <w:pPr>
        <w:pStyle w:val="607"/>
        <w:bidi w:val="0"/>
        <w:ind w:left="0" w:leftChars="0" w:firstLine="0" w:firstLineChars="0"/>
        <w:rPr>
          <w:rFonts w:hint="default"/>
        </w:rPr>
      </w:pPr>
      <w:r>
        <w:rPr>
          <w:rFonts w:hint="default"/>
        </w:rPr>
        <w:t>精度与量化适配模块</w:t>
      </w:r>
    </w:p>
    <w:p>
      <w:pPr>
        <w:rPr>
          <w:rFonts w:hint="default"/>
        </w:rPr>
      </w:pPr>
      <w:r>
        <w:rPr>
          <w:rFonts w:hint="default"/>
        </w:rPr>
        <w:t>精度与量化适配模块用于在不同硬件能力与部署场景下，实现模型数值精度的动态调度与稳定运行，在性能、显存占用与精度损失之间取得工程化平衡。</w:t>
      </w:r>
    </w:p>
    <w:p>
      <w:pPr>
        <w:rPr>
          <w:rFonts w:hint="default"/>
        </w:rPr>
      </w:pPr>
      <w:r>
        <w:rPr>
          <w:rFonts w:hint="default"/>
        </w:rPr>
        <w:t>在动态精度切换方面，模块支持根据运行负载、设备能力或任务类型，在 FP32、BF16、FP16 与低比特整型之间进行运行时切换，实现资源感知型精度调度；例如在高并发场景下降低精度以提升吞吐，在关键任务阶段切换至高精度保障输出质量。在 INT8 / INT4 推理支持 方面，模块集成低比特量化算子与校准机制，支持对权重与激活值进行整型推理，并结合缩放因子管理与误差补偿策略，确保数值稳定性与性能提升效果。</w:t>
      </w:r>
    </w:p>
    <w:p>
      <w:pPr>
        <w:rPr>
          <w:rFonts w:hint="default"/>
        </w:rPr>
      </w:pPr>
      <w:r>
        <w:rPr>
          <w:rFonts w:hint="default"/>
        </w:rPr>
        <w:t>在 BF16 自动适配 方面，模块根据设备是否支持 BF16 原生指令集自动选择执行路径，在支持的平台上优先启用 BF16 计算以获得更好的数值范围与计算效率；若设备不支持，则自动回退至 FP16 或 FP32。通过 混合精度 fallback 机制，当检测到数值异常（如溢出、NaN、梯度不稳定）或性能异常时，系统可对特定层或算子自动回退至更高精度执行，实现分层精度控制与局部容错。整体模块强调“精度自适应 + 稳定性保障 + 性能最大化”的协同设计，支撑多平台、多场景下的高效部署。</w:t>
      </w:r>
    </w:p>
    <w:p>
      <w:pPr>
        <w:pStyle w:val="607"/>
        <w:bidi w:val="0"/>
        <w:ind w:left="0" w:leftChars="0" w:firstLine="0" w:firstLineChars="0"/>
        <w:rPr>
          <w:rFonts w:hint="default"/>
        </w:rPr>
      </w:pPr>
      <w:r>
        <w:rPr>
          <w:rFonts w:hint="default"/>
        </w:rPr>
        <w:t>推理调度与负载均衡模块</w:t>
      </w:r>
    </w:p>
    <w:p>
      <w:pPr>
        <w:rPr>
          <w:rFonts w:hint="default"/>
        </w:rPr>
      </w:pPr>
      <w:r>
        <w:rPr>
          <w:rFonts w:hint="default"/>
        </w:rPr>
        <w:t>推理调度与负载均衡模块用于在高并发、多租户或多业务场景下，实现推理资源的高效分配与稳定运行，保障系统吞吐能力、响应时延与服务质量（SLA）。</w:t>
      </w:r>
    </w:p>
    <w:p>
      <w:pPr>
        <w:rPr>
          <w:rFonts w:hint="default"/>
        </w:rPr>
      </w:pPr>
      <w:r>
        <w:rPr>
          <w:rFonts w:hint="default"/>
        </w:rPr>
        <w:t>在动态批处理方面，模块在运行时对短时间窗口内到达的请求进行自动聚合，形成最优 batch 大小执行，从而提升硬件利用率与整体吞吐；同时结合最大等待时间阈值控制，避免过度聚合导致尾延迟上升。在请求排队策略方面，支持 FIFO、基于最短剩余时间（SRT）或自定义权重队列等策略，平衡吞吐与延迟需求，避免热点请求导致系统拥塞。</w:t>
      </w:r>
    </w:p>
    <w:p>
      <w:pPr>
        <w:rPr>
          <w:rFonts w:hint="default"/>
        </w:rPr>
      </w:pPr>
      <w:r>
        <w:rPr>
          <w:rFonts w:hint="default"/>
        </w:rPr>
        <w:t>在优先级调度方面，模块支持按用户等级、业务类型或任务紧急程度分配优先级，实现关键业务优先保障；结合限流机制（Rate Limiting），可对单位时间请求数或并发数进行控制，防止流量突发对系统稳定性造成冲击。同时支持异步执行与事件驱动架构，使请求处理与结果返回解耦，提升资源利用率并减少阻塞等待时间。整体模块通过“调度策略 + 批处理优化 + 流量控制 + 异步架构”构建弹性推理服务体系，在高负载环境下实现稳定、可扩展的模型服务能力。</w:t>
      </w:r>
    </w:p>
    <w:p>
      <w:pPr>
        <w:pStyle w:val="607"/>
        <w:bidi w:val="0"/>
        <w:ind w:left="0" w:leftChars="0" w:firstLine="0" w:firstLineChars="0"/>
        <w:rPr>
          <w:rFonts w:hint="default"/>
        </w:rPr>
      </w:pPr>
      <w:r>
        <w:rPr>
          <w:rFonts w:hint="default"/>
        </w:rPr>
        <w:t>性能监控与分析模块</w:t>
      </w:r>
    </w:p>
    <w:p>
      <w:pPr>
        <w:pStyle w:val="112"/>
        <w:rPr>
          <w:rFonts w:hint="default"/>
        </w:rPr>
      </w:pPr>
      <w:r>
        <w:rPr>
          <w:rFonts w:hint="default"/>
        </w:rPr>
        <w:t>性能监控与分析模块用于对模型训练与推理过程中的关键系统指标进行实时采集、分析与诊断，是保障高性能运行与持续优化的重要支撑模块。</w:t>
      </w:r>
    </w:p>
    <w:p>
      <w:pPr>
        <w:pStyle w:val="112"/>
        <w:rPr>
          <w:rFonts w:hint="default"/>
        </w:rPr>
      </w:pPr>
      <w:r>
        <w:rPr>
          <w:rFonts w:hint="default"/>
        </w:rPr>
        <w:t>在资源利用率监控方面，模块实时采集 GPU 利用率与显存使用率，分析计算单元占用情况、显存峰值与碎片化程度，识别算力空闲或显存瓶颈问题；同时可结合批大小（Batch Size）、并行策略与 KV Cache 使用情况进行关联分析，评估资源利用效率。</w:t>
      </w:r>
    </w:p>
    <w:p>
      <w:pPr>
        <w:pStyle w:val="112"/>
        <w:rPr>
          <w:rFonts w:hint="default"/>
        </w:rPr>
      </w:pPr>
      <w:r>
        <w:rPr>
          <w:rFonts w:hint="default"/>
        </w:rPr>
        <w:t>在执行路径分析方面，模块支持 Kernel 级时间分析，统计各算子执行耗时、调用频率与占比，识别热点算子与低效路径；同时监控多卡或多机场景下的通信耗时，包括梯度同步时间、参数广播时间与带宽利用率，评估通信与计算是否有效重叠。基于上述指标，模块提供瓶颈定位机制，通过时间分解与阶段占比分析（如前向、反向、优化器更新、数据加载等），快速判断性能瓶颈来源是计算受限、内存受限还是通信受限，从而为算子优化、并行策略调整或系统调度改进提供明确依据。整体模块强调可观测性与可量化分析能力，支撑模型系统的持续性能优化与容量规划。</w:t>
      </w:r>
    </w:p>
    <w:p>
      <w:pPr>
        <w:pStyle w:val="107"/>
        <w:bidi w:val="0"/>
        <w:ind w:left="0" w:leftChars="0" w:firstLine="0" w:firstLineChars="0"/>
        <w:rPr>
          <w:rFonts w:hint="default"/>
        </w:rPr>
      </w:pPr>
      <w:r>
        <w:rPr>
          <w:rFonts w:hint="default"/>
        </w:rPr>
        <w:t>大小模型协同</w:t>
      </w:r>
    </w:p>
    <w:p>
      <w:pPr>
        <w:rPr>
          <w:rFonts w:hint="default"/>
        </w:rPr>
      </w:pPr>
      <w:r>
        <w:rPr>
          <w:rFonts w:hint="default"/>
        </w:rPr>
        <w:t>大模型与小模型的协同进化是人工智能领域的一个重要发展趋势，它旨在结合大模型的强大计算能力和小模型的灵活性，以实现更高效、更适应性强的智能系统。项目将通过以下手段/步骤实现大小模型协同：通过轻量级预处理模块结合预设任务分配规则，根据任务的复杂度、数据特征和响应时间需求，决定任务是由大模型处理还是小模型处理；通过共享存储以及消息队列经由数据格式转换模块保证在大小模型之间高效传输数据，确保大小模型协同工作；在任务完成后，对大模型和小模型的结果进行验证和比对，确保结果的准确性和一致性；实时监控大模型和小模型的性能（包括响应时间、准确率和资源使用情况）发现问题及时调整；基于反馈数据，持续改进模型。</w:t>
      </w:r>
    </w:p>
    <w:p>
      <w:pPr>
        <w:pStyle w:val="107"/>
        <w:bidi w:val="0"/>
        <w:ind w:left="0" w:leftChars="0" w:firstLine="0" w:firstLineChars="0"/>
        <w:rPr>
          <w:rFonts w:hint="default"/>
        </w:rPr>
      </w:pPr>
      <w:r>
        <w:rPr>
          <w:rFonts w:hint="default"/>
        </w:rPr>
        <w:t>端边云结合</w:t>
      </w:r>
    </w:p>
    <w:p>
      <w:pPr>
        <w:ind w:firstLine="0" w:firstLineChars="0"/>
        <w:jc w:val="center"/>
      </w:pPr>
      <w:r>
        <w:drawing>
          <wp:inline distT="0" distB="0" distL="114300" distR="114300">
            <wp:extent cx="4563745" cy="2565400"/>
            <wp:effectExtent l="0" t="0" r="8255" b="6350"/>
            <wp:docPr id="11"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7"/>
                    <pic:cNvPicPr>
                      <a:picLocks noChangeAspect="1"/>
                    </pic:cNvPicPr>
                  </pic:nvPicPr>
                  <pic:blipFill>
                    <a:blip r:embed="rId44"/>
                    <a:stretch>
                      <a:fillRect/>
                    </a:stretch>
                  </pic:blipFill>
                  <pic:spPr>
                    <a:xfrm>
                      <a:off x="0" y="0"/>
                      <a:ext cx="4563745" cy="2565400"/>
                    </a:xfrm>
                    <a:prstGeom prst="rect">
                      <a:avLst/>
                    </a:prstGeom>
                    <a:noFill/>
                    <a:ln>
                      <a:noFill/>
                    </a:ln>
                  </pic:spPr>
                </pic:pic>
              </a:graphicData>
            </a:graphic>
          </wp:inline>
        </w:drawing>
      </w:r>
    </w:p>
    <w:p>
      <w:pPr>
        <w:pStyle w:val="24"/>
        <w:spacing w:before="156"/>
      </w:pPr>
      <w:bookmarkStart w:id="58" w:name="_Toc197702720"/>
      <w:r>
        <w:t>图</w:t>
      </w:r>
      <w:r>
        <w:fldChar w:fldCharType="begin"/>
      </w:r>
      <w:r>
        <w:instrText xml:space="preserve"> SEQ 图 \* ARABIC </w:instrText>
      </w:r>
      <w:r>
        <w:fldChar w:fldCharType="separate"/>
      </w:r>
      <w:r>
        <w:t>80</w:t>
      </w:r>
      <w:r>
        <w:fldChar w:fldCharType="end"/>
      </w:r>
      <w:r>
        <w:t xml:space="preserve"> 端边云协同示意图</w:t>
      </w:r>
      <w:bookmarkEnd w:id="58"/>
    </w:p>
    <w:p>
      <w:pPr>
        <w:pStyle w:val="112"/>
        <w:ind w:firstLine="560"/>
      </w:pPr>
      <w:r>
        <w:t>构建“集中式大规模训练”和“边缘分布式协同推理”新范式，实现端边云协同。</w:t>
      </w:r>
    </w:p>
    <w:p>
      <w:pPr>
        <w:pStyle w:val="112"/>
        <w:ind w:firstLine="560"/>
      </w:pPr>
      <w:r>
        <w:t>云算力中心负责训练和推理；边缘设备上的大模型平台负责对经过剪枝、量化、蒸馏等操作的压缩模型进行微调和推理；端侧设备则通过调用云算力中心实现数据回流以及小模型推理。</w:t>
      </w:r>
    </w:p>
    <w:p>
      <w:pPr>
        <w:rPr>
          <w:rFonts w:hint="default"/>
        </w:rPr>
      </w:pPr>
    </w:p>
    <w:p>
      <w:pPr>
        <w:pStyle w:val="109"/>
        <w:bidi w:val="0"/>
        <w:ind w:left="0" w:leftChars="0" w:firstLine="0" w:firstLineChars="0"/>
      </w:pPr>
      <w:r>
        <w:rPr>
          <w:rFonts w:hint="eastAsia"/>
        </w:rPr>
        <w:t>场景任务大模型</w:t>
      </w:r>
    </w:p>
    <w:p>
      <w:pPr>
        <w:pStyle w:val="107"/>
        <w:bidi w:val="0"/>
        <w:ind w:left="0" w:leftChars="0" w:firstLine="0" w:firstLineChars="0"/>
      </w:pPr>
      <w:r>
        <w:rPr>
          <w:rFonts w:hint="eastAsia"/>
        </w:rPr>
        <w:t>智慧图侦</w:t>
      </w:r>
    </w:p>
    <w:p>
      <w:pPr>
        <w:pStyle w:val="607"/>
        <w:bidi w:val="0"/>
        <w:ind w:left="0" w:leftChars="0" w:firstLine="0" w:firstLineChars="0"/>
        <w:rPr>
          <w:rFonts w:hint="default"/>
        </w:rPr>
      </w:pPr>
      <w:r>
        <w:rPr>
          <w:rFonts w:hint="default"/>
        </w:rPr>
        <w:t>视图全要素解析模型</w:t>
      </w:r>
    </w:p>
    <w:p>
      <w:pPr>
        <w:rPr>
          <w:rFonts w:hint="default"/>
        </w:rPr>
      </w:pPr>
      <w:r>
        <w:rPr>
          <w:rFonts w:hint="default"/>
        </w:rPr>
        <w:t>该模</w:t>
      </w:r>
      <w:r>
        <w:rPr>
          <w:rFonts w:hint="eastAsia"/>
          <w:lang w:eastAsia="zh-CN"/>
        </w:rPr>
        <w:t>型</w:t>
      </w:r>
      <w:r>
        <w:rPr>
          <w:rFonts w:hint="default"/>
        </w:rPr>
        <w:t>作为系统的基础感知核心，承担对输入图像或视频进行全维度结构化解析的作用，是后续识别、分析与决策模块的数据来源基础。在功能层面，模型支持目标检测、语义分割、实例分割、关键点检测、OCR识别及属性提取等多任务统一输出，实现对场景中“人、车、物、环境要素”的全面解析，并形成标准化结构化数据结果，为业务系统提供统一视觉数据接口。</w:t>
      </w:r>
    </w:p>
    <w:p>
      <w:pPr>
        <w:pStyle w:val="607"/>
        <w:bidi w:val="0"/>
        <w:ind w:left="0" w:leftChars="0" w:firstLine="0" w:firstLineChars="0"/>
        <w:rPr>
          <w:rFonts w:hint="default"/>
        </w:rPr>
      </w:pPr>
      <w:r>
        <w:rPr>
          <w:rFonts w:hint="default"/>
        </w:rPr>
        <w:t>视图理解大模型</w:t>
      </w:r>
    </w:p>
    <w:p>
      <w:pPr>
        <w:rPr>
          <w:rFonts w:hint="default"/>
        </w:rPr>
      </w:pPr>
      <w:r>
        <w:rPr>
          <w:rFonts w:hint="default"/>
        </w:rPr>
        <w:t>该模</w:t>
      </w:r>
      <w:r>
        <w:rPr>
          <w:rFonts w:hint="eastAsia"/>
          <w:lang w:eastAsia="zh-CN"/>
        </w:rPr>
        <w:t>型</w:t>
      </w:r>
      <w:r>
        <w:rPr>
          <w:rFonts w:hint="default"/>
        </w:rPr>
        <w:t>定位于视觉认知与语义推理核心，负责将视觉感知结果提升至语义理解与逻辑分析层面，实现复杂场景的语义解释与跨模态交互能力。在功能层面，模型支持图像问答、场景描述、事件推理、多轮对话及指令理解，可对复杂场景进行语义归纳与因果分析，为智能决策系统、智能问答系统及指挥调度系统提供认知级能力支撑。</w:t>
      </w:r>
    </w:p>
    <w:p>
      <w:pPr>
        <w:pStyle w:val="607"/>
        <w:bidi w:val="0"/>
        <w:ind w:left="0" w:leftChars="0" w:firstLine="0" w:firstLineChars="0"/>
        <w:rPr>
          <w:rFonts w:hint="default"/>
        </w:rPr>
      </w:pPr>
      <w:r>
        <w:rPr>
          <w:rFonts w:hint="default"/>
        </w:rPr>
        <w:t>视图表征大模型</w:t>
      </w:r>
    </w:p>
    <w:p>
      <w:pPr>
        <w:rPr>
          <w:rFonts w:hint="default"/>
        </w:rPr>
      </w:pPr>
      <w:r>
        <w:rPr>
          <w:rFonts w:hint="default"/>
        </w:rPr>
        <w:t>该模</w:t>
      </w:r>
      <w:r>
        <w:rPr>
          <w:rFonts w:hint="eastAsia"/>
          <w:lang w:eastAsia="zh-CN"/>
        </w:rPr>
        <w:t>型</w:t>
      </w:r>
      <w:r>
        <w:rPr>
          <w:rFonts w:hint="default"/>
        </w:rPr>
        <w:t>作为视觉特征基座能力平台，承担高质量视觉特征学习与统一Embedding生成的作用，为下游识别与检索任务提供通用表征能力支撑。在功能层面，模型通过自监督或对比学习方式生成高判别性向量特征，支持目标检索、相似度匹配、零样本分类、跨域迁移等能力，可作为人脸识别、人体识别、车辆识别及聚类分析等模块的底层特征支撑引擎。</w:t>
      </w:r>
    </w:p>
    <w:p>
      <w:pPr>
        <w:pStyle w:val="607"/>
        <w:bidi w:val="0"/>
        <w:ind w:left="0" w:leftChars="0" w:firstLine="0" w:firstLineChars="0"/>
        <w:rPr>
          <w:rFonts w:hint="default"/>
        </w:rPr>
      </w:pPr>
      <w:r>
        <w:rPr>
          <w:rFonts w:hint="default"/>
        </w:rPr>
        <w:t>异常事件检测专业模型</w:t>
      </w:r>
    </w:p>
    <w:p>
      <w:pPr>
        <w:rPr>
          <w:rFonts w:hint="default"/>
        </w:rPr>
      </w:pPr>
      <w:r>
        <w:rPr>
          <w:rFonts w:hint="default"/>
        </w:rPr>
        <w:t>该模</w:t>
      </w:r>
      <w:r>
        <w:rPr>
          <w:rFonts w:hint="eastAsia"/>
          <w:lang w:eastAsia="zh-CN"/>
        </w:rPr>
        <w:t>型</w:t>
      </w:r>
      <w:r>
        <w:rPr>
          <w:rFonts w:hint="default"/>
        </w:rPr>
        <w:t>定位于风险识别与异常预警核心，承担对非正常行为或异常模式进行自动识别与告警的作用，是安全管理与风险控制体系的重要组成部分。在功能层面，模型基于时序建模与行为表征分析能力，实现对异常行为、异常轨迹、异常状态变化等情况的自动检测，并输出异常等级与事件类型，为安防监控、工业质检及运营管理系统提供实时预警能力。</w:t>
      </w:r>
    </w:p>
    <w:p>
      <w:pPr>
        <w:pStyle w:val="607"/>
        <w:bidi w:val="0"/>
        <w:ind w:left="0" w:leftChars="0" w:firstLine="0" w:firstLineChars="0"/>
        <w:rPr>
          <w:rFonts w:hint="default"/>
        </w:rPr>
      </w:pPr>
      <w:r>
        <w:rPr>
          <w:rFonts w:hint="default"/>
        </w:rPr>
        <w:t>人脸识别专业模型</w:t>
      </w:r>
    </w:p>
    <w:p>
      <w:pPr>
        <w:rPr>
          <w:rFonts w:hint="default"/>
        </w:rPr>
      </w:pPr>
      <w:r>
        <w:rPr>
          <w:rFonts w:hint="default"/>
        </w:rPr>
        <w:t>该模块承担身份识别与人员身份确认的核心作用，是人员管理与身份核验体系的关键技术组件。在功能层面，模型实现人脸检测、对齐、特征提取与身份比对，支持1:1身份验证及1:N身份检索，并可结合活体检测技术提升安全性，广泛应用于门禁管理、黑名单布控及身份认证场景。</w:t>
      </w:r>
    </w:p>
    <w:p>
      <w:pPr>
        <w:pStyle w:val="607"/>
        <w:bidi w:val="0"/>
        <w:ind w:left="0" w:leftChars="0" w:firstLine="0" w:firstLineChars="0"/>
        <w:rPr>
          <w:rFonts w:hint="default"/>
        </w:rPr>
      </w:pPr>
      <w:r>
        <w:rPr>
          <w:rFonts w:hint="default"/>
        </w:rPr>
        <w:t>人体识别专业模型</w:t>
      </w:r>
    </w:p>
    <w:p>
      <w:pPr>
        <w:rPr>
          <w:rFonts w:hint="default"/>
        </w:rPr>
      </w:pPr>
      <w:r>
        <w:rPr>
          <w:rFonts w:hint="default"/>
        </w:rPr>
        <w:t>该模</w:t>
      </w:r>
      <w:r>
        <w:rPr>
          <w:rFonts w:hint="eastAsia"/>
          <w:lang w:eastAsia="zh-CN"/>
        </w:rPr>
        <w:t>型</w:t>
      </w:r>
      <w:r>
        <w:rPr>
          <w:rFonts w:hint="default"/>
        </w:rPr>
        <w:t>定位于跨摄像头人员追踪与身份关联能力核心，承担复杂场景下人员轨迹关联与重复识别的作用。在功能层面，模型通过行人重识别（Re-ID）技术提取人体外观特征，实现不同摄像头之间的目标匹配与轨迹关联，可支持人员轨迹还原、行为分析及重点人员追踪等业务需求。</w:t>
      </w:r>
    </w:p>
    <w:p>
      <w:pPr>
        <w:pStyle w:val="607"/>
        <w:bidi w:val="0"/>
        <w:ind w:left="0" w:leftChars="0" w:firstLine="0" w:firstLineChars="0"/>
        <w:rPr>
          <w:rFonts w:hint="default"/>
        </w:rPr>
      </w:pPr>
      <w:r>
        <w:rPr>
          <w:rFonts w:hint="default"/>
        </w:rPr>
        <w:t>车辆识别专业模型</w:t>
      </w:r>
    </w:p>
    <w:p>
      <w:pPr>
        <w:rPr>
          <w:rFonts w:hint="default"/>
        </w:rPr>
      </w:pPr>
      <w:r>
        <w:rPr>
          <w:rFonts w:hint="default"/>
        </w:rPr>
        <w:t>该模</w:t>
      </w:r>
      <w:r>
        <w:rPr>
          <w:rFonts w:hint="eastAsia"/>
          <w:lang w:eastAsia="zh-CN"/>
        </w:rPr>
        <w:t>型</w:t>
      </w:r>
      <w:r>
        <w:rPr>
          <w:rFonts w:hint="default"/>
        </w:rPr>
        <w:t>承担车辆身份识别与车辆轨迹分析的作用，是交通管理与车辆管控系统的重要组成部分。在功能层面，模型支持车型识别、车牌识别、车辆特征提取及车辆重识别能力，实现跨点位车辆匹配与轨迹关联分析，可用于交通治理、违章追踪及重点车辆布控等应用场景。</w:t>
      </w:r>
    </w:p>
    <w:p>
      <w:pPr>
        <w:pStyle w:val="607"/>
        <w:bidi w:val="0"/>
        <w:ind w:left="0" w:leftChars="0" w:firstLine="0" w:firstLineChars="0"/>
        <w:rPr>
          <w:rFonts w:hint="default"/>
        </w:rPr>
      </w:pPr>
      <w:r>
        <w:rPr>
          <w:rFonts w:hint="default"/>
        </w:rPr>
        <w:t>基于特征的聚挡模型</w:t>
      </w:r>
    </w:p>
    <w:p>
      <w:pPr>
        <w:rPr>
          <w:rFonts w:hint="default"/>
        </w:rPr>
      </w:pPr>
      <w:r>
        <w:rPr>
          <w:rFonts w:hint="default"/>
        </w:rPr>
        <w:t>该模</w:t>
      </w:r>
      <w:r>
        <w:rPr>
          <w:rFonts w:hint="eastAsia"/>
          <w:lang w:eastAsia="zh-CN"/>
        </w:rPr>
        <w:t>型</w:t>
      </w:r>
      <w:r>
        <w:rPr>
          <w:rFonts w:hint="default"/>
        </w:rPr>
        <w:t>定位于多目标关联与遮挡场景下稳定识别能力核心，承担复杂环境中目标持续跟踪与身份保持的作用。在功能层面，模型结合外观特征Embedding与运动模型，实现多目标轨迹关联、遮挡恢复及身份保持功能，可有效解决目标遮挡、短时丢失及交叉干扰问题，提升系统在复杂动态场景下的连续识别与跟踪稳定性。</w:t>
      </w:r>
    </w:p>
    <w:p/>
    <w:p>
      <w:pPr>
        <w:pStyle w:val="107"/>
        <w:bidi w:val="0"/>
        <w:ind w:left="0" w:leftChars="0" w:firstLine="0" w:firstLineChars="0"/>
        <w:rPr>
          <w:rFonts w:hint="eastAsia"/>
        </w:rPr>
      </w:pPr>
      <w:r>
        <w:rPr>
          <w:rFonts w:hint="eastAsia"/>
        </w:rPr>
        <w:t>智慧交管</w:t>
      </w:r>
    </w:p>
    <w:p>
      <w:pPr>
        <w:pStyle w:val="607"/>
        <w:bidi w:val="0"/>
        <w:ind w:left="0" w:leftChars="0" w:firstLine="0" w:firstLineChars="0"/>
        <w:rPr>
          <w:rFonts w:hint="default"/>
        </w:rPr>
      </w:pPr>
      <w:r>
        <w:rPr>
          <w:rFonts w:hint="default"/>
        </w:rPr>
        <w:t>道路目标检测</w:t>
      </w:r>
    </w:p>
    <w:p>
      <w:pPr>
        <w:rPr>
          <w:rFonts w:hint="eastAsia" w:eastAsia="仿宋"/>
          <w:lang w:eastAsia="zh-CN"/>
        </w:rPr>
      </w:pPr>
      <w:r>
        <w:rPr>
          <w:rFonts w:hint="eastAsia"/>
          <w:lang w:eastAsia="zh-CN"/>
        </w:rPr>
        <w:t>基于通用检测模型，做场景迁移训练。</w:t>
      </w:r>
    </w:p>
    <w:p>
      <w:pPr>
        <w:pStyle w:val="607"/>
        <w:bidi w:val="0"/>
        <w:ind w:left="0" w:leftChars="0" w:firstLine="0" w:firstLineChars="0"/>
        <w:rPr>
          <w:rFonts w:hint="default"/>
        </w:rPr>
      </w:pPr>
      <w:r>
        <w:rPr>
          <w:rFonts w:hint="default"/>
        </w:rPr>
        <w:t>道路目标跟踪模型</w:t>
      </w:r>
    </w:p>
    <w:p>
      <w:pPr>
        <w:rPr>
          <w:rFonts w:hint="default"/>
        </w:rPr>
      </w:pPr>
      <w:r>
        <w:rPr>
          <w:rFonts w:hint="default"/>
        </w:rPr>
        <w:t>本模</w:t>
      </w:r>
      <w:r>
        <w:rPr>
          <w:rFonts w:hint="eastAsia"/>
          <w:lang w:eastAsia="zh-CN"/>
        </w:rPr>
        <w:t>型</w:t>
      </w:r>
      <w:r>
        <w:rPr>
          <w:rFonts w:hint="default"/>
        </w:rPr>
        <w:t>承担对已检测目标进行持续跟踪与轨迹保持的作用，是实现交通流分析与行为研判的关键技术组件。在功能层面，模型基于多目标跟踪算法，实现跨帧目标ID保持、轨迹生成与状态更新，可处理遮挡、交叉及短时丢失等复杂情况，输出连续轨迹数据、速度估计及运动方向信息，为交通流统计、违章行为分析及轨迹回溯提供数据支撑。</w:t>
      </w:r>
    </w:p>
    <w:p>
      <w:pPr>
        <w:pStyle w:val="607"/>
        <w:bidi w:val="0"/>
        <w:ind w:left="0" w:leftChars="0" w:firstLine="0" w:firstLineChars="0"/>
        <w:rPr>
          <w:rFonts w:hint="default"/>
        </w:rPr>
      </w:pPr>
      <w:r>
        <w:rPr>
          <w:rFonts w:hint="default"/>
        </w:rPr>
        <w:t>人体识别专业模型</w:t>
      </w:r>
    </w:p>
    <w:p>
      <w:pPr>
        <w:rPr>
          <w:rFonts w:hint="default"/>
        </w:rPr>
      </w:pPr>
      <w:r>
        <w:rPr>
          <w:rFonts w:hint="default"/>
        </w:rPr>
        <w:t>本模</w:t>
      </w:r>
      <w:r>
        <w:rPr>
          <w:rFonts w:hint="eastAsia"/>
          <w:lang w:eastAsia="zh-CN"/>
        </w:rPr>
        <w:t>型</w:t>
      </w:r>
      <w:r>
        <w:rPr>
          <w:rFonts w:hint="default"/>
        </w:rPr>
        <w:t>定位于人员身份识别与跨区域关联分析能力核心，承担对道路场景中行人进行精准识别与身份匹配的作用。在功能层面，模型通过行人重识别（Re-ID）技术提取人体特征向量，实现跨摄像头行人匹配与轨迹关联，支持重点人员布控、人员轨迹还原及事件关联分析等应用需求，提升复杂交通场景下人员管理与风险管控能力。</w:t>
      </w:r>
    </w:p>
    <w:p>
      <w:pPr>
        <w:pStyle w:val="607"/>
        <w:bidi w:val="0"/>
        <w:ind w:left="0" w:leftChars="0" w:firstLine="0" w:firstLineChars="0"/>
        <w:rPr>
          <w:rFonts w:hint="default"/>
        </w:rPr>
      </w:pPr>
      <w:r>
        <w:rPr>
          <w:rFonts w:hint="default"/>
        </w:rPr>
        <w:t>车辆识别专业模型</w:t>
      </w:r>
    </w:p>
    <w:p>
      <w:pPr>
        <w:rPr>
          <w:rFonts w:hint="default"/>
        </w:rPr>
      </w:pPr>
      <w:r>
        <w:rPr>
          <w:rFonts w:hint="default"/>
        </w:rPr>
        <w:t>本模</w:t>
      </w:r>
      <w:r>
        <w:rPr>
          <w:rFonts w:hint="eastAsia"/>
          <w:lang w:eastAsia="zh-CN"/>
        </w:rPr>
        <w:t>型</w:t>
      </w:r>
      <w:r>
        <w:rPr>
          <w:rFonts w:hint="default"/>
        </w:rPr>
        <w:t>承担车辆身份确认与车辆轨迹关联分析的作用，是交通管理与执法系统的重要支撑能力。在功能层面，模型支持车型识别、车牌识别、车辆外观特征提取及车辆重识别，实现跨点位车辆匹配与全域轨迹串联，可支撑违章追踪、套牌识别、重点车辆布控及交通态势分析等业务场景。</w:t>
      </w:r>
    </w:p>
    <w:p>
      <w:pPr>
        <w:pStyle w:val="607"/>
        <w:bidi w:val="0"/>
        <w:ind w:left="0" w:leftChars="0" w:firstLine="0" w:firstLineChars="0"/>
        <w:rPr>
          <w:rFonts w:hint="default"/>
        </w:rPr>
      </w:pPr>
      <w:r>
        <w:rPr>
          <w:rFonts w:hint="default"/>
        </w:rPr>
        <w:t>交通视图理解大模型</w:t>
      </w:r>
    </w:p>
    <w:p>
      <w:pPr>
        <w:rPr>
          <w:rFonts w:hint="default"/>
        </w:rPr>
      </w:pPr>
      <w:r>
        <w:rPr>
          <w:rFonts w:hint="default"/>
        </w:rPr>
        <w:t>本模</w:t>
      </w:r>
      <w:r>
        <w:rPr>
          <w:rFonts w:hint="eastAsia"/>
          <w:lang w:eastAsia="zh-CN"/>
        </w:rPr>
        <w:t>型</w:t>
      </w:r>
      <w:r>
        <w:rPr>
          <w:rFonts w:hint="default"/>
        </w:rPr>
        <w:t>定位于交通场景的语义理解与综合分析核心，承担将底层感知数据上升至场景级语义解释的作用，实现复杂交通场景的结构化理解。在功能层面，模型能够对交通场景进行整体语义建模，理解车辆与行人之间的关系、交通规则约束及场景动态变化，支持场景描述、行为解释、规则合规判断及多轮交互问答，为交通指挥调度与智能决策系统提供认知级能力支持。</w:t>
      </w:r>
    </w:p>
    <w:p>
      <w:pPr>
        <w:pStyle w:val="607"/>
        <w:bidi w:val="0"/>
        <w:ind w:left="0" w:leftChars="0" w:firstLine="0" w:firstLineChars="0"/>
        <w:rPr>
          <w:rFonts w:hint="default"/>
        </w:rPr>
      </w:pPr>
      <w:r>
        <w:rPr>
          <w:rFonts w:hint="default"/>
        </w:rPr>
        <w:t>交通异常事件专业模型</w:t>
      </w:r>
    </w:p>
    <w:p>
      <w:pPr>
        <w:rPr>
          <w:rFonts w:hint="default"/>
        </w:rPr>
      </w:pPr>
      <w:r>
        <w:rPr>
          <w:rFonts w:hint="default"/>
        </w:rPr>
        <w:t>本模块承担交通风险识别与异常行为自动预警的作用，是交通安全保障体系中的核心能力单元。在功能层面，模型基于时序行为建模与轨迹分析技术，实现对逆行、闯红灯、异常停车、拥堵异常、事故疑似等事件进行自动识别与分级预警，并输出事件类型、时间、位置及关联目标信息，为交警指挥与应急处置提供实时支撑。</w:t>
      </w:r>
    </w:p>
    <w:p>
      <w:pPr>
        <w:pStyle w:val="607"/>
        <w:bidi w:val="0"/>
        <w:ind w:left="0" w:leftChars="0" w:firstLine="0" w:firstLineChars="0"/>
        <w:rPr>
          <w:rFonts w:hint="default"/>
        </w:rPr>
      </w:pPr>
      <w:r>
        <w:rPr>
          <w:rFonts w:hint="default"/>
        </w:rPr>
        <w:t>交通多模态时空推理大模型</w:t>
      </w:r>
    </w:p>
    <w:p>
      <w:pPr>
        <w:ind w:left="0" w:leftChars="0" w:firstLine="420" w:firstLineChars="0"/>
      </w:pPr>
      <w:r>
        <w:rPr>
          <w:rFonts w:hint="default"/>
        </w:rPr>
        <w:t>本模</w:t>
      </w:r>
      <w:r>
        <w:rPr>
          <w:rFonts w:hint="eastAsia"/>
          <w:lang w:eastAsia="zh-CN"/>
        </w:rPr>
        <w:t>型</w:t>
      </w:r>
      <w:r>
        <w:rPr>
          <w:rFonts w:hint="default"/>
        </w:rPr>
        <w:t>定位于交通系统的高级决策与趋势研判核心，承担对多源数据进行融合分析与时空推理的作用，实现跨维度、跨时间尺度的综合判断能力。在功能层面，模型融合视频数据、结构化轨迹数据、交通流量数据及文本规则信息，进行时空关系建模与趋势预测，可支持拥堵演化预测、风险扩散分析、交通态势研判及辅助决策生成，为智慧交通系统提供战略级智能分析能力。</w:t>
      </w:r>
    </w:p>
    <w:p>
      <w:pPr>
        <w:pStyle w:val="107"/>
        <w:bidi w:val="0"/>
        <w:ind w:left="0" w:leftChars="0" w:firstLine="0" w:firstLineChars="0"/>
      </w:pPr>
      <w:r>
        <w:rPr>
          <w:rFonts w:hint="eastAsia"/>
        </w:rPr>
        <w:t>平安</w:t>
      </w:r>
      <w:r>
        <w:rPr>
          <w:rFonts w:hint="eastAsia"/>
          <w:lang w:eastAsia="zh-CN"/>
        </w:rPr>
        <w:t>城市</w:t>
      </w:r>
    </w:p>
    <w:p>
      <w:pPr>
        <w:pStyle w:val="607"/>
        <w:bidi w:val="0"/>
        <w:ind w:left="0" w:leftChars="0" w:firstLine="0" w:firstLineChars="0"/>
        <w:rPr>
          <w:rFonts w:hint="default"/>
        </w:rPr>
      </w:pPr>
      <w:r>
        <w:rPr>
          <w:rFonts w:hint="default"/>
        </w:rPr>
        <w:t>城市视图全要素解析模型</w:t>
      </w:r>
    </w:p>
    <w:p>
      <w:pPr>
        <w:rPr>
          <w:rFonts w:hint="default"/>
        </w:rPr>
      </w:pPr>
      <w:r>
        <w:rPr>
          <w:rFonts w:hint="default"/>
        </w:rPr>
        <w:t>基于通用检测模型，做场景迁移训练。</w:t>
      </w:r>
    </w:p>
    <w:p>
      <w:pPr>
        <w:pStyle w:val="607"/>
        <w:bidi w:val="0"/>
        <w:ind w:left="0" w:leftChars="0" w:firstLine="0" w:firstLineChars="0"/>
        <w:rPr>
          <w:rFonts w:hint="default"/>
        </w:rPr>
      </w:pPr>
      <w:r>
        <w:rPr>
          <w:rFonts w:hint="default"/>
        </w:rPr>
        <w:t>城市视图要素目标跟踪模型</w:t>
      </w:r>
    </w:p>
    <w:p>
      <w:pPr>
        <w:rPr>
          <w:rFonts w:hint="default"/>
        </w:rPr>
      </w:pPr>
      <w:r>
        <w:rPr>
          <w:rFonts w:hint="default"/>
        </w:rPr>
        <w:t>基于通用</w:t>
      </w:r>
      <w:r>
        <w:rPr>
          <w:rFonts w:hint="eastAsia"/>
          <w:lang w:eastAsia="zh-CN"/>
        </w:rPr>
        <w:t>目标跟踪</w:t>
      </w:r>
      <w:r>
        <w:rPr>
          <w:rFonts w:hint="default"/>
        </w:rPr>
        <w:t>模型，做场景迁移训练。</w:t>
      </w:r>
    </w:p>
    <w:p>
      <w:pPr>
        <w:pStyle w:val="607"/>
        <w:bidi w:val="0"/>
        <w:ind w:left="0" w:leftChars="0" w:firstLine="0" w:firstLineChars="0"/>
        <w:rPr>
          <w:rFonts w:hint="default"/>
        </w:rPr>
      </w:pPr>
      <w:r>
        <w:rPr>
          <w:rFonts w:hint="default"/>
        </w:rPr>
        <w:t>城市视图理解大模型</w:t>
      </w:r>
    </w:p>
    <w:p>
      <w:pPr>
        <w:rPr>
          <w:rFonts w:hint="default"/>
        </w:rPr>
      </w:pPr>
      <w:r>
        <w:rPr>
          <w:rFonts w:hint="default"/>
        </w:rPr>
        <w:t>本模</w:t>
      </w:r>
      <w:r>
        <w:rPr>
          <w:rFonts w:hint="eastAsia"/>
          <w:lang w:eastAsia="zh-CN"/>
        </w:rPr>
        <w:t>型</w:t>
      </w:r>
      <w:r>
        <w:rPr>
          <w:rFonts w:hint="default"/>
        </w:rPr>
        <w:t>定位于城市场景语义理解与关系推理核心，承担将底层感知结果上升为场景级认知分析的作用，实现复杂城市环境的结构化语义建模。在功能层面，模型能够理解目标之间的空间关系与行为逻辑，支持场景描述、事件解释、规则匹配与交互式问答，实现对城市运行状态的语义化表达与智能分析，为城市治理与管理决策提供认知层能力支撑。</w:t>
      </w:r>
    </w:p>
    <w:p>
      <w:pPr>
        <w:pStyle w:val="607"/>
        <w:bidi w:val="0"/>
        <w:ind w:left="0" w:leftChars="0" w:firstLine="0" w:firstLineChars="0"/>
        <w:rPr>
          <w:rFonts w:hint="default"/>
        </w:rPr>
      </w:pPr>
      <w:r>
        <w:rPr>
          <w:rFonts w:hint="default"/>
        </w:rPr>
        <w:t>城市视图表征大模型</w:t>
      </w:r>
    </w:p>
    <w:p>
      <w:pPr>
        <w:rPr>
          <w:rFonts w:hint="default"/>
        </w:rPr>
      </w:pPr>
      <w:r>
        <w:rPr>
          <w:rFonts w:hint="eastAsia"/>
          <w:lang w:eastAsia="zh-CN"/>
        </w:rPr>
        <w:t>本模型</w:t>
      </w:r>
      <w:r>
        <w:rPr>
          <w:rFonts w:hint="default"/>
        </w:rPr>
        <w:t>作为城市视觉系统的特征基座能力平台，承担高质量视觉特征学习与统一向量表达生成的作用，为各类识别与检索任务提供通用表征支持。在功能层面，模型通过大规模自监督或对比学习形成高判别性Embedding表示，支持跨场景检索、相似度匹配、聚类分析与跨域迁移应用，为人体识别、车辆识别及异常检测等专业模型提供底层特征能力支撑。</w:t>
      </w:r>
    </w:p>
    <w:p>
      <w:pPr>
        <w:pStyle w:val="607"/>
        <w:bidi w:val="0"/>
        <w:ind w:left="0" w:leftChars="0" w:firstLine="0" w:firstLineChars="0"/>
        <w:rPr>
          <w:rFonts w:hint="default"/>
        </w:rPr>
      </w:pPr>
      <w:r>
        <w:rPr>
          <w:rFonts w:hint="default"/>
        </w:rPr>
        <w:t>城市异常事件检测专业模型</w:t>
      </w:r>
    </w:p>
    <w:p>
      <w:pPr>
        <w:rPr>
          <w:rFonts w:hint="default"/>
        </w:rPr>
      </w:pPr>
      <w:r>
        <w:rPr>
          <w:rFonts w:hint="default"/>
        </w:rPr>
        <w:t>本模</w:t>
      </w:r>
      <w:r>
        <w:rPr>
          <w:rFonts w:hint="eastAsia"/>
          <w:lang w:eastAsia="zh-CN"/>
        </w:rPr>
        <w:t>型</w:t>
      </w:r>
      <w:r>
        <w:rPr>
          <w:rFonts w:hint="default"/>
        </w:rPr>
        <w:t>承担城市运行风险识别与异常行为自动预警的作用，是城市安全与运行保障体系的重要组成部分。在功能层面，模型基于时序行为建模与场景偏离分析，实现对异常聚集、异常滞留、突发冲突、设施异常及突发事件等情况进行自动识别与分级告警，并输出事件类型、时间、位置及关联目标信息，为城市管理部门提供实时风险提示与应急响应支持。</w:t>
      </w:r>
    </w:p>
    <w:p>
      <w:pPr>
        <w:pStyle w:val="607"/>
        <w:bidi w:val="0"/>
        <w:ind w:left="0" w:leftChars="0" w:firstLine="0" w:firstLineChars="0"/>
        <w:rPr>
          <w:rFonts w:hint="default"/>
        </w:rPr>
      </w:pPr>
      <w:r>
        <w:rPr>
          <w:rFonts w:hint="default"/>
        </w:rPr>
        <w:t>人体识别专业模型</w:t>
      </w:r>
    </w:p>
    <w:p>
      <w:pPr>
        <w:rPr>
          <w:rFonts w:hint="default"/>
        </w:rPr>
      </w:pPr>
      <w:r>
        <w:rPr>
          <w:rFonts w:hint="default"/>
        </w:rPr>
        <w:t>本模</w:t>
      </w:r>
      <w:r>
        <w:rPr>
          <w:rFonts w:hint="eastAsia"/>
          <w:lang w:eastAsia="zh-CN"/>
        </w:rPr>
        <w:t>型</w:t>
      </w:r>
      <w:r>
        <w:rPr>
          <w:rFonts w:hint="default"/>
        </w:rPr>
        <w:t>承担城市环境中人员身份识别与跨区域关联分析的作用，是重点人员管理与轨迹追溯的重要技术支撑。在功能层面，模型通过行人重识别与特征比对技术提取人体特征向量，实现跨摄像头目标匹配与轨迹关联，支持重点人员布控、轨迹还原及事件关联分析等应用场景，提升复杂城市环境下人员管理与风险防控能力。</w:t>
      </w:r>
    </w:p>
    <w:p>
      <w:pPr>
        <w:pStyle w:val="607"/>
        <w:bidi w:val="0"/>
        <w:ind w:left="0" w:leftChars="0" w:firstLine="0" w:firstLineChars="0"/>
        <w:rPr>
          <w:rFonts w:hint="default"/>
        </w:rPr>
      </w:pPr>
      <w:r>
        <w:rPr>
          <w:rFonts w:hint="default"/>
        </w:rPr>
        <w:t>车辆识别专业模型</w:t>
      </w:r>
    </w:p>
    <w:p>
      <w:pPr>
        <w:rPr>
          <w:rFonts w:hint="default"/>
        </w:rPr>
      </w:pPr>
      <w:r>
        <w:rPr>
          <w:rFonts w:hint="default"/>
        </w:rPr>
        <w:t>本模</w:t>
      </w:r>
      <w:r>
        <w:rPr>
          <w:rFonts w:hint="eastAsia"/>
          <w:lang w:eastAsia="zh-CN"/>
        </w:rPr>
        <w:t>型</w:t>
      </w:r>
      <w:r>
        <w:rPr>
          <w:rFonts w:hint="default"/>
        </w:rPr>
        <w:t>承担城市交通环境中车辆身份识别与车辆轨迹关联分析的作用，是交通治理与城市运行管理的重要能力单元。在功能层面，模型支持车型识别、车牌识别、车辆特征提取及车辆重识别，实现跨点位车辆匹配与轨迹串联，可支撑违章追踪、重点车辆布控及城市交通态势分析等业务需求。</w:t>
      </w:r>
    </w:p>
    <w:p>
      <w:pPr>
        <w:pStyle w:val="607"/>
        <w:bidi w:val="0"/>
        <w:ind w:left="0" w:leftChars="0" w:firstLine="0" w:firstLineChars="0"/>
        <w:rPr>
          <w:rFonts w:hint="default"/>
        </w:rPr>
      </w:pPr>
      <w:r>
        <w:rPr>
          <w:rFonts w:hint="default"/>
        </w:rPr>
        <w:t>城市多模态时空推理大模型</w:t>
      </w:r>
    </w:p>
    <w:p>
      <w:pPr>
        <w:rPr>
          <w:rFonts w:hint="default"/>
        </w:rPr>
      </w:pPr>
      <w:r>
        <w:rPr>
          <w:rFonts w:hint="default"/>
        </w:rPr>
        <w:t>本模</w:t>
      </w:r>
      <w:r>
        <w:rPr>
          <w:rFonts w:hint="eastAsia"/>
          <w:lang w:eastAsia="zh-CN"/>
        </w:rPr>
        <w:t>型</w:t>
      </w:r>
      <w:r>
        <w:rPr>
          <w:rFonts w:hint="default"/>
        </w:rPr>
        <w:t>定位于城市智能治理体系的高级决策与趋势研判核心，承担多源异构数据融合分析与跨尺度时空推理的作用，构建全域态势感知与前瞻预测能力体系。在功能层面，模型融合视频数据、结构化轨迹数据、城市运行指标数据及政策规则文本信息，构建时空关联图谱与动态演化模型，实现跨区域、跨时间维度的趋势预测与风险扩散分析，支持城市态势研判、资源调度优化及辅助决策生成，为智慧城市建设提供战略级智能分析能力支撑。</w:t>
      </w:r>
    </w:p>
    <w:p>
      <w:pPr>
        <w:ind w:left="0" w:leftChars="0" w:firstLine="0" w:firstLineChars="0"/>
      </w:pPr>
    </w:p>
    <w:p>
      <w:pPr>
        <w:pStyle w:val="107"/>
        <w:bidi w:val="0"/>
        <w:ind w:left="0" w:leftChars="0" w:firstLine="0" w:firstLineChars="0"/>
      </w:pPr>
      <w:r>
        <w:rPr>
          <w:rFonts w:hint="eastAsia"/>
        </w:rPr>
        <w:t>平安</w:t>
      </w:r>
      <w:r>
        <w:rPr>
          <w:rFonts w:hint="eastAsia"/>
          <w:lang w:eastAsia="zh-CN"/>
        </w:rPr>
        <w:t>社区</w:t>
      </w:r>
    </w:p>
    <w:p>
      <w:pPr>
        <w:pStyle w:val="607"/>
        <w:bidi w:val="0"/>
        <w:ind w:left="0" w:leftChars="0" w:firstLine="0" w:firstLineChars="0"/>
        <w:rPr>
          <w:rFonts w:hint="default"/>
        </w:rPr>
      </w:pPr>
      <w:r>
        <w:rPr>
          <w:rFonts w:hint="default"/>
        </w:rPr>
        <w:t>社区要素解析模型</w:t>
      </w:r>
    </w:p>
    <w:p>
      <w:pPr>
        <w:rPr>
          <w:rFonts w:hint="default"/>
        </w:rPr>
      </w:pPr>
      <w:r>
        <w:rPr>
          <w:rFonts w:hint="default"/>
        </w:rPr>
        <w:t>模型支持对人员、车辆、非机动车、楼宇出入口、公共设施、围栏边界及环境状态等要素进行检测与属性识别，输出目标类别、位置、置信度及基础属性信息，实现社区场景的全面数字化表达。</w:t>
      </w:r>
    </w:p>
    <w:p>
      <w:pPr>
        <w:pStyle w:val="607"/>
        <w:bidi w:val="0"/>
        <w:ind w:left="0" w:leftChars="0" w:firstLine="0" w:firstLineChars="0"/>
        <w:rPr>
          <w:rFonts w:hint="default"/>
        </w:rPr>
      </w:pPr>
      <w:r>
        <w:rPr>
          <w:rFonts w:hint="default"/>
        </w:rPr>
        <w:t>社区目标跟踪模型</w:t>
      </w:r>
    </w:p>
    <w:p>
      <w:pPr>
        <w:rPr>
          <w:rFonts w:hint="default"/>
        </w:rPr>
      </w:pPr>
      <w:r>
        <w:rPr>
          <w:rFonts w:hint="default"/>
        </w:rPr>
        <w:t>基于通用目标跟踪模型，做场景迁移训练。</w:t>
      </w:r>
    </w:p>
    <w:p>
      <w:pPr>
        <w:pStyle w:val="607"/>
        <w:bidi w:val="0"/>
        <w:ind w:left="0" w:leftChars="0" w:firstLine="0" w:firstLineChars="0"/>
        <w:rPr>
          <w:rFonts w:hint="default"/>
        </w:rPr>
      </w:pPr>
      <w:r>
        <w:rPr>
          <w:rFonts w:hint="default"/>
        </w:rPr>
        <w:t>社区异常事件专业模型</w:t>
      </w:r>
    </w:p>
    <w:p>
      <w:pPr>
        <w:rPr>
          <w:rFonts w:hint="default"/>
        </w:rPr>
      </w:pPr>
      <w:r>
        <w:rPr>
          <w:rFonts w:hint="default"/>
        </w:rPr>
        <w:t>本模块定位于社区风险识别与安全预警核心，承担对异常行为与突发事件进行自动识别与分级告警的作用。在功能层面，模型基于行为模式建模与场景规则匹配，实现对异常聚集、异常滞留、翻越围栏、夜间异常活动、打架冲突等事件的识别与实时预警，并输出事件类型、时间、位置及关联目标信息，为社区安防与物业管理提供及时处置依据。</w:t>
      </w:r>
    </w:p>
    <w:p>
      <w:pPr>
        <w:rPr>
          <w:rFonts w:hint="default"/>
        </w:rPr>
      </w:pPr>
    </w:p>
    <w:p>
      <w:pPr>
        <w:pStyle w:val="607"/>
        <w:bidi w:val="0"/>
        <w:ind w:left="0" w:leftChars="0" w:firstLine="0" w:firstLineChars="0"/>
        <w:rPr>
          <w:rFonts w:hint="default"/>
        </w:rPr>
      </w:pPr>
      <w:r>
        <w:rPr>
          <w:rFonts w:hint="default"/>
        </w:rPr>
        <w:t>社区人员动作分析专业模型</w:t>
      </w:r>
    </w:p>
    <w:p>
      <w:pPr>
        <w:rPr>
          <w:rFonts w:hint="default"/>
        </w:rPr>
      </w:pPr>
      <w:r>
        <w:rPr>
          <w:rFonts w:hint="default"/>
        </w:rPr>
        <w:t>本模型承担对社区场景中个体动作进行细粒度识别与行为理解的作用，是提升社区精细化管理能力的关键技术组件。在功能层面，模型通过人体关键点检测与时序动作建模，实现对摔倒、奔跑、攀爬、徘徊、尾随等动作的识别与分类，并支持异常动作模式分析与风险等级评估，为社区安全防控与关怀类应用提供行为层面的智能支撑。</w:t>
      </w:r>
    </w:p>
    <w:p>
      <w:pPr>
        <w:pStyle w:val="607"/>
        <w:bidi w:val="0"/>
        <w:ind w:left="0" w:leftChars="0" w:firstLine="0" w:firstLineChars="0"/>
        <w:rPr>
          <w:rFonts w:hint="default"/>
        </w:rPr>
      </w:pPr>
      <w:r>
        <w:rPr>
          <w:rFonts w:hint="default"/>
        </w:rPr>
        <w:t>社区视图理解专业模型</w:t>
      </w:r>
    </w:p>
    <w:p>
      <w:pPr>
        <w:rPr>
          <w:rFonts w:hint="default"/>
        </w:rPr>
      </w:pPr>
      <w:r>
        <w:rPr>
          <w:rFonts w:hint="default"/>
        </w:rPr>
        <w:t>基于通用视图理解模型，做场景迁移训练。</w:t>
      </w:r>
    </w:p>
    <w:p>
      <w:pPr>
        <w:rPr>
          <w:rFonts w:hint="default"/>
        </w:rPr>
      </w:pPr>
    </w:p>
    <w:p>
      <w:pPr>
        <w:pStyle w:val="607"/>
        <w:bidi w:val="0"/>
        <w:ind w:left="0" w:leftChars="0" w:firstLine="0" w:firstLineChars="0"/>
        <w:rPr>
          <w:rFonts w:hint="default"/>
        </w:rPr>
      </w:pPr>
      <w:r>
        <w:rPr>
          <w:rFonts w:hint="default"/>
        </w:rPr>
        <w:t>社区视图表征专业模型</w:t>
      </w:r>
    </w:p>
    <w:p>
      <w:r>
        <w:rPr>
          <w:rFonts w:hint="default"/>
        </w:rPr>
        <w:t>基于通用视图表征专业模型，做场景迁移训练。</w:t>
      </w:r>
    </w:p>
    <w:p>
      <w:pPr>
        <w:pStyle w:val="107"/>
        <w:bidi w:val="0"/>
        <w:ind w:left="0" w:leftChars="0" w:firstLine="0" w:firstLineChars="0"/>
      </w:pPr>
      <w:r>
        <w:rPr>
          <w:rFonts w:hint="eastAsia"/>
          <w:lang w:eastAsia="zh-CN"/>
        </w:rPr>
        <w:t>平安校园</w:t>
      </w:r>
    </w:p>
    <w:p>
      <w:pPr>
        <w:pStyle w:val="607"/>
        <w:bidi w:val="0"/>
        <w:ind w:left="0" w:leftChars="0" w:firstLine="0" w:firstLineChars="0"/>
        <w:rPr>
          <w:rFonts w:hint="default"/>
        </w:rPr>
      </w:pPr>
      <w:r>
        <w:rPr>
          <w:rFonts w:hint="default"/>
        </w:rPr>
        <w:t>校园要素解析模型</w:t>
      </w:r>
    </w:p>
    <w:p>
      <w:pPr>
        <w:rPr>
          <w:rFonts w:hint="default"/>
        </w:rPr>
      </w:pPr>
      <w:r>
        <w:rPr>
          <w:rFonts w:hint="default"/>
        </w:rPr>
        <w:t>基于通用</w:t>
      </w:r>
      <w:r>
        <w:rPr>
          <w:rFonts w:hint="eastAsia"/>
          <w:lang w:eastAsia="zh-CN"/>
        </w:rPr>
        <w:t>解析</w:t>
      </w:r>
      <w:r>
        <w:rPr>
          <w:rFonts w:hint="default"/>
        </w:rPr>
        <w:t>模型，做场景迁移训练。</w:t>
      </w:r>
    </w:p>
    <w:p>
      <w:pPr>
        <w:rPr>
          <w:rFonts w:hint="default"/>
        </w:rPr>
      </w:pPr>
    </w:p>
    <w:p>
      <w:pPr>
        <w:pStyle w:val="607"/>
        <w:bidi w:val="0"/>
        <w:ind w:left="0" w:leftChars="0" w:firstLine="0" w:firstLineChars="0"/>
        <w:rPr>
          <w:rFonts w:hint="default"/>
        </w:rPr>
      </w:pPr>
      <w:r>
        <w:rPr>
          <w:rFonts w:hint="default"/>
        </w:rPr>
        <w:t>校园目标跟踪模型</w:t>
      </w:r>
    </w:p>
    <w:p>
      <w:pPr>
        <w:rPr>
          <w:rFonts w:hint="default"/>
        </w:rPr>
      </w:pPr>
      <w:r>
        <w:rPr>
          <w:rFonts w:hint="default"/>
        </w:rPr>
        <w:t>基于通用</w:t>
      </w:r>
      <w:r>
        <w:rPr>
          <w:rFonts w:hint="eastAsia"/>
          <w:lang w:eastAsia="zh-CN"/>
        </w:rPr>
        <w:t>跟踪</w:t>
      </w:r>
      <w:r>
        <w:rPr>
          <w:rFonts w:hint="default"/>
        </w:rPr>
        <w:t>模型，做场景迁移训练。</w:t>
      </w:r>
    </w:p>
    <w:p>
      <w:pPr>
        <w:pStyle w:val="607"/>
        <w:bidi w:val="0"/>
        <w:ind w:left="0" w:leftChars="0" w:firstLine="0" w:firstLineChars="0"/>
        <w:rPr>
          <w:rFonts w:hint="default"/>
        </w:rPr>
      </w:pPr>
      <w:r>
        <w:rPr>
          <w:rFonts w:hint="default"/>
        </w:rPr>
        <w:t>校园异常事件专业模型</w:t>
      </w:r>
    </w:p>
    <w:p>
      <w:pPr>
        <w:rPr>
          <w:rFonts w:hint="default"/>
        </w:rPr>
      </w:pPr>
      <w:r>
        <w:rPr>
          <w:rFonts w:hint="default"/>
        </w:rPr>
        <w:t>本模</w:t>
      </w:r>
      <w:r>
        <w:rPr>
          <w:rFonts w:hint="eastAsia"/>
          <w:lang w:eastAsia="zh-CN"/>
        </w:rPr>
        <w:t>型</w:t>
      </w:r>
      <w:r>
        <w:rPr>
          <w:rFonts w:hint="default"/>
        </w:rPr>
        <w:t>定位于校园安全治理体系中的风险识别与应急预警核心，承担对校园场景中异常行为与突发事件进行自动检测、快速研判与分级告警的作用，是构建“事前预防、事中预警、事后溯源”闭环管理机制的重要技术支撑。在功能层面，模型基于视频时序建模与行为模式分析能力，对异常聚集、打架冲突、摔倒受伤、夜间异常活动、非法闯入、危险物品携带等情况进行识别与分类，并输出事件类型、发生时间、空间位置及关联目标信息；同时支持异常等级评估与联动触发机制，实现与校园安防平台、值班系统及应急响应流程的对接，为校园安全管理提供实时、精准、可追溯的智能预警能力。</w:t>
      </w:r>
    </w:p>
    <w:p>
      <w:pPr>
        <w:pStyle w:val="607"/>
        <w:bidi w:val="0"/>
        <w:ind w:left="0" w:leftChars="0" w:firstLine="0" w:firstLineChars="0"/>
        <w:rPr>
          <w:rFonts w:hint="default"/>
        </w:rPr>
      </w:pPr>
      <w:r>
        <w:rPr>
          <w:rFonts w:hint="default"/>
        </w:rPr>
        <w:t>校园人员动作分析专业模型</w:t>
      </w:r>
    </w:p>
    <w:p>
      <w:pPr>
        <w:rPr>
          <w:rFonts w:hint="default"/>
        </w:rPr>
      </w:pPr>
      <w:r>
        <w:rPr>
          <w:rFonts w:hint="default"/>
        </w:rPr>
        <w:t>本模</w:t>
      </w:r>
      <w:r>
        <w:rPr>
          <w:rFonts w:hint="eastAsia"/>
          <w:lang w:eastAsia="zh-CN"/>
        </w:rPr>
        <w:t>型</w:t>
      </w:r>
      <w:r>
        <w:rPr>
          <w:rFonts w:hint="default"/>
        </w:rPr>
        <w:t>定位于校园精细化行为感知与安全防控体系中的动作识别核心，承担对校园场景中个体及群体行为进行细粒度识别与动态分析的作用，是实现异常预警与行为研判的重要基础能力。在功能层面，模型基于人体关键点检测与时序动作建模技术，对奔跑、打闹、推搡、摔倒、攀爬、尾随、长时间滞留等动作进行识别与分类，并结合行为持续时间、频率及空间位置进行综合判定；同时支持异常动作模式分析与风险等级评估，可为校园安全管理、课间秩序维护及重点区域风险防控提供实时、结构化的行为数据支撑。</w:t>
      </w:r>
    </w:p>
    <w:p>
      <w:pPr>
        <w:pStyle w:val="607"/>
        <w:bidi w:val="0"/>
        <w:ind w:left="0" w:leftChars="0" w:firstLine="0" w:firstLineChars="0"/>
        <w:rPr>
          <w:rFonts w:hint="default"/>
        </w:rPr>
      </w:pPr>
      <w:r>
        <w:rPr>
          <w:rFonts w:hint="default"/>
        </w:rPr>
        <w:t>校园视图理解专业模型</w:t>
      </w:r>
    </w:p>
    <w:p>
      <w:pPr>
        <w:rPr>
          <w:rFonts w:hint="default"/>
        </w:rPr>
      </w:pPr>
      <w:r>
        <w:rPr>
          <w:rFonts w:hint="default"/>
        </w:rPr>
        <w:t>基于通用</w:t>
      </w:r>
      <w:r>
        <w:rPr>
          <w:rFonts w:hint="eastAsia"/>
          <w:lang w:eastAsia="zh-CN"/>
        </w:rPr>
        <w:t>视图理解</w:t>
      </w:r>
      <w:r>
        <w:rPr>
          <w:rFonts w:hint="default"/>
        </w:rPr>
        <w:t>模型，做场景迁移训练。</w:t>
      </w:r>
    </w:p>
    <w:p>
      <w:pPr>
        <w:pStyle w:val="607"/>
        <w:bidi w:val="0"/>
        <w:ind w:left="0" w:leftChars="0" w:firstLine="0" w:firstLineChars="0"/>
        <w:rPr>
          <w:rFonts w:hint="default"/>
        </w:rPr>
      </w:pPr>
      <w:r>
        <w:rPr>
          <w:rFonts w:hint="default"/>
        </w:rPr>
        <w:t>校园视图表征专业模型</w:t>
      </w:r>
    </w:p>
    <w:p>
      <w:r>
        <w:rPr>
          <w:rFonts w:hint="default"/>
        </w:rPr>
        <w:t>基于通用</w:t>
      </w:r>
      <w:r>
        <w:rPr>
          <w:rFonts w:hint="eastAsia"/>
          <w:lang w:eastAsia="zh-CN"/>
        </w:rPr>
        <w:t>视图表征</w:t>
      </w:r>
      <w:r>
        <w:rPr>
          <w:rFonts w:hint="default"/>
        </w:rPr>
        <w:t>模型，做场景迁移训练。</w:t>
      </w:r>
    </w:p>
    <w:p>
      <w:pPr>
        <w:pStyle w:val="107"/>
        <w:bidi w:val="0"/>
        <w:ind w:left="0" w:leftChars="0" w:firstLine="0" w:firstLineChars="0"/>
      </w:pPr>
      <w:r>
        <w:rPr>
          <w:rFonts w:hint="eastAsia"/>
        </w:rPr>
        <w:t>平安园区</w:t>
      </w:r>
    </w:p>
    <w:p>
      <w:pPr>
        <w:pStyle w:val="607"/>
        <w:bidi w:val="0"/>
        <w:ind w:left="0" w:leftChars="0" w:firstLine="0" w:firstLineChars="0"/>
        <w:rPr>
          <w:rFonts w:hint="default"/>
        </w:rPr>
      </w:pPr>
      <w:r>
        <w:rPr>
          <w:rFonts w:hint="default"/>
        </w:rPr>
        <w:t>园区要素解析模型</w:t>
      </w:r>
    </w:p>
    <w:p>
      <w:pPr>
        <w:rPr>
          <w:rFonts w:hint="default"/>
        </w:rPr>
      </w:pPr>
      <w:r>
        <w:rPr>
          <w:rFonts w:hint="default"/>
        </w:rPr>
        <w:t>基于通用解析模型，做场景迁移训练。</w:t>
      </w:r>
    </w:p>
    <w:p>
      <w:pPr>
        <w:pStyle w:val="607"/>
        <w:bidi w:val="0"/>
        <w:ind w:left="0" w:leftChars="0" w:firstLine="0" w:firstLineChars="0"/>
        <w:rPr>
          <w:rFonts w:hint="default"/>
        </w:rPr>
      </w:pPr>
      <w:r>
        <w:rPr>
          <w:rFonts w:hint="default"/>
        </w:rPr>
        <w:t>园区目标跟踪模型</w:t>
      </w:r>
    </w:p>
    <w:p>
      <w:pPr>
        <w:rPr>
          <w:rFonts w:hint="default"/>
        </w:rPr>
      </w:pPr>
      <w:r>
        <w:rPr>
          <w:rFonts w:hint="default"/>
        </w:rPr>
        <w:t>基于通用</w:t>
      </w:r>
      <w:r>
        <w:rPr>
          <w:rFonts w:hint="eastAsia"/>
          <w:lang w:eastAsia="zh-CN"/>
        </w:rPr>
        <w:t>跟踪</w:t>
      </w:r>
      <w:r>
        <w:rPr>
          <w:rFonts w:hint="default"/>
        </w:rPr>
        <w:t>模型，做场景迁移训练。</w:t>
      </w:r>
    </w:p>
    <w:p>
      <w:pPr>
        <w:pStyle w:val="607"/>
        <w:bidi w:val="0"/>
        <w:ind w:left="0" w:leftChars="0" w:firstLine="0" w:firstLineChars="0"/>
        <w:rPr>
          <w:rFonts w:hint="default"/>
        </w:rPr>
      </w:pPr>
      <w:r>
        <w:rPr>
          <w:rFonts w:hint="default"/>
        </w:rPr>
        <w:t>园区异常事件专业模型</w:t>
      </w:r>
    </w:p>
    <w:p>
      <w:pPr>
        <w:rPr>
          <w:rFonts w:hint="default"/>
        </w:rPr>
      </w:pPr>
      <w:r>
        <w:rPr>
          <w:rFonts w:hint="default"/>
        </w:rPr>
        <w:t>本模</w:t>
      </w:r>
      <w:r>
        <w:rPr>
          <w:rFonts w:hint="eastAsia"/>
          <w:lang w:eastAsia="zh-CN"/>
        </w:rPr>
        <w:t>型</w:t>
      </w:r>
      <w:r>
        <w:rPr>
          <w:rFonts w:hint="default"/>
        </w:rPr>
        <w:t>定位于园区综合治理与安全保障体系中的风险识别核心，承担对园区场景中异常行为、违规操作及突发事件进行自动检测与分级预警的作用，是实现园区安全运行与高效管理的重要技术支撑。在功能层面，模型基于视频时序分析与行为模式建模能力，对异常聚集、非法闯入、越界入侵、危险作业行为、长时间滞留、设备异常操作及突发冲突等情况进行识别与分类，并输出事件类型、发生时间、空间位置及关联目标信息；同时支持异常等级评估与联动响应机制，可与安防平台、门禁系统及应急处置流程对接，为园区安全管控与运营管理提供实时、精准、可追溯的智能预警能力。</w:t>
      </w:r>
    </w:p>
    <w:p>
      <w:pPr>
        <w:pStyle w:val="607"/>
        <w:bidi w:val="0"/>
        <w:ind w:left="0" w:leftChars="0" w:firstLine="0" w:firstLineChars="0"/>
        <w:rPr>
          <w:rFonts w:hint="default"/>
        </w:rPr>
      </w:pPr>
      <w:r>
        <w:rPr>
          <w:rFonts w:hint="default"/>
        </w:rPr>
        <w:t>园区人员动作分析专业模型</w:t>
      </w:r>
    </w:p>
    <w:p>
      <w:pPr>
        <w:rPr>
          <w:rFonts w:hint="default"/>
        </w:rPr>
      </w:pPr>
      <w:r>
        <w:rPr>
          <w:rFonts w:hint="default"/>
        </w:rPr>
        <w:t>本模</w:t>
      </w:r>
      <w:r>
        <w:rPr>
          <w:rFonts w:hint="eastAsia"/>
          <w:lang w:eastAsia="zh-CN"/>
        </w:rPr>
        <w:t>型</w:t>
      </w:r>
      <w:r>
        <w:rPr>
          <w:rFonts w:hint="default"/>
        </w:rPr>
        <w:t>定位于园区安全生产与精细化管理体系中的行为识别核心，承担对园区作业人员及访客行为进行细粒度识别与动态分析的作用，是实现风险预防与规范作业监管的重要技术支撑。在功能层面，模型基于人体关键点检测与时序动作建模技术，对奔跑、跌倒、攀爬、打闹、越界作业、违规操作、未佩戴安全装备等动作进行识别与分类，并结合动作持续时间、空间位置及作业规范进行综合判定；同时支持异常动作风险分级与实时告警联动，可为园区安全生产管理、巡检监督及应急响应提供结构化、可量化的行为数据支撑。</w:t>
      </w:r>
    </w:p>
    <w:p>
      <w:pPr>
        <w:pStyle w:val="607"/>
        <w:bidi w:val="0"/>
        <w:ind w:left="0" w:leftChars="0" w:firstLine="0" w:firstLineChars="0"/>
        <w:rPr>
          <w:rFonts w:hint="default"/>
        </w:rPr>
      </w:pPr>
      <w:r>
        <w:rPr>
          <w:rFonts w:hint="default"/>
        </w:rPr>
        <w:t>园区视图理解专业模型</w:t>
      </w:r>
    </w:p>
    <w:p>
      <w:pPr>
        <w:rPr>
          <w:rFonts w:hint="default"/>
        </w:rPr>
      </w:pPr>
      <w:r>
        <w:rPr>
          <w:rFonts w:hint="default"/>
        </w:rPr>
        <w:t>基于通用</w:t>
      </w:r>
      <w:r>
        <w:rPr>
          <w:rFonts w:hint="eastAsia"/>
          <w:lang w:eastAsia="zh-CN"/>
        </w:rPr>
        <w:t>视图理解</w:t>
      </w:r>
      <w:r>
        <w:rPr>
          <w:rFonts w:hint="default"/>
        </w:rPr>
        <w:t>模型，做场景迁移训练。</w:t>
      </w:r>
    </w:p>
    <w:p>
      <w:pPr>
        <w:pStyle w:val="607"/>
        <w:bidi w:val="0"/>
        <w:ind w:left="0" w:leftChars="0" w:firstLine="0" w:firstLineChars="0"/>
        <w:rPr>
          <w:rFonts w:hint="default"/>
        </w:rPr>
      </w:pPr>
      <w:r>
        <w:rPr>
          <w:rFonts w:hint="default"/>
        </w:rPr>
        <w:t>园区视图表征专业模型</w:t>
      </w:r>
    </w:p>
    <w:p>
      <w:pPr>
        <w:rPr>
          <w:rFonts w:hint="default"/>
        </w:rPr>
      </w:pPr>
      <w:r>
        <w:rPr>
          <w:rFonts w:hint="default"/>
        </w:rPr>
        <w:t>基于通用视图</w:t>
      </w:r>
      <w:r>
        <w:rPr>
          <w:rFonts w:hint="eastAsia"/>
          <w:lang w:eastAsia="zh-CN"/>
        </w:rPr>
        <w:t>表征</w:t>
      </w:r>
      <w:r>
        <w:rPr>
          <w:rFonts w:hint="default"/>
        </w:rPr>
        <w:t>模型，做场景迁移训练。</w:t>
      </w:r>
    </w:p>
    <w:p>
      <w:pPr>
        <w:rPr>
          <w:rFonts w:hint="default"/>
        </w:rPr>
      </w:pPr>
    </w:p>
    <w:p>
      <w:pPr>
        <w:pStyle w:val="107"/>
        <w:bidi w:val="0"/>
        <w:ind w:left="0" w:leftChars="0" w:firstLine="0" w:firstLineChars="0"/>
      </w:pPr>
      <w:r>
        <w:rPr>
          <w:rFonts w:hint="eastAsia"/>
        </w:rPr>
        <w:t>平安乡村</w:t>
      </w:r>
    </w:p>
    <w:p>
      <w:pPr>
        <w:pStyle w:val="607"/>
        <w:bidi w:val="0"/>
        <w:ind w:left="0" w:leftChars="0" w:firstLine="0" w:firstLineChars="0"/>
        <w:rPr>
          <w:rFonts w:hint="default"/>
        </w:rPr>
      </w:pPr>
      <w:r>
        <w:rPr>
          <w:rFonts w:hint="default"/>
        </w:rPr>
        <w:t>乡村要素解析模型</w:t>
      </w:r>
    </w:p>
    <w:p>
      <w:pPr>
        <w:rPr>
          <w:rFonts w:hint="default"/>
        </w:rPr>
      </w:pPr>
      <w:r>
        <w:rPr>
          <w:rFonts w:hint="default"/>
        </w:rPr>
        <w:t>本模</w:t>
      </w:r>
      <w:r>
        <w:rPr>
          <w:rFonts w:hint="eastAsia"/>
          <w:lang w:eastAsia="zh-CN"/>
        </w:rPr>
        <w:t>型</w:t>
      </w:r>
      <w:r>
        <w:rPr>
          <w:rFonts w:hint="default"/>
        </w:rPr>
        <w:t>定位于乡村数字化治理体系中的基础感知核心，承担对乡村场景图像与视频数据进行全要素结构化解析的作用，是后续行为分析、事件识别与资源管理应用的底层数据支撑。在功能层面，模型支持对人员、车辆、农机设备、牲畜、道路、农田、水体、房屋建筑及公共设施等要素进行检测与分类，并输出目标类别、空间位置及基础属性信息；同时可适应乡村环境中复杂光照、开放场景与多样化目标形态，实现乡村视图的全面数字化表达，为乡村安全治理、农业生产监管及公共资源管理提供标准化视觉数据基础。</w:t>
      </w:r>
    </w:p>
    <w:p>
      <w:pPr>
        <w:pStyle w:val="607"/>
        <w:bidi w:val="0"/>
        <w:ind w:left="0" w:leftChars="0" w:firstLine="0" w:firstLineChars="0"/>
        <w:rPr>
          <w:rFonts w:hint="default"/>
        </w:rPr>
      </w:pPr>
      <w:r>
        <w:rPr>
          <w:rFonts w:hint="default"/>
        </w:rPr>
        <w:t>目标跟踪模型</w:t>
      </w:r>
    </w:p>
    <w:p>
      <w:pPr>
        <w:rPr>
          <w:rFonts w:hint="default"/>
        </w:rPr>
      </w:pPr>
      <w:r>
        <w:rPr>
          <w:rFonts w:hint="default"/>
        </w:rPr>
        <w:t>基于通用跟踪模型，做场景迁移训练。</w:t>
      </w:r>
    </w:p>
    <w:p>
      <w:pPr>
        <w:pStyle w:val="607"/>
        <w:bidi w:val="0"/>
        <w:ind w:left="0" w:leftChars="0" w:firstLine="0" w:firstLineChars="0"/>
        <w:rPr>
          <w:rFonts w:hint="default"/>
        </w:rPr>
      </w:pPr>
      <w:r>
        <w:rPr>
          <w:rFonts w:hint="default"/>
        </w:rPr>
        <w:t>乡村异常事件专业模型</w:t>
      </w:r>
    </w:p>
    <w:p>
      <w:pPr>
        <w:rPr>
          <w:rFonts w:hint="default"/>
        </w:rPr>
      </w:pPr>
      <w:r>
        <w:rPr>
          <w:rFonts w:hint="default"/>
        </w:rPr>
        <w:t>本</w:t>
      </w:r>
      <w:r>
        <w:rPr>
          <w:rFonts w:hint="eastAsia"/>
          <w:lang w:eastAsia="zh-CN"/>
        </w:rPr>
        <w:t>模型</w:t>
      </w:r>
      <w:r>
        <w:rPr>
          <w:rFonts w:hint="default"/>
        </w:rPr>
        <w:t>定位于乡村安全治理与风险防控体系中的智能预警核心，承担对乡村场景中异常行为与突发事件进行自动识别、实时研判与分级告警的作用，是提升基层治理数字化与精细化水平的重要技术支撑。在功能层面，模型基于视频时序建模与场景规则匹配能力，对非法闯入、盗窃行为、夜间异常活动、异常聚集、秸秆违规焚烧、牲畜异常集散、河道异常作业等情况进行识别与分类，并输出事件类型、发生时间、空间位置及关联目标信息；同时支持异常等级评估与联动处置机制，可与村级综治平台及应急响应流程对接，为乡村公共安全、生态保护及社会治理提供及时、精准、可追溯的智能预警能力。</w:t>
      </w:r>
    </w:p>
    <w:p>
      <w:pPr>
        <w:pStyle w:val="607"/>
        <w:bidi w:val="0"/>
        <w:ind w:left="0" w:leftChars="0" w:firstLine="0" w:firstLineChars="0"/>
        <w:rPr>
          <w:rFonts w:hint="default"/>
        </w:rPr>
      </w:pPr>
      <w:r>
        <w:rPr>
          <w:rFonts w:hint="default"/>
        </w:rPr>
        <w:t>人员动作分析专业模型</w:t>
      </w:r>
    </w:p>
    <w:p>
      <w:pPr>
        <w:rPr>
          <w:rFonts w:hint="default"/>
        </w:rPr>
      </w:pPr>
      <w:r>
        <w:rPr>
          <w:rFonts w:hint="default"/>
        </w:rPr>
        <w:t>基于通用</w:t>
      </w:r>
      <w:r>
        <w:rPr>
          <w:rFonts w:hint="eastAsia"/>
          <w:lang w:eastAsia="zh-CN"/>
        </w:rPr>
        <w:t>动作分析</w:t>
      </w:r>
      <w:r>
        <w:rPr>
          <w:rFonts w:hint="default"/>
        </w:rPr>
        <w:t>模型，做场景迁移训练。</w:t>
      </w:r>
    </w:p>
    <w:p>
      <w:pPr>
        <w:pStyle w:val="607"/>
        <w:bidi w:val="0"/>
        <w:ind w:left="0" w:leftChars="0" w:firstLine="0" w:firstLineChars="0"/>
        <w:rPr>
          <w:rFonts w:hint="default"/>
        </w:rPr>
      </w:pPr>
      <w:r>
        <w:rPr>
          <w:rFonts w:hint="default"/>
        </w:rPr>
        <w:t>乡村视图理解专业模型</w:t>
      </w:r>
    </w:p>
    <w:p>
      <w:pPr>
        <w:rPr>
          <w:rFonts w:hint="default"/>
        </w:rPr>
      </w:pPr>
      <w:r>
        <w:rPr>
          <w:rFonts w:hint="default"/>
        </w:rPr>
        <w:t>基于通用</w:t>
      </w:r>
      <w:r>
        <w:rPr>
          <w:rFonts w:hint="eastAsia"/>
          <w:lang w:eastAsia="zh-CN"/>
        </w:rPr>
        <w:t>视图理解</w:t>
      </w:r>
      <w:r>
        <w:rPr>
          <w:rFonts w:hint="default"/>
        </w:rPr>
        <w:t>模型，做场景迁移训练。</w:t>
      </w:r>
    </w:p>
    <w:p>
      <w:pPr>
        <w:pStyle w:val="607"/>
        <w:bidi w:val="0"/>
        <w:ind w:left="0" w:leftChars="0" w:firstLine="0" w:firstLineChars="0"/>
        <w:rPr>
          <w:rFonts w:hint="default"/>
        </w:rPr>
      </w:pPr>
      <w:r>
        <w:rPr>
          <w:rFonts w:hint="default"/>
        </w:rPr>
        <w:t>乡村视图表征专业模型</w:t>
      </w:r>
    </w:p>
    <w:p>
      <w:pPr>
        <w:rPr>
          <w:rFonts w:hint="default"/>
        </w:rPr>
      </w:pPr>
      <w:r>
        <w:rPr>
          <w:rFonts w:hint="default"/>
        </w:rPr>
        <w:t>基于通用</w:t>
      </w:r>
      <w:r>
        <w:rPr>
          <w:rFonts w:hint="eastAsia"/>
          <w:lang w:eastAsia="zh-CN"/>
        </w:rPr>
        <w:t>视图表征</w:t>
      </w:r>
      <w:r>
        <w:rPr>
          <w:rFonts w:hint="default"/>
        </w:rPr>
        <w:t>模型，做场景迁移训练。</w:t>
      </w:r>
    </w:p>
    <w:p>
      <w:pPr>
        <w:rPr>
          <w:rFonts w:hint="default"/>
        </w:rPr>
      </w:pPr>
    </w:p>
    <w:p>
      <w:pPr>
        <w:pStyle w:val="107"/>
        <w:bidi w:val="0"/>
        <w:ind w:left="0" w:leftChars="0" w:firstLine="0" w:firstLineChars="0"/>
      </w:pPr>
      <w:r>
        <w:rPr>
          <w:rFonts w:hint="eastAsia"/>
        </w:rPr>
        <w:t>平安商铺</w:t>
      </w:r>
    </w:p>
    <w:p>
      <w:pPr>
        <w:pStyle w:val="607"/>
        <w:bidi w:val="0"/>
        <w:ind w:left="0" w:leftChars="0" w:firstLine="0" w:firstLineChars="0"/>
        <w:rPr>
          <w:rFonts w:hint="default"/>
        </w:rPr>
      </w:pPr>
      <w:r>
        <w:rPr>
          <w:rFonts w:hint="default"/>
        </w:rPr>
        <w:t>商铺要素解析模型</w:t>
      </w:r>
    </w:p>
    <w:p>
      <w:pPr>
        <w:rPr>
          <w:rFonts w:hint="default"/>
        </w:rPr>
      </w:pPr>
      <w:r>
        <w:rPr>
          <w:rFonts w:hint="default"/>
        </w:rPr>
        <w:t>基于通用</w:t>
      </w:r>
      <w:r>
        <w:rPr>
          <w:rFonts w:hint="eastAsia"/>
          <w:lang w:eastAsia="zh-CN"/>
        </w:rPr>
        <w:t>视图要素</w:t>
      </w:r>
      <w:r>
        <w:rPr>
          <w:rFonts w:hint="default"/>
        </w:rPr>
        <w:t>模型，做场景迁移训练。</w:t>
      </w:r>
    </w:p>
    <w:p>
      <w:pPr>
        <w:pStyle w:val="607"/>
        <w:bidi w:val="0"/>
        <w:ind w:left="0" w:leftChars="0" w:firstLine="0" w:firstLineChars="0"/>
        <w:rPr>
          <w:rFonts w:hint="default"/>
        </w:rPr>
      </w:pPr>
      <w:r>
        <w:rPr>
          <w:rFonts w:hint="default"/>
        </w:rPr>
        <w:t>目标跟踪模型</w:t>
      </w:r>
    </w:p>
    <w:p>
      <w:pPr>
        <w:rPr>
          <w:rFonts w:hint="default"/>
        </w:rPr>
      </w:pPr>
      <w:r>
        <w:rPr>
          <w:rFonts w:hint="default"/>
        </w:rPr>
        <w:t>基于通用跟踪模型，做场景迁移训练。</w:t>
      </w:r>
    </w:p>
    <w:p>
      <w:pPr>
        <w:pStyle w:val="607"/>
        <w:bidi w:val="0"/>
        <w:ind w:left="0" w:leftChars="0" w:firstLine="0" w:firstLineChars="0"/>
        <w:rPr>
          <w:rFonts w:hint="default"/>
        </w:rPr>
      </w:pPr>
      <w:r>
        <w:rPr>
          <w:rFonts w:hint="default"/>
        </w:rPr>
        <w:t>商铺异常事件专业模型</w:t>
      </w:r>
    </w:p>
    <w:p>
      <w:pPr>
        <w:rPr>
          <w:rFonts w:hint="default"/>
        </w:rPr>
      </w:pPr>
      <w:r>
        <w:rPr>
          <w:rFonts w:hint="default"/>
        </w:rPr>
        <w:t>本模</w:t>
      </w:r>
      <w:r>
        <w:rPr>
          <w:rFonts w:hint="eastAsia"/>
          <w:lang w:eastAsia="zh-CN"/>
        </w:rPr>
        <w:t>型</w:t>
      </w:r>
      <w:r>
        <w:rPr>
          <w:rFonts w:hint="default"/>
        </w:rPr>
        <w:t>定位于商铺经营安全与风险管控体系中的智能预警核心，承担对商铺场景内异常行为与突发事件进行自动识别与分级告警的作用，是保障经营秩序与人员安全的重要技术支撑。在功能层面，模型基于视频时序分析与行为模式建模技术，对盗窃行为、打架冲突、异常聚集、长时间滞留、越界进入收银区、夜间非法闯入及可疑徘徊等情况进行识别与分类，并输出事件类型、发生时间、空间位置及关联目标信息；同时支持异常等级评估与告警联动机制，可与门禁系统、报警装置及经营管理平台对接，实现快速响应与事后溯源分析，为商铺安全运营与精细化管理提供实时、精准、可追溯的智能保障能力。</w:t>
      </w:r>
    </w:p>
    <w:p>
      <w:pPr>
        <w:pStyle w:val="607"/>
        <w:bidi w:val="0"/>
        <w:ind w:left="0" w:leftChars="0" w:firstLine="0" w:firstLineChars="0"/>
        <w:rPr>
          <w:rFonts w:hint="default"/>
        </w:rPr>
      </w:pPr>
      <w:r>
        <w:rPr>
          <w:rFonts w:hint="default"/>
        </w:rPr>
        <w:t>人员动作分析专业模型</w:t>
      </w:r>
    </w:p>
    <w:p>
      <w:pPr>
        <w:rPr>
          <w:rFonts w:hint="default"/>
        </w:rPr>
      </w:pPr>
      <w:r>
        <w:rPr>
          <w:rFonts w:hint="default"/>
        </w:rPr>
        <w:t>基于通用</w:t>
      </w:r>
      <w:r>
        <w:rPr>
          <w:rFonts w:hint="eastAsia"/>
          <w:lang w:eastAsia="zh-CN"/>
        </w:rPr>
        <w:t>人员动作</w:t>
      </w:r>
      <w:r>
        <w:rPr>
          <w:rFonts w:hint="default"/>
        </w:rPr>
        <w:t>模型，做场景迁移训练。</w:t>
      </w:r>
    </w:p>
    <w:p>
      <w:pPr>
        <w:pStyle w:val="607"/>
        <w:bidi w:val="0"/>
        <w:ind w:left="0" w:leftChars="0" w:firstLine="0" w:firstLineChars="0"/>
        <w:rPr>
          <w:rFonts w:hint="default"/>
        </w:rPr>
      </w:pPr>
      <w:r>
        <w:rPr>
          <w:rFonts w:hint="default"/>
        </w:rPr>
        <w:t>商铺图理解专业模型</w:t>
      </w:r>
    </w:p>
    <w:p>
      <w:pPr>
        <w:rPr>
          <w:rFonts w:hint="default"/>
        </w:rPr>
      </w:pPr>
      <w:r>
        <w:rPr>
          <w:rFonts w:hint="default"/>
        </w:rPr>
        <w:t>基于通用视图理解模型，做场景迁移训练。</w:t>
      </w:r>
    </w:p>
    <w:p>
      <w:pPr>
        <w:pStyle w:val="607"/>
        <w:bidi w:val="0"/>
        <w:ind w:left="0" w:leftChars="0" w:firstLine="0" w:firstLineChars="0"/>
        <w:rPr>
          <w:rFonts w:hint="default"/>
        </w:rPr>
      </w:pPr>
      <w:r>
        <w:rPr>
          <w:rFonts w:hint="default"/>
        </w:rPr>
        <w:t>商铺视图表征专业模型</w:t>
      </w:r>
    </w:p>
    <w:p>
      <w:pPr>
        <w:rPr>
          <w:rFonts w:hint="default"/>
        </w:rPr>
      </w:pPr>
      <w:r>
        <w:rPr>
          <w:rFonts w:hint="default"/>
        </w:rPr>
        <w:t>基于通用视图</w:t>
      </w:r>
      <w:r>
        <w:rPr>
          <w:rFonts w:hint="eastAsia"/>
          <w:lang w:eastAsia="zh-CN"/>
        </w:rPr>
        <w:t>表征</w:t>
      </w:r>
      <w:r>
        <w:rPr>
          <w:rFonts w:hint="default"/>
        </w:rPr>
        <w:t>模型，做场景迁移训练。</w:t>
      </w:r>
    </w:p>
    <w:p>
      <w:pPr>
        <w:rPr>
          <w:rFonts w:hint="default"/>
        </w:rPr>
      </w:pPr>
    </w:p>
    <w:p>
      <w:pPr>
        <w:pStyle w:val="107"/>
        <w:bidi w:val="0"/>
        <w:ind w:left="0" w:leftChars="0" w:firstLine="0" w:firstLineChars="0"/>
      </w:pPr>
      <w:r>
        <w:rPr>
          <w:rFonts w:hint="eastAsia"/>
        </w:rPr>
        <w:t>明厨亮灶</w:t>
      </w:r>
    </w:p>
    <w:p>
      <w:pPr>
        <w:pStyle w:val="607"/>
        <w:bidi w:val="0"/>
        <w:ind w:left="0" w:leftChars="0" w:firstLine="0" w:firstLineChars="0"/>
        <w:rPr>
          <w:rFonts w:hint="default"/>
        </w:rPr>
      </w:pPr>
      <w:r>
        <w:rPr>
          <w:rFonts w:hint="default"/>
        </w:rPr>
        <w:t>厨房要素解析模型</w:t>
      </w:r>
    </w:p>
    <w:p>
      <w:pPr>
        <w:rPr>
          <w:rFonts w:hint="default"/>
        </w:rPr>
      </w:pPr>
      <w:r>
        <w:rPr>
          <w:rFonts w:hint="default"/>
        </w:rPr>
        <w:t>本模</w:t>
      </w:r>
      <w:r>
        <w:rPr>
          <w:rFonts w:hint="eastAsia"/>
          <w:lang w:eastAsia="zh-CN"/>
        </w:rPr>
        <w:t>型</w:t>
      </w:r>
      <w:r>
        <w:rPr>
          <w:rFonts w:hint="default"/>
        </w:rPr>
        <w:t>定位于厨房安全监管与运营管理体系中的基础感知核心，承担对厨房场景进行全要素结构化解析的作用，为后续行为分析、异常预警与流程监管提供标准化视觉数据支撑。在功能层面，模型除支持对人员、车辆（如配送人员）、门禁出入口等通用目标进行检测外，还针对厨房专业场景进行专项优化，支持对灶台、明火区域、燃气管线、油烟设备、冰箱、操作台、刀具、锅具、消毒柜、垃圾桶等厨房用具与设施进行识别与定位，并输出目标类别、空间位置及状态属性信息；同时可识别用具使用状态（如明火开启、设备运行、刀具暴露等），实现厨房环境与设备状态的数字化表达，为食品安全监管、消防风险防控及后厨规范管理提供可靠的数据基础。</w:t>
      </w:r>
    </w:p>
    <w:p>
      <w:pPr>
        <w:pStyle w:val="607"/>
        <w:bidi w:val="0"/>
        <w:ind w:left="0" w:leftChars="0" w:firstLine="0" w:firstLineChars="0"/>
        <w:rPr>
          <w:rFonts w:hint="default"/>
        </w:rPr>
      </w:pPr>
      <w:r>
        <w:rPr>
          <w:rFonts w:hint="default"/>
        </w:rPr>
        <w:t>目标跟踪模型</w:t>
      </w:r>
    </w:p>
    <w:p>
      <w:pPr>
        <w:rPr>
          <w:rFonts w:hint="default"/>
        </w:rPr>
      </w:pPr>
      <w:r>
        <w:rPr>
          <w:rFonts w:hint="default"/>
        </w:rPr>
        <w:t>基于通用</w:t>
      </w:r>
      <w:r>
        <w:rPr>
          <w:rFonts w:hint="eastAsia"/>
          <w:lang w:eastAsia="zh-CN"/>
        </w:rPr>
        <w:t>目标</w:t>
      </w:r>
      <w:r>
        <w:rPr>
          <w:rFonts w:hint="default"/>
        </w:rPr>
        <w:t>跟踪模型，做场景迁移训练。</w:t>
      </w:r>
    </w:p>
    <w:p>
      <w:pPr>
        <w:pStyle w:val="607"/>
        <w:bidi w:val="0"/>
        <w:ind w:left="0" w:leftChars="0" w:firstLine="0" w:firstLineChars="0"/>
        <w:rPr>
          <w:rFonts w:hint="default"/>
        </w:rPr>
      </w:pPr>
      <w:r>
        <w:rPr>
          <w:rFonts w:hint="default"/>
        </w:rPr>
        <w:t>厨房异常事件专业模型</w:t>
      </w:r>
    </w:p>
    <w:p>
      <w:pPr>
        <w:rPr>
          <w:rFonts w:hint="default"/>
        </w:rPr>
      </w:pPr>
      <w:r>
        <w:rPr>
          <w:rFonts w:hint="default"/>
        </w:rPr>
        <w:t>本模</w:t>
      </w:r>
      <w:r>
        <w:rPr>
          <w:rFonts w:hint="eastAsia"/>
          <w:lang w:eastAsia="zh-CN"/>
        </w:rPr>
        <w:t>型</w:t>
      </w:r>
      <w:r>
        <w:rPr>
          <w:rFonts w:hint="default"/>
        </w:rPr>
        <w:t>定位于餐饮场景安全监管与风险防控体系中的智能预警核心，承担对厨房环境中异常行为、违规操作及安全隐患进行自动识别与分级告警的作用，是保障食品安全与消防安全的重要技术支撑。在功能层面，模型基于视频时序分析与厨房作业规范建模能力，对明火无人值守、燃气泄漏异常征象、油锅起火、违规吸烟、未佩戴厨帽口罩、交叉污染操作、生熟混放、垃圾未及时清理等情况进行识别与分类，并输出事件类型、发生时间、空间位置及关联人员信息；同时支持风险等级评估与联动处置机制，可对接后厨管理系统与消防报警系统，实现实时预警、过程留痕与事后溯源分析，为厨房安全运营与规范管理提供精准、可追溯的智能保障能力。</w:t>
      </w:r>
    </w:p>
    <w:p>
      <w:pPr>
        <w:pStyle w:val="607"/>
        <w:bidi w:val="0"/>
        <w:ind w:left="0" w:leftChars="0" w:firstLine="0" w:firstLineChars="0"/>
        <w:rPr>
          <w:rFonts w:hint="default"/>
        </w:rPr>
      </w:pPr>
      <w:r>
        <w:rPr>
          <w:rFonts w:hint="default"/>
        </w:rPr>
        <w:t>厨房人员动作分析专业模型</w:t>
      </w:r>
    </w:p>
    <w:p>
      <w:pPr>
        <w:rPr>
          <w:rFonts w:hint="default"/>
        </w:rPr>
      </w:pPr>
      <w:r>
        <w:rPr>
          <w:rFonts w:hint="default"/>
        </w:rPr>
        <w:t>本模</w:t>
      </w:r>
      <w:r>
        <w:rPr>
          <w:rFonts w:hint="eastAsia"/>
          <w:lang w:eastAsia="zh-CN"/>
        </w:rPr>
        <w:t>型</w:t>
      </w:r>
      <w:r>
        <w:rPr>
          <w:rFonts w:hint="default"/>
        </w:rPr>
        <w:t>定位于餐饮后厨规范作业与食品安全监管体系中的行为识别核心能力单元，承担对厨房人员操作动作进行精细化识别与合规性分析的作用，是实现标准化作业监督与风险预防的重要技术支撑。在功能层面，模型基于人体关键点识别与时序动作建模技术，对切配操作、烹饪翻炒、端取热锅、清洗消毒、食材分拣等常规动作进行识别，同时对违规动作行为如生熟交叉处理、徒手接触熟食、未佩戴防护装备、长时间离岗未关闭火源、违规吸烟等进行检测与分类；并结合操作时长、空间区域及作业流程规则进行合规性判定与风险等级评估，输出结构化行为标签与告警信息，为后厨安全管理与品质控制提供实时、精准的行为分析支撑能力。</w:t>
      </w:r>
    </w:p>
    <w:p>
      <w:pPr>
        <w:pStyle w:val="607"/>
        <w:bidi w:val="0"/>
        <w:ind w:left="0" w:leftChars="0" w:firstLine="0" w:firstLineChars="0"/>
        <w:rPr>
          <w:rFonts w:hint="default"/>
        </w:rPr>
      </w:pPr>
      <w:r>
        <w:rPr>
          <w:rFonts w:hint="default"/>
        </w:rPr>
        <w:t>厨房视图理解专业模型</w:t>
      </w:r>
    </w:p>
    <w:p>
      <w:pPr>
        <w:rPr>
          <w:rFonts w:hint="default"/>
        </w:rPr>
      </w:pPr>
      <w:r>
        <w:rPr>
          <w:rFonts w:hint="default"/>
        </w:rPr>
        <w:t>基于通用</w:t>
      </w:r>
      <w:r>
        <w:rPr>
          <w:rFonts w:hint="eastAsia"/>
          <w:lang w:eastAsia="zh-CN"/>
        </w:rPr>
        <w:t>视图理解</w:t>
      </w:r>
      <w:r>
        <w:rPr>
          <w:rFonts w:hint="default"/>
        </w:rPr>
        <w:t>模型，做场景迁移训练。</w:t>
      </w:r>
    </w:p>
    <w:p>
      <w:pPr>
        <w:pStyle w:val="607"/>
        <w:bidi w:val="0"/>
        <w:ind w:left="0" w:leftChars="0" w:firstLine="0" w:firstLineChars="0"/>
        <w:rPr>
          <w:rFonts w:hint="default"/>
        </w:rPr>
      </w:pPr>
      <w:r>
        <w:rPr>
          <w:rFonts w:hint="default"/>
        </w:rPr>
        <w:t>厨房视图表征专业模型</w:t>
      </w:r>
    </w:p>
    <w:p>
      <w:r>
        <w:rPr>
          <w:rFonts w:hint="default"/>
        </w:rPr>
        <w:t>基于通用</w:t>
      </w:r>
      <w:r>
        <w:rPr>
          <w:rFonts w:hint="eastAsia"/>
          <w:lang w:eastAsia="zh-CN"/>
        </w:rPr>
        <w:t>视图表征</w:t>
      </w:r>
      <w:r>
        <w:rPr>
          <w:rFonts w:hint="default"/>
        </w:rPr>
        <w:t>模型，做场景迁移训练。</w:t>
      </w:r>
    </w:p>
    <w:p>
      <w:pPr>
        <w:pStyle w:val="107"/>
        <w:bidi w:val="0"/>
        <w:ind w:left="0" w:leftChars="0" w:firstLine="0" w:firstLineChars="0"/>
      </w:pPr>
      <w:r>
        <w:rPr>
          <w:rFonts w:hint="eastAsia"/>
        </w:rPr>
        <w:t>环保安防</w:t>
      </w:r>
    </w:p>
    <w:p>
      <w:pPr>
        <w:pStyle w:val="110"/>
        <w:bidi w:val="0"/>
        <w:ind w:left="0" w:leftChars="0" w:firstLine="0" w:firstLineChars="0"/>
        <w:rPr>
          <w:rFonts w:hint="default"/>
        </w:rPr>
      </w:pPr>
      <w:r>
        <w:rPr>
          <w:rFonts w:hint="default"/>
        </w:rPr>
        <w:t>环保要素解析模型</w:t>
      </w:r>
    </w:p>
    <w:p>
      <w:pPr>
        <w:rPr>
          <w:rFonts w:hint="default"/>
        </w:rPr>
      </w:pPr>
      <w:r>
        <w:rPr>
          <w:rFonts w:hint="default"/>
        </w:rPr>
        <w:t>本模</w:t>
      </w:r>
      <w:r>
        <w:rPr>
          <w:rFonts w:hint="eastAsia"/>
          <w:lang w:eastAsia="zh-CN"/>
        </w:rPr>
        <w:t>型</w:t>
      </w:r>
      <w:r>
        <w:rPr>
          <w:rFonts w:hint="default"/>
        </w:rPr>
        <w:t>定位于生态环境监测与治理体系中的基础感知核心，承担对环境监控视频及图像数据进行全要素结构化解析的作用，为污染识别、风险研判与执法监管提供标准化数据支撑。在功能层面，模型支持对河道水体、烟囱排放、扬尘区域、垃圾堆放、渣土车辆、裸土覆盖情况、植被状态及相关作业设备等要素进行检测与分类，并输出目标类别、空间位置及状态属性信息；同时具备适应复杂光照、远距离观测及气候变化条件的鲁棒性，实现环境要素的数字化表达与动态监测，为环保巡查、污染溯源及治理评估提供可靠的视觉数据基础。</w:t>
      </w:r>
    </w:p>
    <w:p>
      <w:pPr>
        <w:pStyle w:val="110"/>
        <w:bidi w:val="0"/>
        <w:ind w:left="0" w:leftChars="0" w:firstLine="0" w:firstLineChars="0"/>
        <w:rPr>
          <w:rFonts w:hint="default"/>
        </w:rPr>
      </w:pPr>
      <w:r>
        <w:rPr>
          <w:rFonts w:hint="default"/>
        </w:rPr>
        <w:t>目标跟踪模型</w:t>
      </w:r>
    </w:p>
    <w:p>
      <w:pPr>
        <w:rPr>
          <w:rFonts w:hint="default"/>
        </w:rPr>
      </w:pPr>
      <w:r>
        <w:rPr>
          <w:rFonts w:hint="default"/>
        </w:rPr>
        <w:t>基于通用</w:t>
      </w:r>
      <w:r>
        <w:rPr>
          <w:rFonts w:hint="eastAsia"/>
          <w:lang w:eastAsia="zh-CN"/>
        </w:rPr>
        <w:t>目标跟踪</w:t>
      </w:r>
      <w:r>
        <w:rPr>
          <w:rFonts w:hint="default"/>
        </w:rPr>
        <w:t>模型，做场景迁移训练。</w:t>
      </w:r>
    </w:p>
    <w:p>
      <w:pPr>
        <w:pStyle w:val="110"/>
        <w:bidi w:val="0"/>
        <w:ind w:left="0" w:leftChars="0" w:firstLine="0" w:firstLineChars="0"/>
        <w:rPr>
          <w:rFonts w:hint="default"/>
        </w:rPr>
      </w:pPr>
      <w:r>
        <w:rPr>
          <w:rFonts w:hint="default"/>
        </w:rPr>
        <w:t>环保异常事件专业模型</w:t>
      </w:r>
    </w:p>
    <w:p>
      <w:pPr>
        <w:rPr>
          <w:rFonts w:hint="default"/>
        </w:rPr>
      </w:pPr>
      <w:r>
        <w:rPr>
          <w:rFonts w:hint="default"/>
        </w:rPr>
        <w:t>本模</w:t>
      </w:r>
      <w:r>
        <w:rPr>
          <w:rFonts w:hint="eastAsia"/>
          <w:lang w:eastAsia="zh-CN"/>
        </w:rPr>
        <w:t>型</w:t>
      </w:r>
      <w:r>
        <w:rPr>
          <w:rFonts w:hint="default"/>
        </w:rPr>
        <w:t>定位于生态环境监管与污染防控体系中的智能预警核心，承担对环境监控场景中异常排放与违规行为进行自动识别、快速研判与分级告警的作用，是提升环保执法效率与精准监管能力的重要技术支撑。在功能层面，模型基于视频时序分析与环境要素建模能力，对异常烟气排放、黑烟超标、扬尘异常升高、露天焚烧、非法倾倒垃圾、渣土车违规覆盖不严及水体异常颜色变化等情况进行识别与分类，并输出事件类型、发生时间、空间位置及关联主体信息；同时支持风险等级评估与联动处置机制，可对接环保监管平台与执法流程，实现实时预警、证据留存与事后溯源分析，为环境治理与污染防控提供精准、可追溯的智能化支撑能力。</w:t>
      </w:r>
    </w:p>
    <w:p>
      <w:pPr>
        <w:pStyle w:val="110"/>
        <w:bidi w:val="0"/>
        <w:ind w:left="0" w:leftChars="0" w:firstLine="0" w:firstLineChars="0"/>
        <w:rPr>
          <w:rFonts w:hint="default"/>
        </w:rPr>
      </w:pPr>
      <w:r>
        <w:rPr>
          <w:rFonts w:hint="default"/>
        </w:rPr>
        <w:t>环保视图理解专业模型</w:t>
      </w:r>
    </w:p>
    <w:p>
      <w:pPr>
        <w:rPr>
          <w:rFonts w:hint="default"/>
        </w:rPr>
      </w:pPr>
      <w:r>
        <w:rPr>
          <w:rFonts w:hint="default"/>
        </w:rPr>
        <w:t>基于通用</w:t>
      </w:r>
      <w:r>
        <w:rPr>
          <w:rFonts w:hint="eastAsia"/>
          <w:lang w:eastAsia="zh-CN"/>
        </w:rPr>
        <w:t>视图理解</w:t>
      </w:r>
      <w:r>
        <w:rPr>
          <w:rFonts w:hint="default"/>
        </w:rPr>
        <w:t>模型，做场景迁移训练。</w:t>
      </w:r>
    </w:p>
    <w:p>
      <w:pPr>
        <w:pStyle w:val="110"/>
        <w:bidi w:val="0"/>
        <w:ind w:left="0" w:leftChars="0" w:firstLine="0" w:firstLineChars="0"/>
        <w:rPr>
          <w:rFonts w:hint="default"/>
        </w:rPr>
      </w:pPr>
      <w:r>
        <w:rPr>
          <w:rFonts w:hint="default"/>
        </w:rPr>
        <w:t>环保视图表征专业模型</w:t>
      </w:r>
    </w:p>
    <w:p>
      <w:r>
        <w:rPr>
          <w:rFonts w:hint="default"/>
        </w:rPr>
        <w:t>基于通用</w:t>
      </w:r>
      <w:r>
        <w:rPr>
          <w:rFonts w:hint="eastAsia"/>
          <w:lang w:eastAsia="zh-CN"/>
        </w:rPr>
        <w:t>视图表征</w:t>
      </w:r>
      <w:r>
        <w:rPr>
          <w:rFonts w:hint="default"/>
        </w:rPr>
        <w:t>模型，做场景迁移训练。</w:t>
      </w:r>
    </w:p>
    <w:p>
      <w:pPr>
        <w:pStyle w:val="107"/>
        <w:bidi w:val="0"/>
        <w:ind w:left="0" w:leftChars="0" w:firstLine="0" w:firstLineChars="0"/>
      </w:pPr>
      <w:r>
        <w:rPr>
          <w:rFonts w:hint="eastAsia"/>
        </w:rPr>
        <w:t>平安工地</w:t>
      </w:r>
    </w:p>
    <w:p>
      <w:pPr>
        <w:pStyle w:val="607"/>
        <w:bidi w:val="0"/>
        <w:ind w:left="0" w:leftChars="0" w:firstLine="0" w:firstLineChars="0"/>
        <w:rPr>
          <w:rFonts w:hint="default"/>
        </w:rPr>
      </w:pPr>
      <w:r>
        <w:rPr>
          <w:rFonts w:hint="default"/>
        </w:rPr>
        <w:t>工地要素解析模型</w:t>
      </w:r>
    </w:p>
    <w:p>
      <w:pPr>
        <w:rPr>
          <w:rFonts w:hint="default"/>
        </w:rPr>
      </w:pPr>
      <w:r>
        <w:rPr>
          <w:rFonts w:hint="default"/>
        </w:rPr>
        <w:t>本模</w:t>
      </w:r>
      <w:r>
        <w:rPr>
          <w:rFonts w:hint="eastAsia"/>
          <w:lang w:eastAsia="zh-CN"/>
        </w:rPr>
        <w:t>型</w:t>
      </w:r>
      <w:r>
        <w:rPr>
          <w:rFonts w:hint="default"/>
        </w:rPr>
        <w:t>定位于施工现场智能监管体系中的基础感知核心，承担对工地场景进行全要素结构化解析的作用，为安全管理、作业监督与风险识别提供标准化视觉数据支撑。在功能层面，模型支持对施工人员、工程车辆、塔吊设备、脚手架、物料堆放区、安全防护设施及作业区域边界等要素进行检测与分类，并输出目标类别、空间位置、数量统计及基础属性信息；同时可适应粉尘、强光、遮挡及复杂动态环境，实现对施工现场运行状态的全面数字化表达，为安全生产管理与精细化施工监管提供可靠的数据基础。</w:t>
      </w:r>
    </w:p>
    <w:p>
      <w:pPr>
        <w:pStyle w:val="607"/>
        <w:bidi w:val="0"/>
        <w:ind w:left="0" w:leftChars="0" w:firstLine="0" w:firstLineChars="0"/>
        <w:rPr>
          <w:rFonts w:hint="default"/>
        </w:rPr>
      </w:pPr>
      <w:r>
        <w:rPr>
          <w:rFonts w:hint="default"/>
        </w:rPr>
        <w:t>目标跟踪模型</w:t>
      </w:r>
    </w:p>
    <w:p>
      <w:pPr>
        <w:rPr>
          <w:rFonts w:hint="default"/>
        </w:rPr>
      </w:pPr>
      <w:r>
        <w:rPr>
          <w:rFonts w:hint="default"/>
        </w:rPr>
        <w:t>基于通用</w:t>
      </w:r>
      <w:r>
        <w:rPr>
          <w:rFonts w:hint="eastAsia"/>
          <w:lang w:eastAsia="zh-CN"/>
        </w:rPr>
        <w:t>目标跟踪</w:t>
      </w:r>
      <w:r>
        <w:rPr>
          <w:rFonts w:hint="default"/>
        </w:rPr>
        <w:t>模型，做场景迁移训练。</w:t>
      </w:r>
    </w:p>
    <w:p>
      <w:pPr>
        <w:pStyle w:val="607"/>
        <w:bidi w:val="0"/>
        <w:ind w:left="0" w:leftChars="0" w:firstLine="0" w:firstLineChars="0"/>
        <w:rPr>
          <w:rFonts w:hint="default"/>
        </w:rPr>
      </w:pPr>
      <w:r>
        <w:rPr>
          <w:rFonts w:hint="default"/>
        </w:rPr>
        <w:t>工地异常事件专业模型</w:t>
      </w:r>
    </w:p>
    <w:p>
      <w:pPr>
        <w:rPr>
          <w:rFonts w:hint="default"/>
        </w:rPr>
      </w:pPr>
      <w:r>
        <w:rPr>
          <w:rFonts w:hint="default"/>
        </w:rPr>
        <w:t>本模</w:t>
      </w:r>
      <w:r>
        <w:rPr>
          <w:rFonts w:hint="eastAsia"/>
          <w:lang w:eastAsia="zh-CN"/>
        </w:rPr>
        <w:t>型</w:t>
      </w:r>
      <w:r>
        <w:rPr>
          <w:rFonts w:hint="default"/>
        </w:rPr>
        <w:t>定位于施工现场安全生产与风险防控体系中的智能预警核心，承担对工地场景中异常行为、违规作业及突发安全事件进行自动识别与分级告警的作用，是实现安全生产闭环管理的重要技术支撑。在功能层面，模型基于视频时序分析与作业规范规则建模能力，对未佩戴安全帽或反光衣、危险区域违规进入、高空抛物、人员跌落、机械设备异常运行、明火作业异常及异常聚集等情况进行识别与分类，并输出事件类型、发生时间、空间位置及关联目标信息；同时支持风险等级评估与联动响应机制，可与现场管理平台、广播系统及应急处置流程对接，实现实时预警、过程留痕与事后溯源分析，为施工现场安全监管与生产管理提供精准、可靠的智能保障能力。</w:t>
      </w:r>
    </w:p>
    <w:p>
      <w:pPr>
        <w:pStyle w:val="607"/>
        <w:bidi w:val="0"/>
        <w:ind w:left="0" w:leftChars="0" w:firstLine="0" w:firstLineChars="0"/>
        <w:rPr>
          <w:rFonts w:hint="default"/>
        </w:rPr>
      </w:pPr>
      <w:r>
        <w:rPr>
          <w:rFonts w:hint="default"/>
        </w:rPr>
        <w:t>人员动作分析专业模型</w:t>
      </w:r>
    </w:p>
    <w:p>
      <w:pPr>
        <w:rPr>
          <w:rFonts w:hint="default"/>
        </w:rPr>
      </w:pPr>
      <w:r>
        <w:rPr>
          <w:rFonts w:hint="default"/>
        </w:rPr>
        <w:t>本模</w:t>
      </w:r>
      <w:r>
        <w:rPr>
          <w:rFonts w:hint="eastAsia"/>
          <w:lang w:eastAsia="zh-CN"/>
        </w:rPr>
        <w:t>型</w:t>
      </w:r>
      <w:r>
        <w:rPr>
          <w:rFonts w:hint="default"/>
        </w:rPr>
        <w:t>定位于施工现场安全生产监管体系中的行为识别核心能力单元，承担对作业人员动作行为进行精细化识别与合规性分析的作用，是实现风险预防与规范作业管理的重要技术支撑。在功能层面，模型基于人体检测与关键点识别技术，结合时序动作建模算法，对攀爬作业、弯腰搬运、高空作业姿态、跌倒滑落、违规跨越防护区、未规范操作机械设备等动作进行识别与分类，并结合安全规范规则进行合规性判定与风险等级评估；同时支持异常动作实时告警与行为数据结构化输出，可为安全巡检、作业监管及事故预防提供精准、可量化的智能分析能力。</w:t>
      </w:r>
    </w:p>
    <w:p>
      <w:pPr>
        <w:pStyle w:val="607"/>
        <w:bidi w:val="0"/>
        <w:ind w:left="0" w:leftChars="0" w:firstLine="0" w:firstLineChars="0"/>
        <w:rPr>
          <w:rFonts w:hint="default"/>
        </w:rPr>
      </w:pPr>
      <w:r>
        <w:rPr>
          <w:rFonts w:hint="default"/>
        </w:rPr>
        <w:t>工地视图理解专业模型</w:t>
      </w:r>
    </w:p>
    <w:p>
      <w:pPr>
        <w:rPr>
          <w:rFonts w:hint="default"/>
        </w:rPr>
      </w:pPr>
      <w:r>
        <w:rPr>
          <w:rFonts w:hint="default"/>
        </w:rPr>
        <w:t>基于通用</w:t>
      </w:r>
      <w:r>
        <w:rPr>
          <w:rFonts w:hint="eastAsia"/>
          <w:lang w:eastAsia="zh-CN"/>
        </w:rPr>
        <w:t>视图理解</w:t>
      </w:r>
      <w:r>
        <w:rPr>
          <w:rFonts w:hint="default"/>
        </w:rPr>
        <w:t>模型，做场景迁移训练。</w:t>
      </w:r>
    </w:p>
    <w:p>
      <w:pPr>
        <w:pStyle w:val="607"/>
        <w:bidi w:val="0"/>
        <w:ind w:left="0" w:leftChars="0" w:firstLine="0" w:firstLineChars="0"/>
        <w:rPr>
          <w:rFonts w:hint="default"/>
        </w:rPr>
      </w:pPr>
      <w:r>
        <w:rPr>
          <w:rFonts w:hint="default"/>
        </w:rPr>
        <w:t>工地视图表征专业模型</w:t>
      </w:r>
    </w:p>
    <w:p>
      <w:r>
        <w:rPr>
          <w:rFonts w:hint="default"/>
        </w:rPr>
        <w:t>基于通用</w:t>
      </w:r>
      <w:r>
        <w:rPr>
          <w:rFonts w:hint="eastAsia"/>
          <w:lang w:eastAsia="zh-CN"/>
        </w:rPr>
        <w:t>视图表征</w:t>
      </w:r>
      <w:r>
        <w:rPr>
          <w:rFonts w:hint="default"/>
        </w:rPr>
        <w:t>模型，做场景迁移训练。</w:t>
      </w:r>
    </w:p>
    <w:p>
      <w:pPr>
        <w:pStyle w:val="107"/>
        <w:bidi w:val="0"/>
        <w:ind w:left="0" w:leftChars="0" w:firstLine="0" w:firstLineChars="0"/>
      </w:pPr>
      <w:r>
        <w:rPr>
          <w:rFonts w:hint="eastAsia"/>
        </w:rPr>
        <w:t>平安铁路</w:t>
      </w:r>
    </w:p>
    <w:p>
      <w:pPr>
        <w:pStyle w:val="607"/>
        <w:bidi w:val="0"/>
        <w:ind w:left="0" w:leftChars="0" w:firstLine="0" w:firstLineChars="0"/>
        <w:rPr>
          <w:rFonts w:hint="default"/>
        </w:rPr>
      </w:pPr>
      <w:r>
        <w:rPr>
          <w:rFonts w:hint="default"/>
        </w:rPr>
        <w:t>铁路要素解析模型</w:t>
      </w:r>
    </w:p>
    <w:p>
      <w:pPr>
        <w:rPr>
          <w:rFonts w:hint="default"/>
        </w:rPr>
      </w:pPr>
      <w:r>
        <w:rPr>
          <w:rFonts w:hint="default"/>
        </w:rPr>
        <w:t>基于通用</w:t>
      </w:r>
      <w:r>
        <w:rPr>
          <w:rFonts w:hint="eastAsia"/>
          <w:lang w:eastAsia="zh-CN"/>
        </w:rPr>
        <w:t>要素</w:t>
      </w:r>
      <w:r>
        <w:rPr>
          <w:rFonts w:hint="default"/>
        </w:rPr>
        <w:t>模型，做场景迁移训练。</w:t>
      </w:r>
    </w:p>
    <w:p>
      <w:pPr>
        <w:pStyle w:val="607"/>
        <w:bidi w:val="0"/>
        <w:ind w:left="0" w:leftChars="0" w:firstLine="0" w:firstLineChars="0"/>
        <w:rPr>
          <w:rFonts w:hint="default"/>
        </w:rPr>
      </w:pPr>
      <w:r>
        <w:rPr>
          <w:rFonts w:hint="default"/>
        </w:rPr>
        <w:t>目标跟踪模型</w:t>
      </w:r>
    </w:p>
    <w:p>
      <w:pPr>
        <w:rPr>
          <w:rFonts w:hint="default"/>
        </w:rPr>
      </w:pPr>
      <w:r>
        <w:rPr>
          <w:rFonts w:hint="default"/>
        </w:rPr>
        <w:t>基于通用</w:t>
      </w:r>
      <w:r>
        <w:rPr>
          <w:rFonts w:hint="eastAsia"/>
          <w:lang w:eastAsia="zh-CN"/>
        </w:rPr>
        <w:t>目标跟踪</w:t>
      </w:r>
      <w:r>
        <w:rPr>
          <w:rFonts w:hint="default"/>
        </w:rPr>
        <w:t>模型，做场景迁移训练。</w:t>
      </w:r>
    </w:p>
    <w:p>
      <w:pPr>
        <w:pStyle w:val="607"/>
        <w:bidi w:val="0"/>
        <w:ind w:left="0" w:leftChars="0" w:firstLine="0" w:firstLineChars="0"/>
        <w:rPr>
          <w:rFonts w:hint="default"/>
        </w:rPr>
      </w:pPr>
      <w:r>
        <w:rPr>
          <w:rFonts w:hint="default"/>
        </w:rPr>
        <w:t>铁路异常事件专业模型</w:t>
      </w:r>
    </w:p>
    <w:p>
      <w:pPr>
        <w:rPr>
          <w:rFonts w:hint="default"/>
        </w:rPr>
      </w:pPr>
      <w:r>
        <w:rPr>
          <w:rFonts w:hint="default"/>
        </w:rPr>
        <w:t>本模</w:t>
      </w:r>
      <w:r>
        <w:rPr>
          <w:rFonts w:hint="eastAsia"/>
          <w:lang w:eastAsia="zh-CN"/>
        </w:rPr>
        <w:t>型</w:t>
      </w:r>
      <w:r>
        <w:rPr>
          <w:rFonts w:hint="default"/>
        </w:rPr>
        <w:t>定位于铁路运营安全保障体系中的智能风险识别核心，承担对铁路沿线及站场场景中的异常行为与突发事件进行自动检测、快速研判与分级预警的作用，是保障行车安全与运营稳定的重要技术支撑。在功能层面，模型基于视频时序分析与场景规则建模能力，对人员侵入轨道、翻越围栏、滞留线路、抛掷异物、设备异常状态、烟火异常及可疑聚集等情况进行识别与分类，并输出事件类型、发生时间、空间位置及关联目标信息；同时支持风险等级评估与联动处置机制，可与调度系统、报警系统及应急响应流程对接，实现实时告警、闭环处置与事后溯源分析，为铁路运行安全与综合管控提供高可靠性的智能预警能力。</w:t>
      </w:r>
    </w:p>
    <w:p>
      <w:pPr>
        <w:pStyle w:val="607"/>
        <w:bidi w:val="0"/>
        <w:ind w:left="0" w:leftChars="0" w:firstLine="0" w:firstLineChars="0"/>
        <w:rPr>
          <w:rFonts w:hint="default"/>
        </w:rPr>
      </w:pPr>
      <w:r>
        <w:rPr>
          <w:rFonts w:hint="default"/>
        </w:rPr>
        <w:t>人员动作分析专业模型</w:t>
      </w:r>
    </w:p>
    <w:p>
      <w:pPr>
        <w:rPr>
          <w:rFonts w:hint="default"/>
        </w:rPr>
      </w:pPr>
      <w:r>
        <w:rPr>
          <w:rFonts w:hint="default"/>
        </w:rPr>
        <w:t>本模</w:t>
      </w:r>
      <w:r>
        <w:rPr>
          <w:rFonts w:hint="eastAsia"/>
          <w:lang w:eastAsia="zh-CN"/>
        </w:rPr>
        <w:t>型</w:t>
      </w:r>
      <w:r>
        <w:rPr>
          <w:rFonts w:hint="default"/>
        </w:rPr>
        <w:t>定位于智能视觉体系中的行为识别核心能力单元，承担对监控场景中个体及群体动作进行精细化识别与动态分析的作用，是实现异常预警、行为研判与风险防控的重要基础模块。在功能层面，模型基于人体关键点检测与时序动作建模技术，对奔跑、跌倒、推搡、攀爬、尾随、徘徊、聚集等动作进行识别与分类，并结合动作持续时间、空间位置及行为频次进行综合判定；同时支持动作模式建模与风险等级评估，可输出结构化行为数据及告警信息，为安防管理、秩序维护与智能监管系统提供实时、精准的行为分析能力支撑。</w:t>
      </w:r>
    </w:p>
    <w:p>
      <w:pPr>
        <w:pStyle w:val="607"/>
        <w:bidi w:val="0"/>
        <w:ind w:left="0" w:leftChars="0" w:firstLine="0" w:firstLineChars="0"/>
        <w:rPr>
          <w:rFonts w:hint="default"/>
        </w:rPr>
      </w:pPr>
      <w:r>
        <w:rPr>
          <w:rFonts w:hint="default"/>
        </w:rPr>
        <w:t>铁路视图理解专业模型</w:t>
      </w:r>
    </w:p>
    <w:p>
      <w:pPr>
        <w:rPr>
          <w:rFonts w:hint="default"/>
        </w:rPr>
      </w:pPr>
      <w:r>
        <w:rPr>
          <w:rFonts w:hint="default"/>
        </w:rPr>
        <w:t>基于通用</w:t>
      </w:r>
      <w:r>
        <w:rPr>
          <w:rFonts w:hint="eastAsia"/>
          <w:lang w:eastAsia="zh-CN"/>
        </w:rPr>
        <w:t>视图理解</w:t>
      </w:r>
      <w:r>
        <w:rPr>
          <w:rFonts w:hint="default"/>
        </w:rPr>
        <w:t>模型，做场景迁移训练。</w:t>
      </w:r>
    </w:p>
    <w:p>
      <w:pPr>
        <w:pStyle w:val="607"/>
        <w:bidi w:val="0"/>
        <w:ind w:left="0" w:leftChars="0" w:firstLine="0" w:firstLineChars="0"/>
        <w:rPr>
          <w:rFonts w:hint="default"/>
        </w:rPr>
      </w:pPr>
      <w:r>
        <w:rPr>
          <w:rFonts w:hint="default"/>
        </w:rPr>
        <w:t>铁路视图表征专业模型</w:t>
      </w:r>
    </w:p>
    <w:p>
      <w:r>
        <w:rPr>
          <w:rFonts w:hint="default"/>
        </w:rPr>
        <w:t>基于通用</w:t>
      </w:r>
      <w:r>
        <w:rPr>
          <w:rFonts w:hint="eastAsia"/>
          <w:lang w:eastAsia="zh-CN"/>
        </w:rPr>
        <w:t>视图表征</w:t>
      </w:r>
      <w:r>
        <w:rPr>
          <w:rFonts w:hint="default"/>
        </w:rPr>
        <w:t>模型，做场景迁移训练。</w:t>
      </w:r>
    </w:p>
    <w:p>
      <w:pPr>
        <w:ind w:firstLine="560"/>
      </w:pPr>
    </w:p>
    <w:p>
      <w:pPr>
        <w:ind w:firstLine="560"/>
      </w:pPr>
    </w:p>
    <w:p>
      <w:pPr>
        <w:pStyle w:val="109"/>
        <w:bidi w:val="0"/>
        <w:ind w:left="0" w:leftChars="0" w:firstLine="0" w:firstLineChars="0"/>
      </w:pPr>
      <w:r>
        <w:rPr>
          <w:rFonts w:hint="eastAsia"/>
        </w:rPr>
        <w:t>安防行业评测工具集</w:t>
      </w:r>
    </w:p>
    <w:p>
      <w:pPr>
        <w:pStyle w:val="107"/>
        <w:bidi w:val="0"/>
        <w:ind w:left="0" w:leftChars="0" w:firstLine="0" w:firstLineChars="0"/>
      </w:pPr>
      <w:r>
        <w:rPr>
          <w:rFonts w:hint="eastAsia"/>
          <w:lang w:eastAsia="zh-CN"/>
        </w:rPr>
        <w:t>构建</w:t>
      </w:r>
      <w:r>
        <w:t>面向安防应用的测评体系</w:t>
      </w:r>
    </w:p>
    <w:p>
      <w:pPr>
        <w:pStyle w:val="112"/>
        <w:ind w:firstLine="560"/>
      </w:pPr>
      <w:r>
        <w:t>大模型评测的核心目的是科学客观评估模型的性能、特点、价值、局限性和潜在风险，并为其应用提供支持，为行业应用的发展提供方向。但直接将现有的多模态评估基准应用到安防场景上并不能完全符合安防应用需求，同时，目前现有的多模态大模型测评缺乏标准的定量的分析和比较，主要表现在：</w:t>
      </w:r>
    </w:p>
    <w:p>
      <w:pPr>
        <w:pStyle w:val="112"/>
        <w:ind w:firstLine="560"/>
      </w:pPr>
      <w:r>
        <w:t>1、缺少统一标准：很多综合的测评体系如HELM、OpenCompass和FlagEval等，在某些数据集上有所交集，例如C-Eval、CMMLU和MMLU，但它们也都有各自独特的测评项。</w:t>
      </w:r>
    </w:p>
    <w:p>
      <w:pPr>
        <w:pStyle w:val="112"/>
        <w:ind w:firstLine="560"/>
      </w:pPr>
      <w:r>
        <w:t>2、评测策略的多变性：同一数据集可能因为评测策略的不同而导致模型得分的巨大差异。例如，Prompt构建时的轻微区别、多一个回车或者冒号，都会导致不同的测评结果不同；开源模型的最终答案是按照最终输出的字符还是按照选项的概率确定，也都会导致得分不同。</w:t>
      </w:r>
    </w:p>
    <w:p>
      <w:pPr>
        <w:pStyle w:val="112"/>
        <w:ind w:firstLine="560"/>
      </w:pPr>
      <w:r>
        <w:t>3、数据泄露：为了提升模型排名，部分厂商选择走捷径——将能力强的模型的知识蒸馏喂给自家模型，以及将基准问题直接混进训练集，这样得到的测评出的能力并非模型真正的泛化能力</w:t>
      </w:r>
    </w:p>
    <w:p>
      <w:pPr>
        <w:pStyle w:val="112"/>
        <w:ind w:firstLine="560"/>
      </w:pPr>
      <w:r>
        <w:t>4、人工评测的主观性：人的评价往往带有主观性，这可能会对评测结果产生不同程度的偏见。</w:t>
      </w:r>
    </w:p>
    <w:p>
      <w:pPr>
        <w:pStyle w:val="112"/>
        <w:ind w:firstLine="560"/>
      </w:pPr>
      <w:r>
        <w:t>5、缺乏针对行业应用的测评：目前种类繁多的测评方式均是构建在开放多元的应用场景上的，多应用于学术研究而较少针对行业应用，尤其针对安防行业应用。</w:t>
      </w:r>
    </w:p>
    <w:p>
      <w:pPr>
        <w:pStyle w:val="112"/>
        <w:ind w:firstLine="560"/>
      </w:pPr>
      <w:r>
        <w:t>基于上述考虑，基地将从大模型测评的理论和原则出发，建立多模态安防大模型的测评方案，同时建设面向安防应用的数据集，构建相关测评工具平台，实施规范化的测评流程，形成面向安防应用的、统一、全面、可靠且易于使用的多模态大模型测评体系。</w:t>
      </w:r>
    </w:p>
    <w:p>
      <w:pPr>
        <w:pStyle w:val="112"/>
        <w:ind w:firstLine="560"/>
      </w:pPr>
    </w:p>
    <w:p>
      <w:pPr>
        <w:keepNext/>
        <w:ind w:firstLine="0" w:firstLineChars="0"/>
        <w:jc w:val="center"/>
      </w:pPr>
      <w:r>
        <w:drawing>
          <wp:inline distT="0" distB="0" distL="114300" distR="114300">
            <wp:extent cx="5562600" cy="2912745"/>
            <wp:effectExtent l="0" t="0" r="0" b="1905"/>
            <wp:docPr id="12"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8"/>
                    <pic:cNvPicPr>
                      <a:picLocks noChangeAspect="1"/>
                    </pic:cNvPicPr>
                  </pic:nvPicPr>
                  <pic:blipFill>
                    <a:blip r:embed="rId45"/>
                    <a:stretch>
                      <a:fillRect/>
                    </a:stretch>
                  </pic:blipFill>
                  <pic:spPr>
                    <a:xfrm>
                      <a:off x="0" y="0"/>
                      <a:ext cx="5562600" cy="2912745"/>
                    </a:xfrm>
                    <a:prstGeom prst="rect">
                      <a:avLst/>
                    </a:prstGeom>
                    <a:noFill/>
                    <a:ln>
                      <a:noFill/>
                    </a:ln>
                  </pic:spPr>
                </pic:pic>
              </a:graphicData>
            </a:graphic>
          </wp:inline>
        </w:drawing>
      </w:r>
    </w:p>
    <w:p>
      <w:pPr>
        <w:pStyle w:val="24"/>
        <w:spacing w:before="156"/>
      </w:pPr>
      <w:bookmarkStart w:id="59" w:name="_Toc197702721"/>
      <w:r>
        <w:t>图</w:t>
      </w:r>
      <w:r>
        <w:fldChar w:fldCharType="begin"/>
      </w:r>
      <w:r>
        <w:instrText xml:space="preserve"> SEQ 图 \* ARABIC </w:instrText>
      </w:r>
      <w:r>
        <w:fldChar w:fldCharType="separate"/>
      </w:r>
      <w:r>
        <w:t>81</w:t>
      </w:r>
      <w:r>
        <w:fldChar w:fldCharType="end"/>
      </w:r>
      <w:r>
        <w:t xml:space="preserve"> 测评体系结构图</w:t>
      </w:r>
      <w:bookmarkEnd w:id="59"/>
    </w:p>
    <w:p>
      <w:pPr>
        <w:ind w:firstLine="560"/>
      </w:pPr>
    </w:p>
    <w:p/>
    <w:p>
      <w:pPr>
        <w:pStyle w:val="607"/>
        <w:bidi w:val="0"/>
        <w:ind w:left="0" w:leftChars="0" w:firstLine="0" w:firstLineChars="0"/>
      </w:pPr>
      <w:r>
        <w:t>评价模型</w:t>
      </w:r>
    </w:p>
    <w:p>
      <w:pPr>
        <w:ind w:firstLine="417" w:firstLineChars="149"/>
        <w:rPr>
          <w:rFonts w:eastAsia="黑体"/>
          <w:color w:val="000000"/>
        </w:rPr>
      </w:pPr>
      <w:r>
        <w:t>评价的目标包括任务或者能力级别的评测，核心元素包括数据、标签、问题形式化以及评价指标。</w:t>
      </w:r>
    </w:p>
    <w:p>
      <w:pPr>
        <w:keepNext/>
        <w:ind w:firstLine="198" w:firstLineChars="71"/>
        <w:jc w:val="center"/>
        <w:sectPr>
          <w:pgSz w:w="11906" w:h="16838"/>
          <w:pgMar w:top="1440" w:right="1800" w:bottom="1440" w:left="1800" w:header="851" w:footer="992" w:gutter="0"/>
          <w:cols w:space="720" w:num="1"/>
          <w:docGrid w:type="lines" w:linePitch="312" w:charSpace="0"/>
        </w:sectPr>
      </w:pPr>
    </w:p>
    <w:p>
      <w:pPr>
        <w:keepNext/>
        <w:ind w:firstLine="0" w:firstLineChars="0"/>
        <w:jc w:val="center"/>
      </w:pPr>
      <w:r>
        <w:drawing>
          <wp:inline distT="0" distB="0" distL="114300" distR="114300">
            <wp:extent cx="8856345" cy="4572000"/>
            <wp:effectExtent l="0" t="0" r="1905" b="0"/>
            <wp:docPr id="13"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9"/>
                    <pic:cNvPicPr>
                      <a:picLocks noChangeAspect="1"/>
                    </pic:cNvPicPr>
                  </pic:nvPicPr>
                  <pic:blipFill>
                    <a:blip r:embed="rId46"/>
                    <a:stretch>
                      <a:fillRect/>
                    </a:stretch>
                  </pic:blipFill>
                  <pic:spPr>
                    <a:xfrm>
                      <a:off x="0" y="0"/>
                      <a:ext cx="8856345" cy="4572000"/>
                    </a:xfrm>
                    <a:prstGeom prst="rect">
                      <a:avLst/>
                    </a:prstGeom>
                    <a:noFill/>
                    <a:ln>
                      <a:noFill/>
                    </a:ln>
                  </pic:spPr>
                </pic:pic>
              </a:graphicData>
            </a:graphic>
          </wp:inline>
        </w:drawing>
      </w:r>
    </w:p>
    <w:p>
      <w:pPr>
        <w:pStyle w:val="24"/>
      </w:pPr>
      <w:bookmarkStart w:id="60" w:name="_Toc197702722"/>
      <w:r>
        <w:t>图</w:t>
      </w:r>
      <w:r>
        <w:fldChar w:fldCharType="begin"/>
      </w:r>
      <w:r>
        <w:instrText xml:space="preserve"> SEQ 图 \* ARABIC </w:instrText>
      </w:r>
      <w:r>
        <w:fldChar w:fldCharType="separate"/>
      </w:r>
      <w:r>
        <w:t>82</w:t>
      </w:r>
      <w:r>
        <w:fldChar w:fldCharType="end"/>
      </w:r>
      <w:r>
        <w:t xml:space="preserve"> 安防行业大模型应用能力测评方向</w:t>
      </w:r>
      <w:bookmarkEnd w:id="60"/>
    </w:p>
    <w:p>
      <w:pPr>
        <w:ind w:firstLine="0" w:firstLineChars="0"/>
        <w:sectPr>
          <w:pgSz w:w="16838" w:h="11906" w:orient="landscape"/>
          <w:pgMar w:top="1800" w:right="1440" w:bottom="1800" w:left="1440" w:header="851" w:footer="992" w:gutter="0"/>
          <w:cols w:space="720" w:num="1"/>
          <w:docGrid w:type="lines" w:linePitch="381" w:charSpace="0"/>
        </w:sectPr>
      </w:pPr>
    </w:p>
    <w:p>
      <w:r>
        <w:t>测评将从共性安防能力、安全性和可解释性等多方面考察模型的能力。安全性方面的评估主要关注模型应对对抗攻击、注入攻击、恶意攻击等手段的能力；可解释性方面的评估主要关注合理性、忠实度、稳定性、鲁棒性等模型使用上的维度。</w:t>
      </w:r>
    </w:p>
    <w:p>
      <w:pPr>
        <w:pStyle w:val="607"/>
        <w:bidi w:val="0"/>
        <w:ind w:left="0" w:leftChars="0" w:firstLine="0" w:firstLineChars="0"/>
      </w:pPr>
      <w:r>
        <w:t>安防行业大模型基础能力测评指标</w:t>
      </w:r>
    </w:p>
    <w:p>
      <w:pPr>
        <w:pStyle w:val="112"/>
        <w:ind w:firstLine="562"/>
        <w:rPr>
          <w:b/>
        </w:rPr>
      </w:pPr>
      <w:r>
        <w:rPr>
          <w:b/>
        </w:rPr>
        <w:t>1、文本大模型的评价指标</w:t>
      </w:r>
    </w:p>
    <w:p>
      <w:pPr>
        <w:ind w:firstLine="560"/>
      </w:pPr>
      <w:r>
        <w:t>从多个维度全面考量其性能表现，利用多样化的任务来测试模型的各种能力，针对性地选择合适的评测指标，以确保准确衡量模型的性能。</w:t>
      </w:r>
    </w:p>
    <w:p>
      <w:pPr>
        <w:ind w:firstLine="560" w:firstLineChars="0"/>
        <w:rPr>
          <w:color w:val="000000"/>
          <w:szCs w:val="28"/>
        </w:rPr>
      </w:pPr>
      <w:r>
        <w:rPr>
          <w:color w:val="000000"/>
          <w:szCs w:val="28"/>
        </w:rPr>
        <w:t>（1）分类任务相关评测指标</w:t>
      </w:r>
    </w:p>
    <w:p>
      <w:pPr>
        <w:ind w:firstLine="560"/>
      </w:pPr>
      <w:r>
        <w:t>分类任务要求模型根据给定的输入文本，将其划分到预定义的类别中。主要考察的通用分类任务的指标包括：</w:t>
      </w:r>
    </w:p>
    <w:p>
      <w:pPr>
        <w:pStyle w:val="144"/>
        <w:numPr>
          <w:ilvl w:val="0"/>
          <w:numId w:val="32"/>
        </w:numPr>
        <w:ind w:left="1127" w:firstLineChars="0"/>
        <w:rPr>
          <w:color w:val="000000"/>
          <w:szCs w:val="28"/>
        </w:rPr>
      </w:pPr>
      <w:r>
        <w:rPr>
          <w:b/>
          <w:bCs/>
          <w:color w:val="000000"/>
          <w:szCs w:val="28"/>
        </w:rPr>
        <w:t>精确率</w:t>
      </w:r>
      <w:r>
        <w:rPr>
          <w:color w:val="000000"/>
          <w:szCs w:val="28"/>
        </w:rPr>
        <w:t>。精确率表示模型预测为正例的样本中真正为正例的比例，其定义为：</w:t>
      </w:r>
    </w:p>
    <w:p>
      <w:pPr>
        <w:ind w:left="1060" w:firstLine="0" w:firstLineChars="0"/>
        <w:jc w:val="center"/>
      </w:pPr>
      <m:oMathPara>
        <m:oMath>
          <m:r>
            <m:rPr/>
            <w:rPr>
              <w:rFonts w:ascii="Cambria Math" w:hAnsi="Cambria Math"/>
            </w:rPr>
            <m:t>precision</m:t>
          </m:r>
          <m:r>
            <m:rPr>
              <m:sty m:val="p"/>
            </m:rPr>
            <w:rPr>
              <w:rFonts w:ascii="Cambria Math" w:hAnsi="Cambria Math"/>
            </w:rPr>
            <m:t>=</m:t>
          </m:r>
          <m:f>
            <m:fPr>
              <m:ctrlPr>
                <w:rPr>
                  <w:rFonts w:ascii="Cambria Math" w:hAnsi="Cambria Math"/>
                </w:rPr>
              </m:ctrlPr>
            </m:fPr>
            <m:num>
              <m:r>
                <m:rPr/>
                <w:rPr>
                  <w:rFonts w:ascii="Cambria Math" w:hAnsi="Cambria Math"/>
                </w:rPr>
                <m:t>TP</m:t>
              </m:r>
              <m:ctrlPr>
                <w:rPr>
                  <w:rFonts w:ascii="Cambria Math" w:hAnsi="Cambria Math"/>
                </w:rPr>
              </m:ctrlPr>
            </m:num>
            <m:den>
              <m:r>
                <m:rPr/>
                <w:rPr>
                  <w:rFonts w:ascii="Cambria Math" w:hAnsi="Cambria Math"/>
                </w:rPr>
                <m:t>TP</m:t>
              </m:r>
              <m:r>
                <m:rPr>
                  <m:sty m:val="p"/>
                </m:rPr>
                <w:rPr>
                  <w:rFonts w:ascii="Cambria Math" w:hAnsi="Cambria Math"/>
                </w:rPr>
                <m:t>+</m:t>
              </m:r>
              <m:r>
                <m:rPr/>
                <w:rPr>
                  <w:rFonts w:ascii="Cambria Math" w:hAnsi="Cambria Math"/>
                </w:rPr>
                <m:t>FP</m:t>
              </m:r>
              <m:ctrlPr>
                <w:rPr>
                  <w:rFonts w:ascii="Cambria Math" w:hAnsi="Cambria Math"/>
                </w:rPr>
              </m:ctrlPr>
            </m:den>
          </m:f>
        </m:oMath>
      </m:oMathPara>
    </w:p>
    <w:p>
      <w:pPr>
        <w:pStyle w:val="144"/>
        <w:numPr>
          <w:ilvl w:val="0"/>
          <w:numId w:val="32"/>
        </w:numPr>
        <w:ind w:left="1127" w:firstLineChars="0"/>
        <w:rPr>
          <w:color w:val="000000"/>
          <w:szCs w:val="28"/>
        </w:rPr>
      </w:pPr>
      <w:r>
        <w:rPr>
          <w:b/>
          <w:bCs/>
          <w:color w:val="000000"/>
          <w:szCs w:val="28"/>
        </w:rPr>
        <w:t>召回率</w:t>
      </w:r>
      <w:r>
        <w:rPr>
          <w:color w:val="000000"/>
          <w:szCs w:val="28"/>
        </w:rPr>
        <w:t>。召回率表示所有真正为正例的样本中被模型正确预测出来的比例，其定义为：</w:t>
      </w:r>
    </w:p>
    <w:p>
      <w:pPr>
        <w:ind w:firstLine="560"/>
        <w:jc w:val="center"/>
      </w:pPr>
      <m:oMathPara>
        <m:oMath>
          <m:r>
            <m:rPr/>
            <w:rPr>
              <w:rFonts w:ascii="Cambria Math" w:hAnsi="Cambria Math"/>
            </w:rPr>
            <m:t>recall</m:t>
          </m:r>
          <m:r>
            <m:rPr>
              <m:sty m:val="p"/>
            </m:rPr>
            <w:rPr>
              <w:rFonts w:ascii="Cambria Math" w:hAnsi="Cambria Math"/>
            </w:rPr>
            <m:t>=</m:t>
          </m:r>
          <m:f>
            <m:fPr>
              <m:ctrlPr>
                <w:rPr>
                  <w:rFonts w:ascii="Cambria Math" w:hAnsi="Cambria Math"/>
                </w:rPr>
              </m:ctrlPr>
            </m:fPr>
            <m:num>
              <m:r>
                <m:rPr/>
                <w:rPr>
                  <w:rFonts w:ascii="Cambria Math" w:hAnsi="Cambria Math"/>
                </w:rPr>
                <m:t>TP</m:t>
              </m:r>
              <m:ctrlPr>
                <w:rPr>
                  <w:rFonts w:ascii="Cambria Math" w:hAnsi="Cambria Math"/>
                </w:rPr>
              </m:ctrlPr>
            </m:num>
            <m:den>
              <m:r>
                <m:rPr/>
                <w:rPr>
                  <w:rFonts w:ascii="Cambria Math" w:hAnsi="Cambria Math"/>
                </w:rPr>
                <m:t>TP</m:t>
              </m:r>
              <m:r>
                <m:rPr>
                  <m:sty m:val="p"/>
                </m:rPr>
                <w:rPr>
                  <w:rFonts w:ascii="Cambria Math" w:hAnsi="Cambria Math"/>
                </w:rPr>
                <m:t>+</m:t>
              </m:r>
              <m:r>
                <m:rPr/>
                <w:rPr>
                  <w:rFonts w:ascii="Cambria Math" w:hAnsi="Cambria Math"/>
                </w:rPr>
                <m:t>FN</m:t>
              </m:r>
              <m:ctrlPr>
                <w:rPr>
                  <w:rFonts w:ascii="Cambria Math" w:hAnsi="Cambria Math"/>
                </w:rPr>
              </m:ctrlPr>
            </m:den>
          </m:f>
        </m:oMath>
      </m:oMathPara>
    </w:p>
    <w:p>
      <w:pPr>
        <w:pStyle w:val="144"/>
        <w:numPr>
          <w:ilvl w:val="0"/>
          <w:numId w:val="32"/>
        </w:numPr>
        <w:ind w:left="1127" w:firstLineChars="0"/>
        <w:rPr>
          <w:color w:val="000000"/>
          <w:szCs w:val="28"/>
        </w:rPr>
      </w:pPr>
      <w:r>
        <w:rPr>
          <w:b/>
          <w:bCs/>
          <w:color w:val="000000"/>
          <w:szCs w:val="28"/>
        </w:rPr>
        <w:t>F1-score</w:t>
      </w:r>
      <w:r>
        <w:rPr>
          <w:color w:val="000000"/>
          <w:szCs w:val="28"/>
        </w:rPr>
        <w:t>。F1-score是精确率和召回率的调和平均数，用于衡量模型在分类任务上的综合性能，其定义为：</w:t>
      </w:r>
    </w:p>
    <w:p>
      <w:pPr>
        <w:ind w:firstLine="560"/>
        <w:jc w:val="center"/>
      </w:pPr>
      <w:r>
        <w:drawing>
          <wp:inline distT="0" distB="0" distL="114300" distR="114300">
            <wp:extent cx="2582545" cy="550545"/>
            <wp:effectExtent l="0" t="0" r="8255" b="0"/>
            <wp:docPr id="14"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2"/>
                    <pic:cNvPicPr>
                      <a:picLocks noChangeAspect="1"/>
                    </pic:cNvPicPr>
                  </pic:nvPicPr>
                  <pic:blipFill>
                    <a:blip r:embed="rId47">
                      <a:clrChange>
                        <a:clrFrom>
                          <a:srgbClr val="FFFFFF"/>
                        </a:clrFrom>
                        <a:clrTo>
                          <a:srgbClr val="FFFFFF">
                            <a:alpha val="0"/>
                          </a:srgbClr>
                        </a:clrTo>
                      </a:clrChange>
                    </a:blip>
                    <a:stretch>
                      <a:fillRect/>
                    </a:stretch>
                  </pic:blipFill>
                  <pic:spPr>
                    <a:xfrm>
                      <a:off x="0" y="0"/>
                      <a:ext cx="2582545" cy="550545"/>
                    </a:xfrm>
                    <a:prstGeom prst="rect">
                      <a:avLst/>
                    </a:prstGeom>
                    <a:noFill/>
                    <a:ln>
                      <a:noFill/>
                    </a:ln>
                  </pic:spPr>
                </pic:pic>
              </a:graphicData>
            </a:graphic>
          </wp:inline>
        </w:drawing>
      </w:r>
    </w:p>
    <w:p>
      <w:pPr>
        <w:ind w:firstLine="560" w:firstLineChars="0"/>
        <w:rPr>
          <w:color w:val="000000"/>
          <w:szCs w:val="28"/>
        </w:rPr>
      </w:pPr>
      <w:r>
        <w:rPr>
          <w:color w:val="000000"/>
          <w:szCs w:val="28"/>
        </w:rPr>
        <w:t>（2）语言建模任务相关评测指标</w:t>
      </w:r>
    </w:p>
    <w:p>
      <w:pPr>
        <w:ind w:firstLine="560"/>
      </w:pPr>
      <w:r>
        <w:t>语言建模是一类根据给定的前文词元来预测后续的词元的基础任务，反映的是模型对语言的基本理解能力。由于文本长度等因素会对建模概率有一定的影响，参考文本概率通常不适合用来直接评估语言建模任务。因此，困惑度（Perplexity, PPL）成为语言建模任务中常用的评测指标。</w:t>
      </w:r>
    </w:p>
    <w:p>
      <w:pPr>
        <w:pStyle w:val="144"/>
        <w:numPr>
          <w:ilvl w:val="0"/>
          <w:numId w:val="32"/>
        </w:numPr>
        <w:ind w:left="1127" w:firstLineChars="0"/>
        <w:rPr>
          <w:color w:val="000000"/>
          <w:szCs w:val="28"/>
        </w:rPr>
      </w:pPr>
      <w:r>
        <w:rPr>
          <w:color w:val="000000"/>
          <w:szCs w:val="28"/>
        </w:rPr>
        <w:t>困惑度。困惑度是衡量语言建模能力的重要指标，通过计算给定文本序列概率的倒数的几何平均来衡量模型对于语言的建模能力。将困惑度定义为模型对于参考文本</w:t>
      </w:r>
      <w:r>
        <w:rPr>
          <w:color w:val="000000"/>
          <w:szCs w:val="28"/>
        </w:rPr>
        <w:fldChar w:fldCharType="begin"/>
      </w:r>
      <w:r>
        <w:rPr>
          <w:color w:val="000000"/>
          <w:szCs w:val="28"/>
        </w:rPr>
        <w:instrText xml:space="preserve"> QUOTE </w:instrText>
      </w:r>
      <w:r>
        <w:rPr>
          <w:position w:val="-23"/>
        </w:rPr>
        <w:pict>
          <v:shape id="_x0000_i1025"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6687&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F96687&quot; wsp:rsidP=&quot;00F96687&quot;&gt;&lt;w:pPr&gt;&lt;w:ind w:first-line=&quot;560&quot;/&gt;&lt;/w:pPr&gt;&lt;m:oMathPara&gt;&lt;m:oMath&gt;&lt;m:r&gt;&lt;w:rPr&gt;&lt;w:rFonts w:ascii=&quot;Cambria Math&quot; w:h-ansi=&quot;Cambria Math&quot;/&gt;&lt;wx:font wx:val=&quot;Cambria Math&quot;/&gt;&lt;w:i/&gt;&lt;w:color w:val=&quot;000000&quot;/&gt;&lt;w:sz-cs w:val=&quot;28&quot;/&gt;&lt;/w:rPr&gt;&lt;m:t&gt; u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8" chromakey="#FFFFFF" o:title=""/>
            <o:lock v:ext="edit" aspectratio="t"/>
            <w10:wrap type="none"/>
            <w10:anchorlock/>
          </v:shape>
        </w:pict>
      </w:r>
      <w:r>
        <w:rPr>
          <w:color w:val="000000"/>
          <w:szCs w:val="28"/>
        </w:rPr>
        <w:instrText xml:space="preserve"> </w:instrText>
      </w:r>
      <w:r>
        <w:rPr>
          <w:color w:val="000000"/>
          <w:szCs w:val="28"/>
        </w:rPr>
        <w:fldChar w:fldCharType="separate"/>
      </w:r>
      <w:r>
        <w:rPr>
          <w:position w:val="-23"/>
        </w:rPr>
        <w:pict>
          <v:shape id="_x0000_i1026"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6687&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F96687&quot; wsp:rsidP=&quot;00F96687&quot;&gt;&lt;w:pPr&gt;&lt;w:ind w:first-line=&quot;560&quot;/&gt;&lt;/w:pPr&gt;&lt;m:oMathPara&gt;&lt;m:oMath&gt;&lt;m:r&gt;&lt;w:rPr&gt;&lt;w:rFonts w:ascii=&quot;Cambria Math&quot; w:h-ansi=&quot;Cambria Math&quot;/&gt;&lt;wx:font wx:val=&quot;Cambria Math&quot;/&gt;&lt;w:i/&gt;&lt;w:color w:val=&quot;000000&quot;/&gt;&lt;w:sz-cs w:val=&quot;28&quot;/&gt;&lt;/w:rPr&gt;&lt;m:t&gt; u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8" chromakey="#FFFFFF" o:title=""/>
            <o:lock v:ext="edit" aspectratio="t"/>
            <w10:wrap type="none"/>
            <w10:anchorlock/>
          </v:shape>
        </w:pict>
      </w:r>
      <w:r>
        <w:rPr>
          <w:color w:val="000000"/>
          <w:szCs w:val="28"/>
        </w:rPr>
        <w:fldChar w:fldCharType="end"/>
      </w:r>
      <w:r>
        <w:rPr>
          <w:color w:val="000000"/>
          <w:szCs w:val="28"/>
        </w:rPr>
        <w:t>的建模概率</w:t>
      </w:r>
      <w:r>
        <w:rPr>
          <w:color w:val="000000"/>
          <w:szCs w:val="28"/>
        </w:rPr>
        <w:fldChar w:fldCharType="begin"/>
      </w:r>
      <w:r>
        <w:rPr>
          <w:color w:val="000000"/>
          <w:szCs w:val="28"/>
        </w:rPr>
        <w:instrText xml:space="preserve"> QUOTE </w:instrText>
      </w:r>
      <w:r>
        <w:rPr>
          <w:position w:val="-23"/>
        </w:rPr>
        <w:pict>
          <v:shape id="_x0000_i1027" o:spt="75" type="#_x0000_t75" style="height:25.2pt;width:3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070F&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AC070F&quot; wsp:rsidP=&quot;00AC070F&quot;&gt;&lt;w:pPr&gt;&lt;w:ind w:first-line=&quot;560&quot;/&gt;&lt;/w:pPr&gt;&lt;m:oMathPara&gt;&lt;m:oMath&gt;&lt;m:r&gt;&lt;w:rPr&gt;&lt;w:rFonts w:ascii=&quot;Cambria Math&quot; w:h-ansi=&quot;Cambria Math&quot;/&gt;&lt;wx:font wx:val=&quot;Cambria Math&quot;/&gt;&lt;w:i/&gt;&lt;w:color w:val=&quot;000000&quot;/&gt;&lt;w:sz-cs w:val=&quot;28&quot;/&gt;&lt;/w:rPr&gt;&lt;m:t&gt; P(u)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9" chromakey="#FFFFFF" o:title=""/>
            <o:lock v:ext="edit" aspectratio="t"/>
            <w10:wrap type="none"/>
            <w10:anchorlock/>
          </v:shape>
        </w:pict>
      </w:r>
      <w:r>
        <w:rPr>
          <w:color w:val="000000"/>
          <w:szCs w:val="28"/>
        </w:rPr>
        <w:instrText xml:space="preserve"> </w:instrText>
      </w:r>
      <w:r>
        <w:rPr>
          <w:color w:val="000000"/>
          <w:szCs w:val="28"/>
        </w:rPr>
        <w:fldChar w:fldCharType="separate"/>
      </w:r>
      <w:r>
        <w:rPr>
          <w:position w:val="-23"/>
        </w:rPr>
        <w:pict>
          <v:shape id="_x0000_i1028" o:spt="75" type="#_x0000_t75" style="height:25.2pt;width:3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070F&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AC070F&quot; wsp:rsidP=&quot;00AC070F&quot;&gt;&lt;w:pPr&gt;&lt;w:ind w:first-line=&quot;560&quot;/&gt;&lt;/w:pPr&gt;&lt;m:oMathPara&gt;&lt;m:oMath&gt;&lt;m:r&gt;&lt;w:rPr&gt;&lt;w:rFonts w:ascii=&quot;Cambria Math&quot; w:h-ansi=&quot;Cambria Math&quot;/&gt;&lt;wx:font wx:val=&quot;Cambria Math&quot;/&gt;&lt;w:i/&gt;&lt;w:color w:val=&quot;000000&quot;/&gt;&lt;w:sz-cs w:val=&quot;28&quot;/&gt;&lt;/w:rPr&gt;&lt;m:t&gt; P(u)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9" chromakey="#FFFFFF" o:title=""/>
            <o:lock v:ext="edit" aspectratio="t"/>
            <w10:wrap type="none"/>
            <w10:anchorlock/>
          </v:shape>
        </w:pict>
      </w:r>
      <w:r>
        <w:rPr>
          <w:color w:val="000000"/>
          <w:szCs w:val="28"/>
        </w:rPr>
        <w:fldChar w:fldCharType="end"/>
      </w:r>
      <w:r>
        <w:rPr>
          <w:color w:val="000000"/>
          <w:szCs w:val="28"/>
        </w:rPr>
        <w:t>的</w:t>
      </w:r>
      <w:r>
        <w:rPr>
          <w:color w:val="000000"/>
          <w:szCs w:val="28"/>
        </w:rPr>
        <w:fldChar w:fldCharType="begin"/>
      </w:r>
      <w:r>
        <w:rPr>
          <w:color w:val="000000"/>
          <w:szCs w:val="28"/>
        </w:rPr>
        <w:instrText xml:space="preserve"> QUOTE </w:instrText>
      </w:r>
      <w:r>
        <w:rPr>
          <w:position w:val="-23"/>
        </w:rPr>
        <w:pict>
          <v:shape id="_x0000_i1029" o:spt="75" type="#_x0000_t75" style="height:25.2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5A&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26265A&quot; wsp:rsidP=&quot;0026265A&quot;&gt;&lt;w:pPr&gt;&lt;w:ind w:first-line=&quot;560&quot;/&gt;&lt;/w:pPr&gt;&lt;m:oMathPara&gt;&lt;m:oMath&gt;&lt;m:r&gt;&lt;w:rPr&gt;&lt;w:rFonts w:ascii=&quot;Cambria Math&quot; w:h-ansi=&quot;Cambria Math&quot;/&gt;&lt;wx:font wx:val=&quot;Cambria Math&quot;/&gt;&lt;w:i/&gt;&lt;w:color w:val=&quot;000000&quot;/&gt;&lt;w:sz-cs w:val=&quot;28&quot;/&gt;&lt;/w:rPr&gt;&lt;m:t&gt; 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0" chromakey="#FFFFFF" o:title=""/>
            <o:lock v:ext="edit" aspectratio="t"/>
            <w10:wrap type="none"/>
            <w10:anchorlock/>
          </v:shape>
        </w:pict>
      </w:r>
      <w:r>
        <w:rPr>
          <w:color w:val="000000"/>
          <w:szCs w:val="28"/>
        </w:rPr>
        <w:instrText xml:space="preserve"> </w:instrText>
      </w:r>
      <w:r>
        <w:rPr>
          <w:color w:val="000000"/>
          <w:szCs w:val="28"/>
        </w:rPr>
        <w:fldChar w:fldCharType="separate"/>
      </w:r>
      <w:r>
        <w:rPr>
          <w:position w:val="-23"/>
        </w:rPr>
        <w:pict>
          <v:shape id="_x0000_i1030" o:spt="75" type="#_x0000_t75" style="height:25.2pt;width:16.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5A&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26265A&quot; wsp:rsidP=&quot;0026265A&quot;&gt;&lt;w:pPr&gt;&lt;w:ind w:first-line=&quot;560&quot;/&gt;&lt;/w:pPr&gt;&lt;m:oMathPara&gt;&lt;m:oMath&gt;&lt;m:r&gt;&lt;w:rPr&gt;&lt;w:rFonts w:ascii=&quot;Cambria Math&quot; w:h-ansi=&quot;Cambria Math&quot;/&gt;&lt;wx:font wx:val=&quot;Cambria Math&quot;/&gt;&lt;w:i/&gt;&lt;w:color w:val=&quot;000000&quot;/&gt;&lt;w:sz-cs w:val=&quot;28&quot;/&gt;&lt;/w:rPr&gt;&lt;m:t&gt; N&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0" chromakey="#FFFFFF" o:title=""/>
            <o:lock v:ext="edit" aspectratio="t"/>
            <w10:wrap type="none"/>
            <w10:anchorlock/>
          </v:shape>
        </w:pict>
      </w:r>
      <w:r>
        <w:rPr>
          <w:color w:val="000000"/>
          <w:szCs w:val="28"/>
        </w:rPr>
        <w:fldChar w:fldCharType="end"/>
      </w:r>
      <w:r>
        <w:rPr>
          <w:color w:val="000000"/>
          <w:szCs w:val="28"/>
        </w:rPr>
        <w:t>次方根的倒数，数学表达式如下：</w:t>
      </w:r>
    </w:p>
    <w:p>
      <w:pPr>
        <w:ind w:firstLine="560"/>
        <w:jc w:val="center"/>
      </w:pPr>
      <m:oMathPara>
        <m:oMath>
          <m:r>
            <m:rPr/>
            <w:rPr>
              <w:rFonts w:ascii="Cambria Math" w:hAnsi="Cambria Math"/>
            </w:rPr>
            <m:t>PPL</m:t>
          </m:r>
          <m:d>
            <m:dPr>
              <m:ctrlPr>
                <w:rPr>
                  <w:rFonts w:ascii="Cambria Math" w:hAnsi="Cambria Math"/>
                </w:rPr>
              </m:ctrlPr>
            </m:dPr>
            <m:e>
              <m:r>
                <m:rPr/>
                <w:rPr>
                  <w:rFonts w:ascii="Cambria Math" w:hAnsi="Cambria Math"/>
                </w:rPr>
                <m:t>u</m:t>
              </m:r>
              <m:ctrlPr>
                <w:rPr>
                  <w:rFonts w:ascii="Cambria Math" w:hAnsi="Cambria Math"/>
                </w:rPr>
              </m:ctrlPr>
            </m:e>
          </m:d>
          <m:r>
            <m:rPr>
              <m:sty m:val="p"/>
            </m:rPr>
            <w:rPr>
              <w:rFonts w:ascii="Cambria Math" w:hAnsi="Cambria Math"/>
            </w:rPr>
            <m:t>=</m:t>
          </m:r>
          <m:sSup>
            <m:sSupPr>
              <m:ctrlPr>
                <w:rPr>
                  <w:rFonts w:ascii="Cambria Math" w:hAnsi="Cambria Math"/>
                </w:rPr>
              </m:ctrlPr>
            </m:sSupPr>
            <m:e>
              <m:r>
                <m:rPr/>
                <w:rPr>
                  <w:rFonts w:ascii="Cambria Math" w:hAnsi="Cambria Math"/>
                </w:rPr>
                <m:t>P</m:t>
              </m:r>
              <m:r>
                <m:rPr>
                  <m:sty m:val="p"/>
                </m:rPr>
                <w:rPr>
                  <w:rFonts w:ascii="Cambria Math" w:hAnsi="Cambria Math"/>
                </w:rPr>
                <m:t>(</m:t>
              </m:r>
              <m:r>
                <m:rPr/>
                <w:rPr>
                  <w:rFonts w:ascii="Cambria Math" w:hAnsi="Cambria Math"/>
                </w:rPr>
                <m:t>u</m:t>
              </m:r>
              <m:r>
                <m:rPr>
                  <m:sty m:val="p"/>
                </m:rPr>
                <w:rPr>
                  <w:rFonts w:ascii="Cambria Math" w:hAnsi="Cambria Math"/>
                </w:rPr>
                <m:t>)</m:t>
              </m:r>
              <m:ctrlPr>
                <w:rPr>
                  <w:rFonts w:ascii="Cambria Math" w:hAnsi="Cambria Math"/>
                </w:rPr>
              </m:ctrlPr>
            </m:e>
            <m:sup>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ctrlPr>
                <w:rPr>
                  <w:rFonts w:ascii="Cambria Math" w:hAnsi="Cambria Math"/>
                </w:rPr>
              </m:ctrlPr>
            </m:sup>
          </m:sSup>
        </m:oMath>
      </m:oMathPara>
    </w:p>
    <w:p>
      <w:pPr>
        <w:ind w:firstLine="560"/>
      </w:pPr>
      <w:r>
        <w:t>其中，</w:t>
      </w:r>
      <w:r>
        <w:fldChar w:fldCharType="begin"/>
      </w:r>
      <w:r>
        <w:instrText xml:space="preserve"> QUOTE </w:instrText>
      </w:r>
      <w:r>
        <w:rPr>
          <w:position w:val="-23"/>
        </w:rPr>
        <w:pict>
          <v:shape id="_x0000_i1031"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33E&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C1333E&quot; wsp:rsidP=&quot;00C1333E&quot;&gt;&lt;w:pPr&gt;&lt;w:ind w:first-line=&quot;560&quot;/&gt;&lt;/w:pPr&gt;&lt;m:oMathPara&gt;&lt;m:oMath&gt;&lt;m:r&gt;&lt;w:rPr&gt;&lt;w:rFonts w:ascii=&quot;Cambria Math&quot; w:h-ansi=&quot;Cambria Math&quot;/&gt;&lt;wx:font wx:val=&quot;Cambria Math&quot;/&gt;&lt;w:i/&gt;&lt;/w:rPr&gt;&lt;m:t&gt;u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1" chromakey="#FFFFFF" o:title=""/>
            <o:lock v:ext="edit" aspectratio="t"/>
            <w10:wrap type="none"/>
            <w10:anchorlock/>
          </v:shape>
        </w:pict>
      </w:r>
      <w:r>
        <w:instrText xml:space="preserve"> </w:instrText>
      </w:r>
      <w:r>
        <w:fldChar w:fldCharType="separate"/>
      </w:r>
      <w:r>
        <w:rPr>
          <w:position w:val="-23"/>
        </w:rPr>
        <w:pict>
          <v:shape id="_x0000_i1032"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33E&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C1333E&quot; wsp:rsidP=&quot;00C1333E&quot;&gt;&lt;w:pPr&gt;&lt;w:ind w:first-line=&quot;560&quot;/&gt;&lt;/w:pPr&gt;&lt;m:oMathPara&gt;&lt;m:oMath&gt;&lt;m:r&gt;&lt;w:rPr&gt;&lt;w:rFonts w:ascii=&quot;Cambria Math&quot; w:h-ansi=&quot;Cambria Math&quot;/&gt;&lt;wx:font wx:val=&quot;Cambria Math&quot;/&gt;&lt;w:i/&gt;&lt;/w:rPr&gt;&lt;m:t&gt;u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1" chromakey="#FFFFFF" o:title=""/>
            <o:lock v:ext="edit" aspectratio="t"/>
            <w10:wrap type="none"/>
            <w10:anchorlock/>
          </v:shape>
        </w:pict>
      </w:r>
      <w:r>
        <w:fldChar w:fldCharType="end"/>
      </w:r>
      <w:r>
        <w:t>代表参考文本，</w:t>
      </w:r>
      <w:r>
        <w:fldChar w:fldCharType="begin"/>
      </w:r>
      <w:r>
        <w:instrText xml:space="preserve"> QUOTE </w:instrText>
      </w:r>
      <w:r>
        <w:rPr>
          <w:position w:val="-23"/>
        </w:rPr>
        <w:pict>
          <v:shape id="_x0000_i1033" o:spt="75" type="#_x0000_t75" style="height:25.2pt;width:19.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463&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7C4463&quot; wsp:rsidP=&quot;007C4463&quot;&gt;&lt;w:pPr&gt;&lt;w:ind w:first-line=&quot;560&quot;/&gt;&lt;/w:pPr&gt;&lt;m:oMathPara&gt;&lt;m:oMath&gt;&lt;m:r&gt;&lt;w:rPr&gt;&lt;w:rFonts w:ascii=&quot;Cambria Math&quot; w:h-ansi=&quot;Cambria Math&quot;/&gt;&lt;wx:font wx:val=&quot;Cambria Math&quot;/&gt;&lt;w:i/&gt;&lt;/w:rPr&gt;&lt;m:t&gt;T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2" chromakey="#FFFFFF" o:title=""/>
            <o:lock v:ext="edit" aspectratio="t"/>
            <w10:wrap type="none"/>
            <w10:anchorlock/>
          </v:shape>
        </w:pict>
      </w:r>
      <w:r>
        <w:instrText xml:space="preserve"> </w:instrText>
      </w:r>
      <w:r>
        <w:fldChar w:fldCharType="separate"/>
      </w:r>
      <w:r>
        <w:rPr>
          <w:position w:val="-23"/>
        </w:rPr>
        <w:pict>
          <v:shape id="_x0000_i1034" o:spt="75" type="#_x0000_t75" style="height:25.2pt;width:19.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463&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7C4463&quot; wsp:rsidP=&quot;007C4463&quot;&gt;&lt;w:pPr&gt;&lt;w:ind w:first-line=&quot;560&quot;/&gt;&lt;/w:pPr&gt;&lt;m:oMathPara&gt;&lt;m:oMath&gt;&lt;m:r&gt;&lt;w:rPr&gt;&lt;w:rFonts w:ascii=&quot;Cambria Math&quot; w:h-ansi=&quot;Cambria Math&quot;/&gt;&lt;wx:font wx:val=&quot;Cambria Math&quot;/&gt;&lt;w:i/&gt;&lt;/w:rPr&gt;&lt;m:t&gt;T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2" chromakey="#FFFFFF" o:title=""/>
            <o:lock v:ext="edit" aspectratio="t"/>
            <w10:wrap type="none"/>
            <w10:anchorlock/>
          </v:shape>
        </w:pict>
      </w:r>
      <w:r>
        <w:fldChar w:fldCharType="end"/>
      </w:r>
      <w:r>
        <w:t>是文本</w:t>
      </w:r>
      <w:r>
        <w:fldChar w:fldCharType="begin"/>
      </w:r>
      <w:r>
        <w:instrText xml:space="preserve"> QUOTE </w:instrText>
      </w:r>
      <w:r>
        <w:rPr>
          <w:position w:val="-23"/>
        </w:rPr>
        <w:pict>
          <v:shape id="_x0000_i1035"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D7E37&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5D7E37&quot; wsp:rsidP=&quot;005D7E37&quot;&gt;&lt;w:pPr&gt;&lt;w:ind w:first-line=&quot;560&quot;/&gt;&lt;/w:pPr&gt;&lt;m:oMathPara&gt;&lt;m:oMath&gt;&lt;m:r&gt;&lt;w:rPr&gt;&lt;w:rFonts w:ascii=&quot;Cambria Math&quot; w:h-ansi=&quot;Cambria Math&quot;/&gt;&lt;wx:font wx:val=&quot;Cambria Math&quot;/&gt;&lt;w:i/&gt;&lt;/w:rPr&gt;&lt;m:t&gt; u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8" chromakey="#FFFFFF" o:title=""/>
            <o:lock v:ext="edit" aspectratio="t"/>
            <w10:wrap type="none"/>
            <w10:anchorlock/>
          </v:shape>
        </w:pict>
      </w:r>
      <w:r>
        <w:instrText xml:space="preserve"> </w:instrText>
      </w:r>
      <w:r>
        <w:fldChar w:fldCharType="separate"/>
      </w:r>
      <w:r>
        <w:rPr>
          <w:position w:val="-23"/>
        </w:rPr>
        <w:pict>
          <v:shape id="_x0000_i1036"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D7E37&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5D7E37&quot; wsp:rsidP=&quot;005D7E37&quot;&gt;&lt;w:pPr&gt;&lt;w:ind w:first-line=&quot;560&quot;/&gt;&lt;/w:pPr&gt;&lt;m:oMathPara&gt;&lt;m:oMath&gt;&lt;m:r&gt;&lt;w:rPr&gt;&lt;w:rFonts w:ascii=&quot;Cambria Math&quot; w:h-ansi=&quot;Cambria Math&quot;/&gt;&lt;wx:font wx:val=&quot;Cambria Math&quot;/&gt;&lt;w:i/&gt;&lt;/w:rPr&gt;&lt;m:t&gt; u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8" chromakey="#FFFFFF" o:title=""/>
            <o:lock v:ext="edit" aspectratio="t"/>
            <w10:wrap type="none"/>
            <w10:anchorlock/>
          </v:shape>
        </w:pict>
      </w:r>
      <w:r>
        <w:fldChar w:fldCharType="end"/>
      </w:r>
      <w:r>
        <w:t>中词元的总数，</w:t>
      </w:r>
      <w:r>
        <w:fldChar w:fldCharType="begin"/>
      </w:r>
      <w:r>
        <w:instrText xml:space="preserve"> QUOTE </w:instrText>
      </w:r>
      <w:r>
        <w:rPr>
          <w:position w:val="-23"/>
        </w:rPr>
        <w:pict>
          <v:shape id="_x0000_i1037" o:spt="75" type="#_x0000_t75" style="height:25.2pt;width:3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2CE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2C2CE5&quot; wsp:rsidP=&quot;002C2CE5&quot;&gt;&lt;w:pPr&gt;&lt;w:ind w:first-line=&quot;560&quot;/&gt;&lt;/w:pPr&gt;&lt;m:oMathPara&gt;&lt;m:oMath&gt;&lt;m:r&gt;&lt;w:rPr&gt;&lt;w:rFonts w:ascii=&quot;Cambria Math&quot; w:h-ansi=&quot;Cambria Math&quot;/&gt;&lt;wx:font wx:val=&quot;Cambria Math&quot;/&gt;&lt;w:i/&gt;&lt;/w:rPr&gt;&lt;m:t&gt;P(u)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3" chromakey="#FFFFFF" o:title=""/>
            <o:lock v:ext="edit" aspectratio="t"/>
            <w10:wrap type="none"/>
            <w10:anchorlock/>
          </v:shape>
        </w:pict>
      </w:r>
      <w:r>
        <w:instrText xml:space="preserve"> </w:instrText>
      </w:r>
      <w:r>
        <w:fldChar w:fldCharType="separate"/>
      </w:r>
      <w:r>
        <w:rPr>
          <w:position w:val="-23"/>
        </w:rPr>
        <w:pict>
          <v:shape id="_x0000_i1038" o:spt="75" type="#_x0000_t75" style="height:25.2pt;width:3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2CE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2C2CE5&quot; wsp:rsidP=&quot;002C2CE5&quot;&gt;&lt;w:pPr&gt;&lt;w:ind w:first-line=&quot;560&quot;/&gt;&lt;/w:pPr&gt;&lt;m:oMathPara&gt;&lt;m:oMath&gt;&lt;m:r&gt;&lt;w:rPr&gt;&lt;w:rFonts w:ascii=&quot;Cambria Math&quot; w:h-ansi=&quot;Cambria Math&quot;/&gt;&lt;wx:font wx:val=&quot;Cambria Math&quot;/&gt;&lt;w:i/&gt;&lt;/w:rPr&gt;&lt;m:t&gt;P(u)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3" chromakey="#FFFFFF" o:title=""/>
            <o:lock v:ext="edit" aspectratio="t"/>
            <w10:wrap type="none"/>
            <w10:anchorlock/>
          </v:shape>
        </w:pict>
      </w:r>
      <w:r>
        <w:fldChar w:fldCharType="end"/>
      </w:r>
      <w:r>
        <w:t>则是模型对于文本</w:t>
      </w:r>
      <w:r>
        <w:fldChar w:fldCharType="begin"/>
      </w:r>
      <w:r>
        <w:instrText xml:space="preserve"> QUOTE </w:instrText>
      </w:r>
      <w:r>
        <w:rPr>
          <w:position w:val="-23"/>
        </w:rPr>
        <w:pict>
          <v:shape id="_x0000_i1039"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B08&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1E1B08&quot; wsp:rsidP=&quot;001E1B08&quot;&gt;&lt;w:pPr&gt;&lt;w:ind w:first-line=&quot;560&quot;/&gt;&lt;/w:pPr&gt;&lt;m:oMathPara&gt;&lt;m:oMath&gt;&lt;m:r&gt;&lt;w:rPr&gt;&lt;w:rFonts w:ascii=&quot;Cambria Math&quot; w:h-ansi=&quot;Cambria Math&quot;/&gt;&lt;wx:font wx:val=&quot;Cambria Math&quot;/&gt;&lt;w:i/&gt;&lt;/w:rPr&gt;&lt;m:t&gt; u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8" chromakey="#FFFFFF" o:title=""/>
            <o:lock v:ext="edit" aspectratio="t"/>
            <w10:wrap type="none"/>
            <w10:anchorlock/>
          </v:shape>
        </w:pict>
      </w:r>
      <w:r>
        <w:instrText xml:space="preserve"> </w:instrText>
      </w:r>
      <w:r>
        <w:fldChar w:fldCharType="separate"/>
      </w:r>
      <w:r>
        <w:rPr>
          <w:position w:val="-23"/>
        </w:rPr>
        <w:pict>
          <v:shape id="_x0000_i1040"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B08&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1E1B08&quot; wsp:rsidP=&quot;001E1B08&quot;&gt;&lt;w:pPr&gt;&lt;w:ind w:first-line=&quot;560&quot;/&gt;&lt;/w:pPr&gt;&lt;m:oMathPara&gt;&lt;m:oMath&gt;&lt;m:r&gt;&lt;w:rPr&gt;&lt;w:rFonts w:ascii=&quot;Cambria Math&quot; w:h-ansi=&quot;Cambria Math&quot;/&gt;&lt;wx:font wx:val=&quot;Cambria Math&quot;/&gt;&lt;w:i/&gt;&lt;/w:rPr&gt;&lt;m:t&gt; u &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48" chromakey="#FFFFFF" o:title=""/>
            <o:lock v:ext="edit" aspectratio="t"/>
            <w10:wrap type="none"/>
            <w10:anchorlock/>
          </v:shape>
        </w:pict>
      </w:r>
      <w:r>
        <w:fldChar w:fldCharType="end"/>
      </w:r>
      <w:r>
        <w:t>的建模概率。困惑度可提供一个较为客观且统一的标准来评估不同模型或相同模型在不同参数配置下的性能——模型的困惑度越低，说明其对参考文本的建模概率越高，进而表明该模型具有更强的语言建模能力。在工程上为了避免计算中可能出现的数值下溢问题，通常采用对数概率加和的方法进行困惑度的计算，以简化运算过程，提升计算稳定性，将其改写为累加对数概率的表示方式即：</w:t>
      </w:r>
    </w:p>
    <w:p>
      <w:pPr>
        <w:ind w:firstLine="560"/>
        <w:jc w:val="center"/>
      </w:pPr>
      <w:r>
        <w:drawing>
          <wp:inline distT="0" distB="0" distL="114300" distR="114300">
            <wp:extent cx="2836545" cy="744855"/>
            <wp:effectExtent l="0" t="0" r="1905" b="0"/>
            <wp:docPr id="15"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0"/>
                    <pic:cNvPicPr>
                      <a:picLocks noChangeAspect="1"/>
                    </pic:cNvPicPr>
                  </pic:nvPicPr>
                  <pic:blipFill>
                    <a:blip r:embed="rId54">
                      <a:clrChange>
                        <a:clrFrom>
                          <a:srgbClr val="FFFFFF"/>
                        </a:clrFrom>
                        <a:clrTo>
                          <a:srgbClr val="FFFFFF">
                            <a:alpha val="0"/>
                          </a:srgbClr>
                        </a:clrTo>
                      </a:clrChange>
                    </a:blip>
                    <a:stretch>
                      <a:fillRect/>
                    </a:stretch>
                  </pic:blipFill>
                  <pic:spPr>
                    <a:xfrm>
                      <a:off x="0" y="0"/>
                      <a:ext cx="2836545" cy="744855"/>
                    </a:xfrm>
                    <a:prstGeom prst="rect">
                      <a:avLst/>
                    </a:prstGeom>
                    <a:noFill/>
                    <a:ln>
                      <a:noFill/>
                    </a:ln>
                  </pic:spPr>
                </pic:pic>
              </a:graphicData>
            </a:graphic>
          </wp:inline>
        </w:drawing>
      </w:r>
    </w:p>
    <w:p>
      <w:pPr>
        <w:ind w:firstLine="560" w:firstLineChars="0"/>
        <w:rPr>
          <w:color w:val="000000"/>
          <w:szCs w:val="28"/>
        </w:rPr>
      </w:pPr>
      <w:r>
        <w:rPr>
          <w:color w:val="000000"/>
          <w:szCs w:val="28"/>
        </w:rPr>
        <w:t>（3）条件文本生成任务相关评测指标</w:t>
      </w:r>
    </w:p>
    <w:p>
      <w:pPr>
        <w:ind w:firstLine="560"/>
      </w:pPr>
      <w:r>
        <w:t>条件文本生成的目标是检查模型能否基于输入生成流畅、逻辑连贯且具有实际语义的回复，一般涉及简短句子的生成、复杂段落撰写以及完整文章的创作，其应用领域覆盖了机器翻译、文本摘要和对话系统等众多场景。为了衡量生成文本的质量，常用的自动评估指标主要是评估模型生成的文本与一个或多个预先给定的参考文本之间的相似度。</w:t>
      </w:r>
    </w:p>
    <w:p>
      <w:pPr>
        <w:pStyle w:val="144"/>
        <w:numPr>
          <w:ilvl w:val="0"/>
          <w:numId w:val="32"/>
        </w:numPr>
        <w:ind w:left="1127" w:firstLineChars="0"/>
        <w:rPr>
          <w:color w:val="000000"/>
          <w:szCs w:val="28"/>
        </w:rPr>
      </w:pPr>
      <w:r>
        <w:rPr>
          <w:b/>
          <w:bCs/>
          <w:color w:val="000000"/>
          <w:szCs w:val="28"/>
        </w:rPr>
        <w:t>BLEU</w:t>
      </w:r>
      <w:r>
        <w:rPr>
          <w:color w:val="000000"/>
          <w:szCs w:val="28"/>
        </w:rPr>
        <w:t>。BLEU（Bilingual Evaluation Understudy）是一种在机器翻译领域广泛采用的评估指标，其通过计算机器翻译输出（下称为“候选文本”）与参考翻译文本（下称为“参考文本”）之间的词汇相似度来评估翻译质量。BLEU主要计算候选文本与参考文本的</w:t>
      </w:r>
      <w:r>
        <w:rPr>
          <w:rFonts w:ascii="Cambria Math" w:hAnsi="Cambria Math" w:cs="Cambria Math"/>
          <w:color w:val="000000"/>
          <w:szCs w:val="28"/>
        </w:rPr>
        <w:t>𝑛</w:t>
      </w:r>
      <w:r>
        <w:rPr>
          <w:color w:val="000000"/>
          <w:szCs w:val="28"/>
        </w:rPr>
        <w:t>元组（</w:t>
      </w:r>
      <w:r>
        <w:rPr>
          <w:rFonts w:ascii="Cambria Math" w:hAnsi="Cambria Math" w:cs="Cambria Math"/>
          <w:color w:val="000000"/>
          <w:szCs w:val="28"/>
        </w:rPr>
        <w:t>𝑛</w:t>
      </w:r>
      <w:r>
        <w:rPr>
          <w:color w:val="000000"/>
          <w:szCs w:val="28"/>
        </w:rPr>
        <w:t>-gram）共现频率，评分结果在 [0, 1] 的区间内，其具体的计算方式如下所示：</w:t>
      </w:r>
    </w:p>
    <w:p>
      <w:pPr>
        <w:ind w:firstLine="560"/>
        <w:jc w:val="center"/>
      </w:pPr>
      <w:r>
        <w:drawing>
          <wp:inline distT="0" distB="0" distL="114300" distR="114300">
            <wp:extent cx="2743200" cy="744855"/>
            <wp:effectExtent l="0" t="0" r="0" b="0"/>
            <wp:docPr id="487"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111"/>
                    <pic:cNvPicPr>
                      <a:picLocks noChangeAspect="1"/>
                    </pic:cNvPicPr>
                  </pic:nvPicPr>
                  <pic:blipFill>
                    <a:blip r:embed="rId55">
                      <a:clrChange>
                        <a:clrFrom>
                          <a:srgbClr val="FFFFFF"/>
                        </a:clrFrom>
                        <a:clrTo>
                          <a:srgbClr val="FFFFFF">
                            <a:alpha val="0"/>
                          </a:srgbClr>
                        </a:clrTo>
                      </a:clrChange>
                    </a:blip>
                    <a:stretch>
                      <a:fillRect/>
                    </a:stretch>
                  </pic:blipFill>
                  <pic:spPr>
                    <a:xfrm>
                      <a:off x="0" y="0"/>
                      <a:ext cx="2743200" cy="744855"/>
                    </a:xfrm>
                    <a:prstGeom prst="rect">
                      <a:avLst/>
                    </a:prstGeom>
                    <a:noFill/>
                    <a:ln>
                      <a:noFill/>
                    </a:ln>
                  </pic:spPr>
                </pic:pic>
              </a:graphicData>
            </a:graphic>
          </wp:inline>
        </w:drawing>
      </w:r>
    </w:p>
    <w:p>
      <w:pPr>
        <w:ind w:firstLine="560"/>
      </w:pPr>
      <w:r>
        <w:tab/>
      </w:r>
      <w:r>
        <w:t>其中，</w:t>
      </w:r>
      <w:r>
        <w:fldChar w:fldCharType="begin"/>
      </w:r>
      <w:r>
        <w:instrText xml:space="preserve"> QUOTE </w:instrText>
      </w:r>
      <w:r>
        <w:rPr>
          <w:position w:val="-23"/>
        </w:rPr>
        <w:pict>
          <v:shape id="_x0000_i1041"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6BB8&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026BB8&quot; wsp:rsidP=&quot;00026BB8&quot;&gt;&lt;w:pPr&gt;&lt;w:ind w:first-line=&quot;560&quot;/&gt;&lt;/w:pPr&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6" chromakey="#FFFFFF" o:title=""/>
            <o:lock v:ext="edit" aspectratio="t"/>
            <w10:wrap type="none"/>
            <w10:anchorlock/>
          </v:shape>
        </w:pict>
      </w:r>
      <w:r>
        <w:instrText xml:space="preserve"> </w:instrText>
      </w:r>
      <w:r>
        <w:fldChar w:fldCharType="separate"/>
      </w:r>
      <w:r>
        <w:rPr>
          <w:position w:val="-23"/>
        </w:rPr>
        <w:pict>
          <v:shape id="_x0000_i1042"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6BB8&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026BB8&quot; wsp:rsidP=&quot;00026BB8&quot;&gt;&lt;w:pPr&gt;&lt;w:ind w:first-line=&quot;560&quot;/&gt;&lt;/w:pPr&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6" chromakey="#FFFFFF" o:title=""/>
            <o:lock v:ext="edit" aspectratio="t"/>
            <w10:wrap type="none"/>
            <w10:anchorlock/>
          </v:shape>
        </w:pict>
      </w:r>
      <w:r>
        <w:fldChar w:fldCharType="end"/>
      </w:r>
      <w:r>
        <w:t>是</w:t>
      </w:r>
      <w:r>
        <w:rPr>
          <w:rFonts w:ascii="Cambria Math" w:hAnsi="Cambria Math" w:cs="Cambria Math"/>
        </w:rPr>
        <w:t>𝑛</w:t>
      </w:r>
      <w:r>
        <w:t>元组的权重，一般采用</w:t>
      </w:r>
      <w:r>
        <w:rPr>
          <w:rFonts w:ascii="Cambria Math" w:hAnsi="Cambria Math" w:cs="Cambria Math"/>
        </w:rPr>
        <w:t>𝑛</w:t>
      </w:r>
      <w:r>
        <w:t>=4并平均分配权重。BP 表示长度惩罚因子，用于修正由于候选文本长度过短导致的评分偏差，其计算方式为：</w:t>
      </w:r>
    </w:p>
    <w:p>
      <w:pPr>
        <w:ind w:firstLine="560"/>
        <w:jc w:val="center"/>
      </w:pPr>
      <m:oMathPara>
        <m:oMath>
          <m:r>
            <m:rPr/>
            <w:rPr>
              <w:rFonts w:ascii="Cambria Math" w:hAnsi="Cambria Math"/>
            </w:rPr>
            <m:t>BP</m:t>
          </m:r>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 xml:space="preserve">1,                          </m:t>
                    </m:r>
                    <m:r>
                      <m:rPr/>
                      <w:rPr>
                        <w:rFonts w:ascii="Cambria Math" w:hAnsi="Cambria Math"/>
                      </w:rPr>
                      <m:t>if</m:t>
                    </m:r>
                    <m:r>
                      <m:rPr>
                        <m:sty m:val="p"/>
                      </m:rPr>
                      <w:rPr>
                        <w:rFonts w:ascii="Cambria Math" w:hAnsi="Cambria Math"/>
                      </w:rPr>
                      <m:t xml:space="preserve"> </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mr>
                <m:mr>
                  <m:e>
                    <m:r>
                      <m:rPr>
                        <m:sty m:val="p"/>
                      </m:rPr>
                      <w:rPr>
                        <w:rFonts w:ascii="Cambria Math" w:hAnsi="Cambria Math"/>
                      </w:rPr>
                      <m:t>exp⁡(1−</m:t>
                    </m:r>
                    <m:f>
                      <m:fPr>
                        <m:ctrlPr>
                          <w:rPr>
                            <w:rFonts w:ascii="Cambria Math" w:hAnsi="Cambria Math"/>
                          </w:rPr>
                        </m:ctrlPr>
                      </m:fPr>
                      <m:num>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den>
                    </m:f>
                    <m:r>
                      <m:rPr>
                        <m:sty m:val="p"/>
                      </m:rPr>
                      <w:rPr>
                        <w:rFonts w:ascii="Cambria Math" w:hAnsi="Cambria Math"/>
                      </w:rPr>
                      <m:t xml:space="preserve">),      </m:t>
                    </m:r>
                    <m:r>
                      <m:rPr/>
                      <w:rPr>
                        <w:rFonts w:ascii="Cambria Math" w:hAnsi="Cambria Math"/>
                      </w:rPr>
                      <m:t>if</m:t>
                    </m:r>
                    <m:r>
                      <m:rPr>
                        <m:sty m:val="p"/>
                      </m:rPr>
                      <w:rPr>
                        <w:rFonts w:ascii="Cambria Math" w:hAnsi="Cambria Math"/>
                      </w:rPr>
                      <m:t xml:space="preserve"> </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r</m:t>
                        </m:r>
                        <m:ctrlPr>
                          <w:rPr>
                            <w:rFonts w:ascii="Cambria Math" w:hAnsi="Cambria Math"/>
                          </w:rPr>
                        </m:ctrlPr>
                      </m:sub>
                    </m:sSub>
                    <m:ctrlPr>
                      <w:rPr>
                        <w:rFonts w:ascii="Cambria Math" w:hAnsi="Cambria Math"/>
                      </w:rPr>
                    </m:ctrlPr>
                  </m:e>
                </m:mr>
              </m:m>
              <m:ctrlPr>
                <w:rPr>
                  <w:rFonts w:ascii="Cambria Math" w:hAnsi="Cambria Math"/>
                </w:rPr>
              </m:ctrlPr>
            </m:e>
          </m:d>
        </m:oMath>
      </m:oMathPara>
    </w:p>
    <w:p>
      <w:pPr>
        <w:ind w:firstLine="560"/>
      </w:pPr>
      <w:r>
        <w:t>这里，</w:t>
      </w:r>
      <w:r>
        <w:fldChar w:fldCharType="begin"/>
      </w:r>
      <w:r>
        <w:instrText xml:space="preserve"> QUOTE </w:instrText>
      </w:r>
      <w:r>
        <w:rPr>
          <w:position w:val="-23"/>
        </w:rPr>
        <w:pict>
          <v:shape id="_x0000_i1043" o:spt="75" type="#_x0000_t75" style="height:25.2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4DA6&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904DA6&quot; wsp:rsidP=&quot;00904DA6&quot;&gt;&lt;w:pPr&gt;&lt;w:ind w:first-line=&quot;560&quot;/&gt;&lt;/w:pPr&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c&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7" chromakey="#FFFFFF" o:title=""/>
            <o:lock v:ext="edit" aspectratio="t"/>
            <w10:wrap type="none"/>
            <w10:anchorlock/>
          </v:shape>
        </w:pict>
      </w:r>
      <w:r>
        <w:instrText xml:space="preserve"> </w:instrText>
      </w:r>
      <w:r>
        <w:fldChar w:fldCharType="separate"/>
      </w:r>
      <w:r>
        <w:rPr>
          <w:position w:val="-23"/>
        </w:rPr>
        <w:pict>
          <v:shape id="_x0000_i1044" o:spt="75" type="#_x0000_t75" style="height:25.2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4DA6&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904DA6&quot; wsp:rsidP=&quot;00904DA6&quot;&gt;&lt;w:pPr&gt;&lt;w:ind w:first-line=&quot;560&quot;/&gt;&lt;/w:pPr&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c&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7" chromakey="#FFFFFF" o:title=""/>
            <o:lock v:ext="edit" aspectratio="t"/>
            <w10:wrap type="none"/>
            <w10:anchorlock/>
          </v:shape>
        </w:pict>
      </w:r>
      <w:r>
        <w:fldChar w:fldCharType="end"/>
      </w:r>
      <w:r>
        <w:t xml:space="preserve"> 和 </w:t>
      </w:r>
      <w:r>
        <w:fldChar w:fldCharType="begin"/>
      </w:r>
      <w:r>
        <w:instrText xml:space="preserve"> QUOTE </w:instrText>
      </w:r>
      <w:r>
        <w:rPr>
          <w:position w:val="-23"/>
        </w:rPr>
        <w:pict>
          <v:shape id="_x0000_i1045"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4372&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B74372&quot; wsp:rsidP=&quot;00B74372&quot;&gt;&lt;w:pPr&gt;&lt;w:ind w:first-line=&quot;560&quot;/&gt;&lt;/w:pPr&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8" chromakey="#FFFFFF" o:title=""/>
            <o:lock v:ext="edit" aspectratio="t"/>
            <w10:wrap type="none"/>
            <w10:anchorlock/>
          </v:shape>
        </w:pict>
      </w:r>
      <w:r>
        <w:instrText xml:space="preserve"> </w:instrText>
      </w:r>
      <w:r>
        <w:fldChar w:fldCharType="separate"/>
      </w:r>
      <w:r>
        <w:rPr>
          <w:position w:val="-23"/>
        </w:rPr>
        <w:pict>
          <v:shape id="_x0000_i1046"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4372&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B74372&quot; wsp:rsidP=&quot;00B74372&quot;&gt;&lt;w:pPr&gt;&lt;w:ind w:first-line=&quot;560&quot;/&gt;&lt;/w:pPr&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l&lt;/m:t&gt;&lt;/m:r&gt;&lt;/m:e&gt;&lt;m:sub&gt;&lt;m:r&gt;&lt;w:rPr&gt;&lt;w:rFonts w:ascii=&quot;Cambria Math&quot; w:h-ansi=&quot;Cambria Math&quot;/&gt;&lt;wx:font wx:val=&quot;Cambria Math&quot;/&gt;&lt;w:i/&gt;&lt;/w:rPr&gt;&lt;m:t&gt;r&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8" chromakey="#FFFFFF" o:title=""/>
            <o:lock v:ext="edit" aspectratio="t"/>
            <w10:wrap type="none"/>
            <w10:anchorlock/>
          </v:shape>
        </w:pict>
      </w:r>
      <w:r>
        <w:fldChar w:fldCharType="end"/>
      </w:r>
      <w:r>
        <w:t>分别表示候选文本的长度和最短的参考文本长度。</w:t>
      </w:r>
      <w:r>
        <w:fldChar w:fldCharType="begin"/>
      </w:r>
      <w:r>
        <w:instrText xml:space="preserve"> QUOTE </w:instrText>
      </w:r>
      <w:r>
        <w:rPr>
          <w:position w:val="-23"/>
        </w:rPr>
        <w:pict>
          <v:shape id="_x0000_i1047"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5DF3&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685DF3&quot; wsp:rsidP=&quot;00685DF3&quot;&gt;&lt;w:pPr&gt;&lt;w:ind w:first-line=&quot;560&quot;/&gt;&lt;/w:pPr&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9" chromakey="#FFFFFF" o:title=""/>
            <o:lock v:ext="edit" aspectratio="t"/>
            <w10:wrap type="none"/>
            <w10:anchorlock/>
          </v:shape>
        </w:pict>
      </w:r>
      <w:r>
        <w:instrText xml:space="preserve"> </w:instrText>
      </w:r>
      <w:r>
        <w:fldChar w:fldCharType="separate"/>
      </w:r>
      <w:r>
        <w:rPr>
          <w:position w:val="-23"/>
        </w:rPr>
        <w:pict>
          <v:shape id="_x0000_i1048"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5DF3&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685DF3&quot; wsp:rsidP=&quot;00685DF3&quot;&gt;&lt;w:pPr&gt;&lt;w:ind w:first-line=&quot;560&quot;/&gt;&lt;/w:pPr&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p&lt;/m:t&gt;&lt;/m:r&gt;&lt;/m:e&gt;&lt;m:sub&gt;&lt;m:r&gt;&lt;w:rPr&gt;&lt;w:rFonts w:ascii=&quot;Cambria Math&quot; w:h-ansi=&quot;Cambria Math&quot;/&gt;&lt;wx:font wx:val=&quot;Cambria Math&quot;/&gt;&lt;w:i/&gt;&lt;/w:rPr&gt;&lt;m:t&gt;n&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59" chromakey="#FFFFFF" o:title=""/>
            <o:lock v:ext="edit" aspectratio="t"/>
            <w10:wrap type="none"/>
            <w10:anchorlock/>
          </v:shape>
        </w:pict>
      </w:r>
      <w:r>
        <w:fldChar w:fldCharType="end"/>
      </w:r>
      <w:r>
        <w:t>代表</w:t>
      </w:r>
      <w:r>
        <w:rPr>
          <w:rFonts w:ascii="Cambria Math" w:hAnsi="Cambria Math" w:cs="Cambria Math"/>
        </w:rPr>
        <w:t>𝑛</w:t>
      </w:r>
      <w:r>
        <w:t>元组的精确率，计算公式如下：</w:t>
      </w:r>
    </w:p>
    <w:p>
      <w:pPr>
        <w:ind w:firstLine="560"/>
        <w:jc w:val="center"/>
      </w:pPr>
      <w:r>
        <w:drawing>
          <wp:inline distT="0" distB="0" distL="114300" distR="114300">
            <wp:extent cx="5325745" cy="914400"/>
            <wp:effectExtent l="0" t="0" r="0" b="0"/>
            <wp:docPr id="16"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1"/>
                    <pic:cNvPicPr>
                      <a:picLocks noChangeAspect="1"/>
                    </pic:cNvPicPr>
                  </pic:nvPicPr>
                  <pic:blipFill>
                    <a:blip r:embed="rId60">
                      <a:clrChange>
                        <a:clrFrom>
                          <a:srgbClr val="FFFFFF"/>
                        </a:clrFrom>
                        <a:clrTo>
                          <a:srgbClr val="FFFFFF">
                            <a:alpha val="0"/>
                          </a:srgbClr>
                        </a:clrTo>
                      </a:clrChange>
                    </a:blip>
                    <a:stretch>
                      <a:fillRect/>
                    </a:stretch>
                  </pic:blipFill>
                  <pic:spPr>
                    <a:xfrm>
                      <a:off x="0" y="0"/>
                      <a:ext cx="5325745" cy="914400"/>
                    </a:xfrm>
                    <a:prstGeom prst="rect">
                      <a:avLst/>
                    </a:prstGeom>
                    <a:noFill/>
                    <a:ln>
                      <a:noFill/>
                    </a:ln>
                  </pic:spPr>
                </pic:pic>
              </a:graphicData>
            </a:graphic>
          </wp:inline>
        </w:drawing>
      </w:r>
    </w:p>
    <w:p>
      <w:pPr>
        <w:ind w:firstLine="560"/>
        <w:rPr>
          <w:szCs w:val="28"/>
        </w:rPr>
      </w:pPr>
      <w:r>
        <w:rPr>
          <w:szCs w:val="28"/>
        </w:rPr>
        <w:t>其中，</w:t>
      </w:r>
      <w:r>
        <w:rPr>
          <w:szCs w:val="28"/>
        </w:rPr>
        <w:fldChar w:fldCharType="begin"/>
      </w:r>
      <w:r>
        <w:rPr>
          <w:szCs w:val="28"/>
        </w:rPr>
        <w:instrText xml:space="preserve"> QUOTE </w:instrText>
      </w:r>
      <w:r>
        <w:rPr>
          <w:position w:val="-23"/>
        </w:rPr>
        <w:pict>
          <v:shape id="_x0000_i1049" o:spt="75" type="#_x0000_t75" style="height:25.2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32A5&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6A32A5&quot; wsp:rsidP=&quot;006A32A5&quot;&gt;&lt;w:pPr&gt;&lt;w:ind w:first-line=&quot;560&quot;/&gt;&lt;/w:pPr&gt;&lt;m:oMathPara&gt;&lt;m:oMath&gt;&lt;m:r&gt;&lt;w:rPr&gt;&lt;w:rFonts w:ascii=&quot;Cambria Math&quot; w:h-ansi=&quot;Cambria Math&quot;/&gt;&lt;wx:font wx:val=&quot;Cambria Math&quot;/&gt;&lt;w:i/&gt;&lt;w:sz-cs w:val=&quot;28&quot;/&gt;&lt;/w:rPr&gt;&lt;m:t&gt;C&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1" chromakey="#FFFFFF" o:title=""/>
            <o:lock v:ext="edit" aspectratio="t"/>
            <w10:wrap type="none"/>
            <w10:anchorlock/>
          </v:shape>
        </w:pict>
      </w:r>
      <w:r>
        <w:rPr>
          <w:szCs w:val="28"/>
        </w:rPr>
        <w:instrText xml:space="preserve"> </w:instrText>
      </w:r>
      <w:r>
        <w:rPr>
          <w:szCs w:val="28"/>
        </w:rPr>
        <w:fldChar w:fldCharType="separate"/>
      </w:r>
      <w:r>
        <w:rPr>
          <w:position w:val="-23"/>
        </w:rPr>
        <w:pict>
          <v:shape id="_x0000_i1050" o:spt="75" type="#_x0000_t75" style="height:25.2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32A5&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6A32A5&quot; wsp:rsidP=&quot;006A32A5&quot;&gt;&lt;w:pPr&gt;&lt;w:ind w:first-line=&quot;560&quot;/&gt;&lt;/w:pPr&gt;&lt;m:oMathPara&gt;&lt;m:oMath&gt;&lt;m:r&gt;&lt;w:rPr&gt;&lt;w:rFonts w:ascii=&quot;Cambria Math&quot; w:h-ansi=&quot;Cambria Math&quot;/&gt;&lt;wx:font wx:val=&quot;Cambria Math&quot;/&gt;&lt;w:i/&gt;&lt;w:sz-cs w:val=&quot;28&quot;/&gt;&lt;/w:rPr&gt;&lt;m:t&gt;C&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1" chromakey="#FFFFFF" o:title=""/>
            <o:lock v:ext="edit" aspectratio="t"/>
            <w10:wrap type="none"/>
            <w10:anchorlock/>
          </v:shape>
        </w:pict>
      </w:r>
      <w:r>
        <w:rPr>
          <w:szCs w:val="28"/>
        </w:rPr>
        <w:fldChar w:fldCharType="end"/>
      </w:r>
      <w:r>
        <w:rPr>
          <w:szCs w:val="28"/>
        </w:rPr>
        <w:t>代表候选文本，</w:t>
      </w:r>
      <w:r>
        <w:rPr>
          <w:szCs w:val="28"/>
        </w:rPr>
        <w:fldChar w:fldCharType="begin"/>
      </w:r>
      <w:r>
        <w:rPr>
          <w:szCs w:val="28"/>
        </w:rPr>
        <w:instrText xml:space="preserve"> QUOTE </w:instrText>
      </w:r>
      <w:r>
        <w:rPr>
          <w:position w:val="-23"/>
        </w:rPr>
        <w:pict>
          <v:shape id="_x0000_i1051" o:spt="75" type="#_x0000_t75" style="height:25.2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1C81&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D11C81&quot; wsp:rsidP=&quot;00D11C81&quot;&gt;&lt;w:pPr&gt;&lt;w:ind w:first-line=&quot;560&quot;/&gt;&lt;/w:pPr&gt;&lt;m:oMathPara&gt;&lt;m:oMath&gt;&lt;m:r&gt;&lt;w:rPr&gt;&lt;w:rFonts w:ascii=&quot;Cambria Math&quot; w:h-ansi=&quot;Cambria Math&quot;/&gt;&lt;wx:font wx:val=&quot;Cambria Math&quot;/&gt;&lt;w:i/&gt;&lt;w:sz-cs w:val=&quot;28&quot;/&gt;&lt;/w:rPr&gt;&lt;m:t&gt;R&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2" chromakey="#FFFFFF" o:title=""/>
            <o:lock v:ext="edit" aspectratio="t"/>
            <w10:wrap type="none"/>
            <w10:anchorlock/>
          </v:shape>
        </w:pict>
      </w:r>
      <w:r>
        <w:rPr>
          <w:szCs w:val="28"/>
        </w:rPr>
        <w:instrText xml:space="preserve"> </w:instrText>
      </w:r>
      <w:r>
        <w:rPr>
          <w:szCs w:val="28"/>
        </w:rPr>
        <w:fldChar w:fldCharType="separate"/>
      </w:r>
      <w:r>
        <w:rPr>
          <w:position w:val="-23"/>
        </w:rPr>
        <w:pict>
          <v:shape id="_x0000_i1052" o:spt="75" type="#_x0000_t75" style="height:25.2pt;width:6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1C81&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D11C81&quot; wsp:rsidP=&quot;00D11C81&quot;&gt;&lt;w:pPr&gt;&lt;w:ind w:first-line=&quot;560&quot;/&gt;&lt;/w:pPr&gt;&lt;m:oMathPara&gt;&lt;m:oMath&gt;&lt;m:r&gt;&lt;w:rPr&gt;&lt;w:rFonts w:ascii=&quot;Cambria Math&quot; w:h-ansi=&quot;Cambria Math&quot;/&gt;&lt;wx:font wx:val=&quot;Cambria Math&quot;/&gt;&lt;w:i/&gt;&lt;w:sz-cs w:val=&quot;28&quot;/&gt;&lt;/w:rPr&gt;&lt;m:t&gt;R&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2" chromakey="#FFFFFF" o:title=""/>
            <o:lock v:ext="edit" aspectratio="t"/>
            <w10:wrap type="none"/>
            <w10:anchorlock/>
          </v:shape>
        </w:pict>
      </w:r>
      <w:r>
        <w:rPr>
          <w:szCs w:val="28"/>
        </w:rPr>
        <w:fldChar w:fldCharType="end"/>
      </w:r>
      <w:r>
        <w:rPr>
          <w:szCs w:val="28"/>
        </w:rPr>
        <w:t>代表所有参考文本集合</w:t>
      </w:r>
      <w:r>
        <w:rPr>
          <w:szCs w:val="28"/>
        </w:rPr>
        <w:fldChar w:fldCharType="begin"/>
      </w:r>
      <w:r>
        <w:rPr>
          <w:szCs w:val="28"/>
        </w:rPr>
        <w:instrText xml:space="preserve"> QUOTE </w:instrText>
      </w:r>
      <w:r>
        <w:rPr>
          <w:position w:val="-23"/>
        </w:rPr>
        <w:pict>
          <v:shape id="_x0000_i1053"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2FEB&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972FEB&quot; wsp:rsidP=&quot;00972FEB&quot;&gt;&lt;w:pPr&gt;&lt;w:ind w:first-line=&quot;560&quot;/&gt;&lt;/w:pPr&gt;&lt;m:oMathPara&gt;&lt;m:oMath&gt;&lt;m:r&gt;&lt;m:rPr&gt;&lt;m:scr m:val=&quot;fraktur&quot;/&gt;&lt;m:sty m:val=&quot;p&quot;/&gt;&lt;/m:rPr&gt;&lt;w:rPr&gt;&lt;w:rFonts w:ascii=&quot;Cambria Math&quot; w:h-ansi=&quot;Cambria Math&quot;/&gt;&lt;wx:font wx:val=&quot;Cambria Math&quot;/&gt;&lt;/w:rPr&gt;&lt;m:t&gt;R&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3" chromakey="#FFFFFF" o:title=""/>
            <o:lock v:ext="edit" aspectratio="t"/>
            <w10:wrap type="none"/>
            <w10:anchorlock/>
          </v:shape>
        </w:pict>
      </w:r>
      <w:r>
        <w:rPr>
          <w:szCs w:val="28"/>
        </w:rPr>
        <w:instrText xml:space="preserve"> </w:instrText>
      </w:r>
      <w:r>
        <w:rPr>
          <w:szCs w:val="28"/>
        </w:rPr>
        <w:fldChar w:fldCharType="separate"/>
      </w:r>
      <w:r>
        <w:rPr>
          <w:position w:val="-23"/>
        </w:rPr>
        <w:pict>
          <v:shape id="_x0000_i1054"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2FEB&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972FEB&quot; wsp:rsidP=&quot;00972FEB&quot;&gt;&lt;w:pPr&gt;&lt;w:ind w:first-line=&quot;560&quot;/&gt;&lt;/w:pPr&gt;&lt;m:oMathPara&gt;&lt;m:oMath&gt;&lt;m:r&gt;&lt;m:rPr&gt;&lt;m:scr m:val=&quot;fraktur&quot;/&gt;&lt;m:sty m:val=&quot;p&quot;/&gt;&lt;/m:rPr&gt;&lt;w:rPr&gt;&lt;w:rFonts w:ascii=&quot;Cambria Math&quot; w:h-ansi=&quot;Cambria Math&quot;/&gt;&lt;wx:font wx:val=&quot;Cambria Math&quot;/&gt;&lt;/w:rPr&gt;&lt;m:t&gt;R&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3" chromakey="#FFFFFF" o:title=""/>
            <o:lock v:ext="edit" aspectratio="t"/>
            <w10:wrap type="none"/>
            <w10:anchorlock/>
          </v:shape>
        </w:pict>
      </w:r>
      <w:r>
        <w:rPr>
          <w:szCs w:val="28"/>
        </w:rPr>
        <w:fldChar w:fldCharType="end"/>
      </w:r>
      <w:r>
        <w:rPr>
          <w:szCs w:val="28"/>
        </w:rPr>
        <w:t>中的一个文本，</w:t>
      </w:r>
      <w:r>
        <w:fldChar w:fldCharType="begin"/>
      </w:r>
      <w:r>
        <w:instrText xml:space="preserve"> QUOTE </w:instrText>
      </w:r>
      <w:r>
        <w:rPr>
          <w:position w:val="-23"/>
        </w:rPr>
        <w:pict>
          <v:shape id="_x0000_i1055" o:spt="75" type="#_x0000_t75" style="height:25.2pt;width:11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091&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5C7091&quot; wsp:rsidP=&quot;005C7091&quot;&gt;&lt;w:pPr&gt;&lt;w:ind w:first-line=&quot;56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ount&lt;/m:t&gt;&lt;/m:r&gt;&lt;/m:e&gt;&lt;m:sub&gt;&lt;m:r&gt;&lt;w:rPr&gt;&lt;w:rFonts w:ascii=&quot;Cambria Math&quot; w:h-ansi=&quot;Cambria Math&quot;/&gt;&lt;wx:font wx:val=&quot;Cambria Math&quot;/&gt;&lt;w:i/&gt;&lt;/w:rPr&gt;&lt;m:t&gt;C&lt;/m:t&gt;&lt;/m:r&gt;&lt;/m:sub&gt;&lt;/m:sSub&gt;&lt;m:d&gt;&lt;m:dPr&gt;&lt;m:ctrlPr&gt;&lt;w:rPr&gt;&lt;w:rFonts w:ascii=&quot;Cambria Math&quot; w:h-ansi=&quot;Cambria Math&quot;/&gt;&lt;wx:font wx:val=&quot;Cambria Math&quot;/&gt;&lt;/w:rPr&gt;&lt;/m:ctrlPr&gt;&lt;/m:dPr&gt;&lt;m:e&gt;&lt;m:r&gt;&lt;w:rPr&gt;&lt;w:rFonts w:ascii=&quot;Cambria Math&quot; w:h-ansi=&quot;Cambria Math&quot;/&gt;&lt;wx:font wx:val=&quot;Cambria Math&quot;/&gt;&lt;w:i/&gt;&lt;/w:rPr&gt;&lt;m:t&gt;n&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gram&lt;/m:t&gt;&lt;/m:r&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4" chromakey="#FFFFFF" o:title=""/>
            <o:lock v:ext="edit" aspectratio="t"/>
            <w10:wrap type="none"/>
            <w10:anchorlock/>
          </v:shape>
        </w:pict>
      </w:r>
      <w:r>
        <w:instrText xml:space="preserve"> </w:instrText>
      </w:r>
      <w:r>
        <w:fldChar w:fldCharType="separate"/>
      </w:r>
      <w:r>
        <w:rPr>
          <w:position w:val="-23"/>
        </w:rPr>
        <w:pict>
          <v:shape id="_x0000_i1056" o:spt="75" type="#_x0000_t75" style="height:25.2pt;width:11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091&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5C7091&quot; wsp:rsidP=&quot;005C7091&quot;&gt;&lt;w:pPr&gt;&lt;w:ind w:first-line=&quot;56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ount&lt;/m:t&gt;&lt;/m:r&gt;&lt;/m:e&gt;&lt;m:sub&gt;&lt;m:r&gt;&lt;w:rPr&gt;&lt;w:rFonts w:ascii=&quot;Cambria Math&quot; w:h-ansi=&quot;Cambria Math&quot;/&gt;&lt;wx:font wx:val=&quot;Cambria Math&quot;/&gt;&lt;w:i/&gt;&lt;/w:rPr&gt;&lt;m:t&gt;C&lt;/m:t&gt;&lt;/m:r&gt;&lt;/m:sub&gt;&lt;/m:sSub&gt;&lt;m:d&gt;&lt;m:dPr&gt;&lt;m:ctrlPr&gt;&lt;w:rPr&gt;&lt;w:rFonts w:ascii=&quot;Cambria Math&quot; w:h-ansi=&quot;Cambria Math&quot;/&gt;&lt;wx:font wx:val=&quot;Cambria Math&quot;/&gt;&lt;/w:rPr&gt;&lt;/m:ctrlPr&gt;&lt;/m:dPr&gt;&lt;m:e&gt;&lt;m:r&gt;&lt;w:rPr&gt;&lt;w:rFonts w:ascii=&quot;Cambria Math&quot; w:h-ansi=&quot;Cambria Math&quot;/&gt;&lt;wx:font wx:val=&quot;Cambria Math&quot;/&gt;&lt;w:i/&gt;&lt;/w:rPr&gt;&lt;m:t&gt;n&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gram&lt;/m:t&gt;&lt;/m:r&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4" chromakey="#FFFFFF" o:title=""/>
            <o:lock v:ext="edit" aspectratio="t"/>
            <w10:wrap type="none"/>
            <w10:anchorlock/>
          </v:shape>
        </w:pict>
      </w:r>
      <w:r>
        <w:fldChar w:fldCharType="end"/>
      </w:r>
      <w:r>
        <w:t>和</w:t>
      </w:r>
      <w:r>
        <w:fldChar w:fldCharType="begin"/>
      </w:r>
      <w:r>
        <w:instrText xml:space="preserve"> QUOTE </w:instrText>
      </w:r>
      <w:r>
        <w:rPr>
          <w:position w:val="-23"/>
        </w:rPr>
        <w:pict>
          <v:shape id="_x0000_i1057" o:spt="75" type="#_x0000_t75" style="height:25.2pt;width:11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3825&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123825&quot; wsp:rsidP=&quot;00123825&quot;&gt;&lt;w:pPr&gt;&lt;w:ind w:first-line=&quot;56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ount&lt;/m:t&gt;&lt;/m:r&gt;&lt;/m:e&gt;&lt;m:sub&gt;&lt;m:r&gt;&lt;w:rPr&gt;&lt;w:rFonts w:ascii=&quot;Cambria Math&quot; w:h-ansi=&quot;Cambria Math&quot;/&gt;&lt;wx:font wx:val=&quot;Cambria Math&quot;/&gt;&lt;w:i/&gt;&lt;/w:rPr&gt;&lt;m:t&gt;R&lt;/m:t&gt;&lt;/m:r&gt;&lt;/m:sub&gt;&lt;/m:sSub&gt;&lt;m:d&gt;&lt;m:dPr&gt;&lt;m:ctrlPr&gt;&lt;w:rPr&gt;&lt;w:rFonts w:ascii=&quot;Cambria Math&quot; w:h-ansi=&quot;Cambria Math&quot;/&gt;&lt;wx:font wx:val=&quot;Cambria Math&quot;/&gt;&lt;/w:rPr&gt;&lt;/m:ctrlPr&gt;&lt;/m:dPr&gt;&lt;m:e&gt;&lt;m:r&gt;&lt;w:rPr&gt;&lt;w:rFonts w:ascii=&quot;Cambria Math&quot; w:h-ansi=&quot;Cambria Math&quot;/&gt;&lt;wx:font wx:val=&quot;Cambria Math&quot;/&gt;&lt;w:i/&gt;&lt;/w:rPr&gt;&lt;m:t&gt;n&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gram&lt;/m:t&gt;&lt;/m:r&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5" chromakey="#FFFFFF" o:title=""/>
            <o:lock v:ext="edit" aspectratio="t"/>
            <w10:wrap type="none"/>
            <w10:anchorlock/>
          </v:shape>
        </w:pict>
      </w:r>
      <w:r>
        <w:instrText xml:space="preserve"> </w:instrText>
      </w:r>
      <w:r>
        <w:fldChar w:fldCharType="separate"/>
      </w:r>
      <w:r>
        <w:rPr>
          <w:position w:val="-23"/>
        </w:rPr>
        <w:pict>
          <v:shape id="_x0000_i1058" o:spt="75" type="#_x0000_t75" style="height:25.2pt;width:114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3825&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123825&quot; wsp:rsidP=&quot;00123825&quot;&gt;&lt;w:pPr&gt;&lt;w:ind w:first-line=&quot;56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count&lt;/m:t&gt;&lt;/m:r&gt;&lt;/m:e&gt;&lt;m:sub&gt;&lt;m:r&gt;&lt;w:rPr&gt;&lt;w:rFonts w:ascii=&quot;Cambria Math&quot; w:h-ansi=&quot;Cambria Math&quot;/&gt;&lt;wx:font wx:val=&quot;Cambria Math&quot;/&gt;&lt;w:i/&gt;&lt;/w:rPr&gt;&lt;m:t&gt;R&lt;/m:t&gt;&lt;/m:r&gt;&lt;/m:sub&gt;&lt;/m:sSub&gt;&lt;m:d&gt;&lt;m:dPr&gt;&lt;m:ctrlPr&gt;&lt;w:rPr&gt;&lt;w:rFonts w:ascii=&quot;Cambria Math&quot; w:h-ansi=&quot;Cambria Math&quot;/&gt;&lt;wx:font wx:val=&quot;Cambria Math&quot;/&gt;&lt;/w:rPr&gt;&lt;/m:ctrlPr&gt;&lt;/m:dPr&gt;&lt;m:e&gt;&lt;m:r&gt;&lt;w:rPr&gt;&lt;w:rFonts w:ascii=&quot;Cambria Math&quot; w:h-ansi=&quot;Cambria Math&quot;/&gt;&lt;wx:font wx:val=&quot;Cambria Math&quot;/&gt;&lt;w:i/&gt;&lt;/w:rPr&gt;&lt;m:t&gt;n&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gram&lt;/m:t&gt;&lt;/m:r&gt;&lt;/m:e&gt;&lt;/m:d&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5" chromakey="#FFFFFF" o:title=""/>
            <o:lock v:ext="edit" aspectratio="t"/>
            <w10:wrap type="none"/>
            <w10:anchorlock/>
          </v:shape>
        </w:pict>
      </w:r>
      <w:r>
        <w:fldChar w:fldCharType="end"/>
      </w:r>
      <w:r>
        <w:t>分别指</w:t>
      </w:r>
      <w:r>
        <w:rPr>
          <w:rFonts w:ascii="Cambria Math" w:hAnsi="Cambria Math" w:cs="Cambria Math"/>
          <w:szCs w:val="28"/>
        </w:rPr>
        <w:t>𝑛</w:t>
      </w:r>
      <w:r>
        <w:rPr>
          <w:szCs w:val="28"/>
        </w:rPr>
        <w:t>元组在候选文本和参考文本中的出现次数。</w:t>
      </w:r>
    </w:p>
    <w:p>
      <w:pPr>
        <w:pStyle w:val="144"/>
        <w:numPr>
          <w:ilvl w:val="0"/>
          <w:numId w:val="32"/>
        </w:numPr>
        <w:ind w:left="1127" w:firstLineChars="0"/>
        <w:rPr>
          <w:color w:val="000000"/>
          <w:szCs w:val="28"/>
        </w:rPr>
      </w:pPr>
      <w:r>
        <w:rPr>
          <w:color w:val="000000"/>
          <w:szCs w:val="28"/>
        </w:rPr>
        <w:t>ROUGE-</w:t>
      </w:r>
      <w:r>
        <w:rPr>
          <w:rFonts w:ascii="Cambria Math" w:hAnsi="Cambria Math" w:cs="Cambria Math"/>
          <w:color w:val="000000"/>
          <w:szCs w:val="28"/>
        </w:rPr>
        <w:t>𝑛</w:t>
      </w:r>
      <w:r>
        <w:rPr>
          <w:color w:val="000000"/>
          <w:szCs w:val="28"/>
        </w:rPr>
        <w:t>。ROUGE（Recall-Oriented Understudy for Gisting Evaluation）是另一种在机器翻译和文本摘要评估中广泛使用的指标。与BLEU不同，ROUGE主要侧重于召回率，即强调文本信息的覆盖度和完整性。具体来说，ROUGE-</w:t>
      </w:r>
      <w:r>
        <w:rPr>
          <w:rFonts w:ascii="Cambria Math" w:hAnsi="Cambria Math" w:cs="Cambria Math"/>
          <w:color w:val="000000"/>
          <w:szCs w:val="28"/>
        </w:rPr>
        <w:t>𝑛</w:t>
      </w:r>
      <w:r>
        <w:rPr>
          <w:color w:val="000000"/>
          <w:szCs w:val="28"/>
        </w:rPr>
        <w:t xml:space="preserve">通过计算 </w:t>
      </w:r>
      <w:r>
        <w:rPr>
          <w:rFonts w:ascii="Cambria Math" w:hAnsi="Cambria Math" w:cs="Cambria Math"/>
          <w:color w:val="000000"/>
          <w:szCs w:val="28"/>
        </w:rPr>
        <w:t>𝑛</w:t>
      </w:r>
      <w:r>
        <w:rPr>
          <w:color w:val="000000"/>
          <w:szCs w:val="28"/>
        </w:rPr>
        <w:t xml:space="preserve"> 元组上的召回率来评估候选文本的质量，其计算公式如下：</w:t>
      </w:r>
    </w:p>
    <w:p>
      <w:pPr>
        <w:pStyle w:val="144"/>
        <w:ind w:left="560" w:firstLine="0" w:firstLineChars="0"/>
        <w:rPr>
          <w:color w:val="000000"/>
          <w:szCs w:val="28"/>
        </w:rPr>
      </w:pPr>
      <w:r>
        <w:drawing>
          <wp:inline distT="0" distB="0" distL="114300" distR="114300">
            <wp:extent cx="4673600" cy="550545"/>
            <wp:effectExtent l="0" t="0" r="12700" b="0"/>
            <wp:docPr id="19"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2"/>
                    <pic:cNvPicPr>
                      <a:picLocks noChangeAspect="1"/>
                    </pic:cNvPicPr>
                  </pic:nvPicPr>
                  <pic:blipFill>
                    <a:blip r:embed="rId66">
                      <a:clrChange>
                        <a:clrFrom>
                          <a:srgbClr val="FFFFFF"/>
                        </a:clrFrom>
                        <a:clrTo>
                          <a:srgbClr val="FFFFFF">
                            <a:alpha val="0"/>
                          </a:srgbClr>
                        </a:clrTo>
                      </a:clrChange>
                    </a:blip>
                    <a:stretch>
                      <a:fillRect/>
                    </a:stretch>
                  </pic:blipFill>
                  <pic:spPr>
                    <a:xfrm>
                      <a:off x="0" y="0"/>
                      <a:ext cx="4673600" cy="550545"/>
                    </a:xfrm>
                    <a:prstGeom prst="rect">
                      <a:avLst/>
                    </a:prstGeom>
                    <a:noFill/>
                    <a:ln>
                      <a:noFill/>
                    </a:ln>
                  </pic:spPr>
                </pic:pic>
              </a:graphicData>
            </a:graphic>
          </wp:inline>
        </w:drawing>
      </w:r>
    </w:p>
    <w:p>
      <w:pPr>
        <w:pStyle w:val="144"/>
        <w:numPr>
          <w:ilvl w:val="0"/>
          <w:numId w:val="32"/>
        </w:numPr>
        <w:ind w:left="1127" w:firstLineChars="0"/>
        <w:rPr>
          <w:color w:val="000000"/>
          <w:szCs w:val="28"/>
        </w:rPr>
      </w:pPr>
      <w:r>
        <w:rPr>
          <w:color w:val="000000"/>
          <w:szCs w:val="28"/>
        </w:rPr>
        <w:t>ROUGE-L。除了ROUGE-</w:t>
      </w:r>
      <w:r>
        <w:rPr>
          <w:rFonts w:ascii="Cambria Math" w:hAnsi="Cambria Math" w:cs="Cambria Math"/>
          <w:color w:val="000000"/>
          <w:szCs w:val="28"/>
        </w:rPr>
        <w:t>𝑛</w:t>
      </w:r>
      <w:r>
        <w:rPr>
          <w:color w:val="000000"/>
          <w:szCs w:val="28"/>
        </w:rPr>
        <w:t xml:space="preserve">之外，ROUGE还有一个重要的变种是ROUGE-L。ROUGE-L中的“L”代表最长公共子序列（Longest Common Subsequence, LCS），这是一种衡量两个序列相似性的方法。该方法对词组在文本中的连续出现不做要求，因此能够更灵活地捕捉文本间的相似性。与基于 </w:t>
      </w:r>
      <w:r>
        <w:rPr>
          <w:rFonts w:ascii="Cambria Math" w:hAnsi="Cambria Math" w:cs="Cambria Math"/>
          <w:color w:val="000000"/>
          <w:szCs w:val="28"/>
        </w:rPr>
        <w:t>𝑛</w:t>
      </w:r>
      <w:r>
        <w:rPr>
          <w:color w:val="000000"/>
          <w:szCs w:val="28"/>
        </w:rPr>
        <w:t xml:space="preserve"> 元组的ROUGE-</w:t>
      </w:r>
      <w:r>
        <w:rPr>
          <w:rFonts w:ascii="Cambria Math" w:hAnsi="Cambria Math" w:cs="Cambria Math"/>
          <w:color w:val="000000"/>
          <w:szCs w:val="28"/>
        </w:rPr>
        <w:t>𝑛</w:t>
      </w:r>
      <w:r>
        <w:rPr>
          <w:color w:val="000000"/>
          <w:szCs w:val="28"/>
        </w:rPr>
        <w:t>指标不同，ROUGE-L不是简单地计算固定长度的词组匹配，而是寻找候选文本和参考文本之间的最长公共子序列。ROUGE-L以F1分数计算，结合精确率和召回率，一方面衡量候选文本中有多少内容是与参考文本相关的，一方面衡量参考文本中有多少内容被候选文本所覆盖。具体计算公式如下：</w:t>
      </w:r>
    </w:p>
    <w:p>
      <w:pPr>
        <w:ind w:firstLine="560"/>
        <w:jc w:val="center"/>
      </w:pPr>
      <w:r>
        <w:drawing>
          <wp:inline distT="0" distB="0" distL="114300" distR="114300">
            <wp:extent cx="3242945" cy="575945"/>
            <wp:effectExtent l="0" t="0" r="14605" b="0"/>
            <wp:docPr id="20"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3"/>
                    <pic:cNvPicPr>
                      <a:picLocks noChangeAspect="1"/>
                    </pic:cNvPicPr>
                  </pic:nvPicPr>
                  <pic:blipFill>
                    <a:blip r:embed="rId67">
                      <a:clrChange>
                        <a:clrFrom>
                          <a:srgbClr val="FFFFFF"/>
                        </a:clrFrom>
                        <a:clrTo>
                          <a:srgbClr val="FFFFFF">
                            <a:alpha val="0"/>
                          </a:srgbClr>
                        </a:clrTo>
                      </a:clrChange>
                    </a:blip>
                    <a:stretch>
                      <a:fillRect/>
                    </a:stretch>
                  </pic:blipFill>
                  <pic:spPr>
                    <a:xfrm>
                      <a:off x="0" y="0"/>
                      <a:ext cx="3242945" cy="575945"/>
                    </a:xfrm>
                    <a:prstGeom prst="rect">
                      <a:avLst/>
                    </a:prstGeom>
                    <a:noFill/>
                    <a:ln>
                      <a:noFill/>
                    </a:ln>
                  </pic:spPr>
                </pic:pic>
              </a:graphicData>
            </a:graphic>
          </wp:inline>
        </w:drawing>
      </w:r>
    </w:p>
    <w:p>
      <w:pPr>
        <w:ind w:firstLine="560"/>
      </w:pPr>
      <w:r>
        <w:t>其中，</w:t>
      </w:r>
      <w:r>
        <w:fldChar w:fldCharType="begin"/>
      </w:r>
      <w:r>
        <w:instrText xml:space="preserve"> QUOTE </w:instrText>
      </w:r>
      <w:r>
        <w:rPr>
          <w:position w:val="-23"/>
        </w:rPr>
        <w:pict>
          <v:shape id="_x0000_i1059" o:spt="75" type="#_x0000_t75" style="height:25.2pt;width:184.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05A6&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B805A6&quot; wsp:rsidP=&quot;00B805A6&quot;&gt;&lt;w:pPr&gt;&lt;w:ind w:first-line=&quot;560&quot;/&gt;&lt;/w:pPr&gt;&lt;m:oMathPara&gt;&lt;m:oMath&gt;&lt;m:r&gt;&lt;w:rPr&gt;&lt;w:rFonts w:ascii=&quot;Cambria Math&quot; w:h-ansi=&quot;Cambria Math&quot;/&gt;&lt;wx:font wx:val=&quot;Cambria Math&quot;/&gt;&lt;w:i/&gt;&lt;/w:rPr&gt;&lt;m:t&gt;Recall&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LCS&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C&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R&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length&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R&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8" chromakey="#FFFFFF" o:title=""/>
            <o:lock v:ext="edit" aspectratio="t"/>
            <w10:wrap type="none"/>
            <w10:anchorlock/>
          </v:shape>
        </w:pict>
      </w:r>
      <w:r>
        <w:instrText xml:space="preserve"> </w:instrText>
      </w:r>
      <w:r>
        <w:fldChar w:fldCharType="separate"/>
      </w:r>
      <w:r>
        <w:rPr>
          <w:position w:val="-23"/>
        </w:rPr>
        <w:pict>
          <v:shape id="_x0000_i1060" o:spt="75" type="#_x0000_t75" style="height:25.2pt;width:184.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05A6&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B805A6&quot; wsp:rsidP=&quot;00B805A6&quot;&gt;&lt;w:pPr&gt;&lt;w:ind w:first-line=&quot;560&quot;/&gt;&lt;/w:pPr&gt;&lt;m:oMathPara&gt;&lt;m:oMath&gt;&lt;m:r&gt;&lt;w:rPr&gt;&lt;w:rFonts w:ascii=&quot;Cambria Math&quot; w:h-ansi=&quot;Cambria Math&quot;/&gt;&lt;wx:font wx:val=&quot;Cambria Math&quot;/&gt;&lt;w:i/&gt;&lt;/w:rPr&gt;&lt;m:t&gt;Recall&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LCS&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C&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R&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length&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R&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8" chromakey="#FFFFFF" o:title=""/>
            <o:lock v:ext="edit" aspectratio="t"/>
            <w10:wrap type="none"/>
            <w10:anchorlock/>
          </v:shape>
        </w:pict>
      </w:r>
      <w:r>
        <w:fldChar w:fldCharType="end"/>
      </w:r>
      <w:r>
        <w:t>表征文本的召回率，</w:t>
      </w:r>
      <w:r>
        <w:fldChar w:fldCharType="begin"/>
      </w:r>
      <w:r>
        <w:instrText xml:space="preserve"> QUOTE </w:instrText>
      </w:r>
      <w:r>
        <w:rPr>
          <w:position w:val="-23"/>
        </w:rPr>
        <w:pict>
          <v:shape id="_x0000_i1061" o:spt="75" type="#_x0000_t75" style="height:25.2pt;width:210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212&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9D4212&quot; wsp:rsidP=&quot;009D4212&quot;&gt;&lt;w:pPr&gt;&lt;w:ind w:first-line=&quot;560&quot;/&gt;&lt;/w:pPr&gt;&lt;m:oMathPara&gt;&lt;m:oMath&gt;&lt;m:r&gt;&lt;w:rPr&gt;&lt;w:rFonts w:ascii=&quot;Cambria Math&quot; w:h-ansi=&quot;Cambria Math&quot;/&gt;&lt;wx:font wx:val=&quot;Cambria Math&quot;/&gt;&lt;w:i/&gt;&lt;/w:rPr&gt;&lt;m:t&gt;Precision&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LCS&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C&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R&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length&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C&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9" chromakey="#FFFFFF" o:title=""/>
            <o:lock v:ext="edit" aspectratio="t"/>
            <w10:wrap type="none"/>
            <w10:anchorlock/>
          </v:shape>
        </w:pict>
      </w:r>
      <w:r>
        <w:instrText xml:space="preserve"> </w:instrText>
      </w:r>
      <w:r>
        <w:fldChar w:fldCharType="separate"/>
      </w:r>
      <w:r>
        <w:rPr>
          <w:position w:val="-23"/>
        </w:rPr>
        <w:pict>
          <v:shape id="_x0000_i1062" o:spt="75" type="#_x0000_t75" style="height:25.2pt;width:210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212&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9D4212&quot; wsp:rsidP=&quot;009D4212&quot;&gt;&lt;w:pPr&gt;&lt;w:ind w:first-line=&quot;560&quot;/&gt;&lt;/w:pPr&gt;&lt;m:oMathPara&gt;&lt;m:oMath&gt;&lt;m:r&gt;&lt;w:rPr&gt;&lt;w:rFonts w:ascii=&quot;Cambria Math&quot; w:h-ansi=&quot;Cambria Math&quot;/&gt;&lt;wx:font wx:val=&quot;Cambria Math&quot;/&gt;&lt;w:i/&gt;&lt;/w:rPr&gt;&lt;m:t&gt;Precision&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LCS&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C&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R&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length&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C&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69" chromakey="#FFFFFF" o:title=""/>
            <o:lock v:ext="edit" aspectratio="t"/>
            <w10:wrap type="none"/>
            <w10:anchorlock/>
          </v:shape>
        </w:pict>
      </w:r>
      <w:r>
        <w:fldChar w:fldCharType="end"/>
      </w:r>
      <w:r>
        <w:t>表征候选文本的精确率，</w:t>
      </w:r>
      <w:r>
        <w:rPr>
          <w:rFonts w:ascii="Cambria Math" w:hAnsi="Cambria Math" w:cs="Cambria Math"/>
        </w:rPr>
        <w:t>𝛽</w:t>
      </w:r>
      <w:r>
        <w:t>用于决定召回率的权重。</w:t>
      </w:r>
    </w:p>
    <w:p>
      <w:pPr>
        <w:ind w:firstLine="560" w:firstLineChars="0"/>
        <w:rPr>
          <w:color w:val="000000"/>
          <w:szCs w:val="28"/>
        </w:rPr>
      </w:pPr>
      <w:r>
        <w:rPr>
          <w:color w:val="000000"/>
          <w:szCs w:val="28"/>
        </w:rPr>
        <w:t>（4）问答任务相关评测指标</w:t>
      </w:r>
    </w:p>
    <w:p>
      <w:pPr>
        <w:pStyle w:val="112"/>
        <w:ind w:firstLine="560"/>
      </w:pPr>
      <w:r>
        <w:t>问答（Question Answering）要求模型具备文本理解、信息抽取、文本生成等一系列综合能力，旨在基于对所提出问题的精准理解，预测出正确的答案。问答任务主要通过衡量模型给出的答案与真实答案之间的一致性来进行评估，因此通常使用准确率来评估模型的回答结果。</w:t>
      </w:r>
    </w:p>
    <w:p>
      <w:pPr>
        <w:ind w:firstLine="560" w:firstLineChars="0"/>
        <w:rPr>
          <w:color w:val="000000"/>
          <w:szCs w:val="28"/>
        </w:rPr>
      </w:pPr>
      <w:r>
        <w:rPr>
          <w:color w:val="000000"/>
          <w:szCs w:val="28"/>
        </w:rPr>
        <w:t>准确率。旨在计算模型预测正确的样本数占总样本数的比例。针对不同类型的问答任务，判断生成答案的正确性标准有所不同。例如，对于数学推理任务，答案的正确性由参考答案表达式和预测答案表达式的等价性决定；对于阅读理解、知识问答等任务，通常采用精确匹配率（Exact Match, EM）指标和F1分数。对于每一组问答对，精确匹配率衡量了模型生成的答案与标准答案是否匹配，F1分数综合衡量了预测答案与标准答案在字符级别匹配上的精确率和召回率。</w:t>
      </w:r>
    </w:p>
    <w:p>
      <w:pPr>
        <w:ind w:firstLine="560" w:firstLineChars="0"/>
        <w:rPr>
          <w:color w:val="000000"/>
          <w:szCs w:val="28"/>
        </w:rPr>
      </w:pPr>
      <w:r>
        <w:rPr>
          <w:color w:val="000000"/>
          <w:szCs w:val="28"/>
        </w:rPr>
        <w:t>（5）执行类任务相关评测指标</w:t>
      </w:r>
    </w:p>
    <w:p>
      <w:pPr>
        <w:pStyle w:val="112"/>
        <w:ind w:firstLine="560"/>
      </w:pPr>
      <w:r>
        <w:t>执行类任务涉及模型与外部环境进行交互，通过工具的调用获得具体的执行结果。评测时，模型执行任务的正确性可以通过外部环境的反馈来判断。例如，在代码合成任务中，通过编译器执行测试样例的正确率来判断代码是否完成了目标任务。在执行类任务的评估中，模型是否成功完成了任务是一种关键的衡量标准。因此，通常采用成功率（Success Rate）和Pass@</w:t>
      </w:r>
      <w:r>
        <w:rPr>
          <w:rFonts w:ascii="Cambria Math" w:hAnsi="Cambria Math" w:cs="Cambria Math"/>
        </w:rPr>
        <w:t>𝑘</w:t>
      </w:r>
      <w:r>
        <w:t>作为衡量的主要指标。</w:t>
      </w:r>
    </w:p>
    <w:p>
      <w:pPr>
        <w:pStyle w:val="144"/>
        <w:numPr>
          <w:ilvl w:val="0"/>
          <w:numId w:val="32"/>
        </w:numPr>
        <w:ind w:left="1127" w:firstLineChars="0"/>
        <w:rPr>
          <w:color w:val="000000"/>
          <w:szCs w:val="28"/>
        </w:rPr>
      </w:pPr>
      <w:r>
        <w:rPr>
          <w:color w:val="000000"/>
          <w:szCs w:val="28"/>
        </w:rPr>
        <w:t>成功率。作为衡量大语言模型在执行类任务中性能的核心指标，主要用于评估模型完成特定任务的能力，适用于包括智能体评估、工具使用（Tool Manipulation）评估等在内的多种评估场景。通过衡量模型成功完成任务的次数与任务总数之间的比例，成功率能够直观展现模型在实际任务执行能力上的表现。</w:t>
      </w:r>
    </w:p>
    <w:p>
      <w:pPr>
        <w:pStyle w:val="144"/>
        <w:numPr>
          <w:ilvl w:val="0"/>
          <w:numId w:val="32"/>
        </w:numPr>
        <w:ind w:left="1127" w:firstLineChars="0"/>
        <w:rPr>
          <w:color w:val="000000"/>
          <w:szCs w:val="28"/>
        </w:rPr>
      </w:pPr>
      <w:r>
        <w:rPr>
          <w:color w:val="000000"/>
          <w:szCs w:val="28"/>
        </w:rPr>
        <w:t>Pass@</w:t>
      </w:r>
      <w:r>
        <w:rPr>
          <w:rFonts w:ascii="Cambria Math" w:hAnsi="Cambria Math" w:cs="Cambria Math"/>
          <w:color w:val="000000"/>
          <w:szCs w:val="28"/>
        </w:rPr>
        <w:t>𝑘</w:t>
      </w:r>
      <w:r>
        <w:rPr>
          <w:color w:val="000000"/>
          <w:szCs w:val="28"/>
        </w:rPr>
        <w:t>。Pass@</w:t>
      </w:r>
      <w:r>
        <w:rPr>
          <w:rFonts w:ascii="Cambria Math" w:hAnsi="Cambria Math" w:cs="Cambria Math"/>
          <w:color w:val="000000"/>
          <w:szCs w:val="28"/>
        </w:rPr>
        <w:t>𝑘</w:t>
      </w:r>
      <w:r>
        <w:rPr>
          <w:color w:val="000000"/>
          <w:szCs w:val="28"/>
        </w:rPr>
        <w:t>是评测大语言模型代码合成（Code Synthesis）能力的指标，核心思想是计算模型针对单个问题输入生成的</w:t>
      </w:r>
      <w:r>
        <w:rPr>
          <w:rFonts w:ascii="Cambria Math" w:hAnsi="Cambria Math" w:cs="Cambria Math"/>
          <w:color w:val="000000"/>
          <w:szCs w:val="28"/>
        </w:rPr>
        <w:t>𝑘</w:t>
      </w:r>
      <w:r>
        <w:rPr>
          <w:color w:val="000000"/>
          <w:szCs w:val="28"/>
        </w:rPr>
        <w:t>个代码输出中至少有一个代码能够通过验证的概率。但直接计算该指标需要对单个问题重复测试，并在每次测试中生成</w:t>
      </w:r>
      <w:r>
        <w:rPr>
          <w:rFonts w:ascii="Cambria Math" w:hAnsi="Cambria Math" w:cs="Cambria Math"/>
          <w:color w:val="000000"/>
          <w:szCs w:val="28"/>
        </w:rPr>
        <w:t>𝑘</w:t>
      </w:r>
      <w:r>
        <w:rPr>
          <w:color w:val="000000"/>
          <w:szCs w:val="28"/>
        </w:rPr>
        <w:t>个代码的计算成本太高。为降低评估的计算复杂度，工程上常采用无偏估计的方式来近似计算Pass@</w:t>
      </w:r>
      <w:r>
        <w:rPr>
          <w:rFonts w:ascii="Cambria Math" w:hAnsi="Cambria Math" w:cs="Cambria Math"/>
          <w:color w:val="000000"/>
          <w:szCs w:val="28"/>
        </w:rPr>
        <w:t>𝑘</w:t>
      </w:r>
      <w:r>
        <w:rPr>
          <w:color w:val="000000"/>
          <w:szCs w:val="28"/>
        </w:rPr>
        <w:t>的值，其估计公式如下：</w:t>
      </w:r>
    </w:p>
    <w:p>
      <w:pPr>
        <w:ind w:firstLine="560"/>
        <w:jc w:val="center"/>
      </w:pPr>
      <m:oMathPara>
        <m:oMath>
          <m:r>
            <m:rPr/>
            <w:rPr>
              <w:rFonts w:ascii="Cambria Math" w:hAnsi="Cambria Math"/>
            </w:rPr>
            <m:t>Pass</m:t>
          </m:r>
          <m:r>
            <m:rPr>
              <m:sty m:val="p"/>
            </m:rPr>
            <w:rPr>
              <w:rFonts w:ascii="Cambria Math" w:hAnsi="Cambria Math"/>
            </w:rPr>
            <m:t>@</m:t>
          </m:r>
          <m:r>
            <m:rPr/>
            <w:rPr>
              <w:rFonts w:ascii="Cambria Math" w:hAnsi="Cambria Math"/>
            </w:rPr>
            <m:t>k</m:t>
          </m:r>
          <m:r>
            <m:rPr>
              <m:sty m:val="p"/>
              <m:scr m:val="double-struck"/>
            </m:rPr>
            <w:rPr>
              <w:rFonts w:ascii="Cambria Math" w:hAnsi="Cambria Math"/>
            </w:rPr>
            <m:t>=E</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m:t>
                  </m:r>
                  <m:m>
                    <m:mPr>
                      <m:mcs>
                        <m:mc>
                          <m:mcPr>
                            <m:count m:val="1"/>
                            <m:mcJc m:val="center"/>
                          </m:mcPr>
                        </m:mc>
                      </m:mcs>
                      <m:ctrlPr>
                        <w:rPr>
                          <w:rFonts w:ascii="Cambria Math" w:hAnsi="Cambria Math"/>
                        </w:rPr>
                      </m:ctrlPr>
                    </m:mPr>
                    <m:mr>
                      <m:e>
                        <m:r>
                          <m:rPr/>
                          <w:rPr>
                            <w:rFonts w:ascii="Cambria Math" w:hAnsi="Cambria Math"/>
                          </w:rPr>
                          <m:t>n</m:t>
                        </m:r>
                        <m:r>
                          <m:rPr>
                            <m:sty m:val="p"/>
                          </m:rPr>
                          <w:rPr>
                            <w:rFonts w:ascii="Cambria Math" w:hAnsi="Cambria Math"/>
                          </w:rPr>
                          <m:t>−</m:t>
                        </m:r>
                        <m:r>
                          <m:rPr/>
                          <w:rPr>
                            <w:rFonts w:ascii="Cambria Math" w:hAnsi="Cambria Math"/>
                          </w:rPr>
                          <m:t>c</m:t>
                        </m:r>
                        <m:ctrlPr>
                          <w:rPr>
                            <w:rFonts w:ascii="Cambria Math" w:hAnsi="Cambria Math"/>
                          </w:rPr>
                        </m:ctrlPr>
                      </m:e>
                    </m:mr>
                    <m:mr>
                      <m:e>
                        <m:r>
                          <m:rPr/>
                          <w:rPr>
                            <w:rFonts w:ascii="Cambria Math" w:hAnsi="Cambria Math"/>
                          </w:rPr>
                          <m:t>k</m:t>
                        </m:r>
                        <m:ctrlPr>
                          <w:rPr>
                            <w:rFonts w:ascii="Cambria Math" w:hAnsi="Cambria Math"/>
                          </w:rPr>
                        </m:ctrlPr>
                      </m:e>
                    </m:mr>
                  </m:m>
                  <m:r>
                    <m:rPr>
                      <m:sty m:val="p"/>
                    </m:rPr>
                    <w:rPr>
                      <w:rFonts w:ascii="Cambria Math" w:hAnsi="Cambria Math"/>
                    </w:rPr>
                    <m:t>)</m:t>
                  </m:r>
                  <m:ctrlPr>
                    <w:rPr>
                      <w:rFonts w:ascii="Cambria Math" w:hAnsi="Cambria Math"/>
                    </w:rPr>
                  </m:ctrlPr>
                </m:num>
                <m:den>
                  <m:r>
                    <m:rPr>
                      <m:sty m:val="p"/>
                    </m:rPr>
                    <w:rPr>
                      <w:rFonts w:ascii="Cambria Math" w:hAnsi="Cambria Math"/>
                    </w:rPr>
                    <m:t>(</m:t>
                  </m:r>
                  <m:m>
                    <m:mPr>
                      <m:mcs>
                        <m:mc>
                          <m:mcPr>
                            <m:count m:val="1"/>
                            <m:mcJc m:val="center"/>
                          </m:mcPr>
                        </m:mc>
                      </m:mcs>
                      <m:ctrlPr>
                        <w:rPr>
                          <w:rFonts w:ascii="Cambria Math" w:hAnsi="Cambria Math"/>
                        </w:rPr>
                      </m:ctrlPr>
                    </m:mPr>
                    <m:mr>
                      <m:e>
                        <m:r>
                          <m:rPr/>
                          <w:rPr>
                            <w:rFonts w:ascii="Cambria Math" w:hAnsi="Cambria Math"/>
                          </w:rPr>
                          <m:t>n</m:t>
                        </m:r>
                        <m:ctrlPr>
                          <w:rPr>
                            <w:rFonts w:ascii="Cambria Math" w:hAnsi="Cambria Math"/>
                          </w:rPr>
                        </m:ctrlPr>
                      </m:e>
                    </m:mr>
                    <m:mr>
                      <m:e>
                        <m:r>
                          <m:rPr/>
                          <w:rPr>
                            <w:rFonts w:ascii="Cambria Math" w:hAnsi="Cambria Math"/>
                          </w:rPr>
                          <m:t>k</m:t>
                        </m:r>
                        <m:ctrlPr>
                          <w:rPr>
                            <w:rFonts w:ascii="Cambria Math" w:hAnsi="Cambria Math"/>
                          </w:rPr>
                        </m:ctrlPr>
                      </m:e>
                    </m:mr>
                  </m:m>
                  <m:r>
                    <m:rPr>
                      <m:sty m:val="p"/>
                    </m:rPr>
                    <w:rPr>
                      <w:rFonts w:ascii="Cambria Math" w:hAnsi="Cambria Math"/>
                    </w:rPr>
                    <m:t>)</m:t>
                  </m:r>
                  <m:ctrlPr>
                    <w:rPr>
                      <w:rFonts w:ascii="Cambria Math" w:hAnsi="Cambria Math"/>
                    </w:rPr>
                  </m:ctrlPr>
                </m:den>
              </m:f>
              <m:ctrlPr>
                <w:rPr>
                  <w:rFonts w:ascii="Cambria Math" w:hAnsi="Cambria Math"/>
                </w:rPr>
              </m:ctrlPr>
            </m:e>
          </m:d>
        </m:oMath>
      </m:oMathPara>
    </w:p>
    <w:p>
      <w:pPr>
        <w:ind w:firstLine="560"/>
      </w:pPr>
      <w:r>
        <w:t>其中，</w:t>
      </w:r>
      <w:r>
        <w:rPr>
          <w:rFonts w:ascii="Cambria Math" w:hAnsi="Cambria Math" w:cs="Cambria Math"/>
        </w:rPr>
        <w:t>𝑛</w:t>
      </w:r>
      <w:r>
        <w:t>代表对每个测试问题合成的代码总数，</w:t>
      </w:r>
      <w:r>
        <w:rPr>
          <w:rFonts w:ascii="Cambria Math" w:hAnsi="Cambria Math" w:cs="Cambria Math"/>
        </w:rPr>
        <w:t>𝑐</w:t>
      </w:r>
      <w:r>
        <w:t>代表满足要求的代码数量。</w:t>
      </w:r>
    </w:p>
    <w:p>
      <w:pPr>
        <w:pStyle w:val="144"/>
        <w:numPr>
          <w:ilvl w:val="0"/>
          <w:numId w:val="33"/>
        </w:numPr>
        <w:ind w:firstLineChars="0"/>
        <w:rPr>
          <w:color w:val="000000"/>
          <w:szCs w:val="28"/>
        </w:rPr>
      </w:pPr>
      <w:r>
        <w:rPr>
          <w:color w:val="000000"/>
          <w:szCs w:val="28"/>
        </w:rPr>
        <w:t>偏好排序任务相关评测指标</w:t>
      </w:r>
    </w:p>
    <w:p>
      <w:pPr>
        <w:pStyle w:val="112"/>
        <w:ind w:firstLine="560"/>
        <w:rPr>
          <w:color w:val="000000"/>
          <w:szCs w:val="28"/>
        </w:rPr>
      </w:pPr>
      <w:r>
        <w:t>偏好排序任务是让模型根据某种标准，对一组文本或选项进行排序的任务。这种任务通常涉及到比较和评估不同文本或选项之间的质量、相关性、重要性或满意度等方面的差异。在偏好排序任务中，通常采用Elo等级分制度来进行模型性能的评估。</w:t>
      </w:r>
    </w:p>
    <w:p>
      <w:pPr>
        <w:pStyle w:val="144"/>
        <w:numPr>
          <w:ilvl w:val="0"/>
          <w:numId w:val="32"/>
        </w:numPr>
        <w:ind w:left="1127" w:firstLineChars="0"/>
      </w:pPr>
      <w:r>
        <w:t>Elo评分体系（Elo Rating System）是一种广泛应用于各类对弈活动的评价方法，用于评估和比较不同模型之间的性能，特别是在基于成对比较的评测任务中发挥着重要作用，其核心思想是通过模型之间的成对比较来动态更新两个模型各自的评分。具体操作流程是首先为每个模型分配一个初始的Elo分数，然后根据两个模型当前的Elo分数计算出它们各自的期望胜率：</w:t>
      </w:r>
    </w:p>
    <w:p>
      <w:pPr>
        <w:ind w:firstLine="560"/>
        <w:jc w:val="center"/>
      </w:pPr>
      <m:oMathPara>
        <m:oMath>
          <m:sSub>
            <m:sSubPr>
              <m:ctrlPr>
                <w:rPr>
                  <w:rFonts w:ascii="Cambria Math" w:hAnsi="Cambria Math"/>
                </w:rPr>
              </m:ctrlPr>
            </m:sSubPr>
            <m:e>
              <m:r>
                <m:rPr>
                  <m:sty m:val="p"/>
                  <m:scr m:val="double-struck"/>
                </m:rPr>
                <w:rPr>
                  <w:rFonts w:ascii="Cambria Math" w:hAnsi="Cambria Math"/>
                </w:rPr>
                <m:t>E</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=1/(1+</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)/400</m:t>
              </m:r>
              <m:ctrlPr>
                <w:rPr>
                  <w:rFonts w:ascii="Cambria Math" w:hAnsi="Cambria Math"/>
                </w:rPr>
              </m:ctrlPr>
            </m:sup>
          </m:sSup>
          <m:r>
            <m:rPr>
              <m:sty m:val="p"/>
            </m:rPr>
            <w:rPr>
              <w:rFonts w:ascii="Cambria Math" w:hAnsi="Cambria Math"/>
            </w:rPr>
            <m:t>)</m:t>
          </m:r>
        </m:oMath>
      </m:oMathPara>
    </w:p>
    <w:p>
      <w:pPr>
        <w:ind w:firstLine="560"/>
        <w:jc w:val="center"/>
      </w:pPr>
      <m:oMathPara>
        <m:oMath>
          <m:sSub>
            <m:sSubPr>
              <m:ctrlPr>
                <w:rPr>
                  <w:rFonts w:ascii="Cambria Math" w:hAnsi="Cambria Math"/>
                </w:rPr>
              </m:ctrlPr>
            </m:sSubPr>
            <m:e>
              <m:r>
                <m:rPr>
                  <m:sty m:val="p"/>
                  <m:scr m:val="double-struck"/>
                </m:rPr>
                <w:rPr>
                  <w:rFonts w:ascii="Cambria Math" w:hAnsi="Cambria Math"/>
                </w:rPr>
                <m:t>E</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=1/(1+</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B</m:t>
                  </m:r>
                  <m:ctrlPr>
                    <w:rPr>
                      <w:rFonts w:ascii="Cambria Math" w:hAnsi="Cambria Math"/>
                    </w:rPr>
                  </m:ctrlPr>
                </m:sub>
              </m:sSub>
              <m:r>
                <m:rPr>
                  <m:sty m:val="p"/>
                </m:rPr>
                <w:rPr>
                  <w:rFonts w:ascii="Cambria Math" w:hAnsi="Cambria Math"/>
                </w:rPr>
                <m:t>)/400</m:t>
              </m:r>
              <m:ctrlPr>
                <w:rPr>
                  <w:rFonts w:ascii="Cambria Math" w:hAnsi="Cambria Math"/>
                </w:rPr>
              </m:ctrlPr>
            </m:sup>
          </m:sSup>
          <m:r>
            <m:rPr>
              <m:sty m:val="p"/>
            </m:rPr>
            <w:rPr>
              <w:rFonts w:ascii="Cambria Math" w:hAnsi="Cambria Math"/>
            </w:rPr>
            <m:t>)</m:t>
          </m:r>
        </m:oMath>
      </m:oMathPara>
    </w:p>
    <w:p>
      <w:pPr>
        <w:pStyle w:val="144"/>
        <w:ind w:left="560" w:firstLine="0" w:firstLineChars="0"/>
        <w:rPr>
          <w:color w:val="000000"/>
          <w:szCs w:val="28"/>
        </w:rPr>
      </w:pPr>
      <w:r>
        <w:rPr>
          <w:color w:val="000000"/>
          <w:szCs w:val="28"/>
        </w:rPr>
        <w:t>其中，</w:t>
      </w:r>
      <w:r>
        <w:rPr>
          <w:color w:val="000000"/>
          <w:szCs w:val="28"/>
        </w:rPr>
        <w:fldChar w:fldCharType="begin"/>
      </w:r>
      <w:r>
        <w:rPr>
          <w:color w:val="000000"/>
          <w:szCs w:val="28"/>
        </w:rPr>
        <w:instrText xml:space="preserve"> QUOTE </w:instrText>
      </w:r>
      <w:r>
        <w:rPr>
          <w:position w:val="-23"/>
        </w:rPr>
        <w:pict>
          <v:shape id="_x0000_i1063" o:spt="75" type="#_x0000_t75" style="height:25.2pt;width:19.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4F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4E74FF&quot; wsp:rsidP=&quot;004E74FF&quot;&gt;&lt;w:pPr&gt;&lt;w:ind w:first-line=&quot;560&quot;/&gt;&lt;/w:pPr&gt;&lt;m:oMathPara&gt;&lt;m:oMath&gt;&lt;m:sSub&gt;&lt;m:sSubPr&gt;&lt;m:ctrlPr&gt;&lt;w:rPr&gt;&lt;w:rFonts w:ascii=&quot;Cambria Math&quot; w:h-ansi=&quot;Cambria Math&quot;/&gt;&lt;wx:font wx:val=&quot;Cambria Math&quot;/&gt;&lt;w:i/&gt;&lt;w:color w:val=&quot;000000&quot;/&gt;&lt;w:sz-cs w:val=&quot;28&quot;/&gt;&lt;/w:rPr&gt;&lt;/m:ctrlPr&gt;&lt;/m:sSubPr&gt;&lt;m:e&gt;&lt;m:r&gt;&lt;w:rPr&gt;&lt;w:rFonts w:ascii=&quot;Cambria Math&quot; w:h-ansi=&quot;Cambria Math&quot;/&gt;&lt;wx:font wx:val=&quot;Cambria Math&quot;/&gt;&lt;w:i/&gt;&lt;w:color w:val=&quot;000000&quot;/&gt;&lt;w:sz-cs w:val=&quot;28&quot;/&gt;&lt;/w:rPr&gt;&lt;m:t&gt;r&lt;/m:t&gt;&lt;/m:r&gt;&lt;/m:e&gt;&lt;m:sub&gt;&lt;m:r&gt;&lt;w:rPr&gt;&lt;w:rFonts w:ascii=&quot;Cambria Math&quot; w:h-ansi=&quot;Cambria Math&quot;/&gt;&lt;wx:font wx:val=&quot;Cambria Math&quot;/&gt;&lt;w:i/&gt;&lt;w:color w:val=&quot;000000&quot;/&gt;&lt;w:sz-cs w:val=&quot;28&quot;/&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70" chromakey="#FFFFFF" o:title=""/>
            <o:lock v:ext="edit" aspectratio="t"/>
            <w10:wrap type="none"/>
            <w10:anchorlock/>
          </v:shape>
        </w:pict>
      </w:r>
      <w:r>
        <w:rPr>
          <w:color w:val="000000"/>
          <w:szCs w:val="28"/>
        </w:rPr>
        <w:instrText xml:space="preserve"> </w:instrText>
      </w:r>
      <w:r>
        <w:rPr>
          <w:color w:val="000000"/>
          <w:szCs w:val="28"/>
        </w:rPr>
        <w:fldChar w:fldCharType="separate"/>
      </w:r>
      <w:r>
        <w:rPr>
          <w:position w:val="-23"/>
        </w:rPr>
        <w:pict>
          <v:shape id="_x0000_i1064" o:spt="75" type="#_x0000_t75" style="height:25.2pt;width:19.2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4F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4E74FF&quot; wsp:rsidP=&quot;004E74FF&quot;&gt;&lt;w:pPr&gt;&lt;w:ind w:first-line=&quot;560&quot;/&gt;&lt;/w:pPr&gt;&lt;m:oMathPara&gt;&lt;m:oMath&gt;&lt;m:sSub&gt;&lt;m:sSubPr&gt;&lt;m:ctrlPr&gt;&lt;w:rPr&gt;&lt;w:rFonts w:ascii=&quot;Cambria Math&quot; w:h-ansi=&quot;Cambria Math&quot;/&gt;&lt;wx:font wx:val=&quot;Cambria Math&quot;/&gt;&lt;w:i/&gt;&lt;w:color w:val=&quot;000000&quot;/&gt;&lt;w:sz-cs w:val=&quot;28&quot;/&gt;&lt;/w:rPr&gt;&lt;/m:ctrlPr&gt;&lt;/m:sSubPr&gt;&lt;m:e&gt;&lt;m:r&gt;&lt;w:rPr&gt;&lt;w:rFonts w:ascii=&quot;Cambria Math&quot; w:h-ansi=&quot;Cambria Math&quot;/&gt;&lt;wx:font wx:val=&quot;Cambria Math&quot;/&gt;&lt;w:i/&gt;&lt;w:color w:val=&quot;000000&quot;/&gt;&lt;w:sz-cs w:val=&quot;28&quot;/&gt;&lt;/w:rPr&gt;&lt;m:t&gt;r&lt;/m:t&gt;&lt;/m:r&gt;&lt;/m:e&gt;&lt;m:sub&gt;&lt;m:r&gt;&lt;w:rPr&gt;&lt;w:rFonts w:ascii=&quot;Cambria Math&quot; w:h-ansi=&quot;Cambria Math&quot;/&gt;&lt;wx:font wx:val=&quot;Cambria Math&quot;/&gt;&lt;w:i/&gt;&lt;w:color w:val=&quot;000000&quot;/&gt;&lt;w:sz-cs w:val=&quot;28&quot;/&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70" chromakey="#FFFFFF" o:title=""/>
            <o:lock v:ext="edit" aspectratio="t"/>
            <w10:wrap type="none"/>
            <w10:anchorlock/>
          </v:shape>
        </w:pict>
      </w:r>
      <w:r>
        <w:rPr>
          <w:color w:val="000000"/>
          <w:szCs w:val="28"/>
        </w:rPr>
        <w:fldChar w:fldCharType="end"/>
      </w:r>
      <w:r>
        <w:rPr>
          <w:color w:val="000000"/>
          <w:szCs w:val="28"/>
        </w:rPr>
        <w:t>，</w:t>
      </w:r>
      <w:r>
        <w:rPr>
          <w:color w:val="000000"/>
          <w:szCs w:val="28"/>
        </w:rPr>
        <w:fldChar w:fldCharType="begin"/>
      </w:r>
      <w:r>
        <w:rPr>
          <w:color w:val="000000"/>
          <w:szCs w:val="28"/>
        </w:rPr>
        <w:instrText xml:space="preserve"> QUOTE </w:instrText>
      </w:r>
      <w:r>
        <w:rPr>
          <w:position w:val="-23"/>
        </w:rPr>
        <w:pict>
          <v:shape id="_x0000_i1065"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192&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415192&quot; wsp:rsidP=&quot;00415192&quot;&gt;&lt;w:pPr&gt;&lt;w:ind w:first-line=&quot;560&quot;/&gt;&lt;/w:pPr&gt;&lt;m:oMathPara&gt;&lt;m:oMath&gt;&lt;m:sSub&gt;&lt;m:sSubPr&gt;&lt;m:ctrlPr&gt;&lt;w:rPr&gt;&lt;w:rFonts w:ascii=&quot;Cambria Math&quot; w:h-ansi=&quot;Cambria Math&quot;/&gt;&lt;wx:font wx:val=&quot;Cambria Math&quot;/&gt;&lt;w:i/&gt;&lt;w:color w:val=&quot;000000&quot;/&gt;&lt;w:sz-cs w:val=&quot;28&quot;/&gt;&lt;/w:rPr&gt;&lt;/m:ctrlPr&gt;&lt;/m:sSubPr&gt;&lt;m:e&gt;&lt;m:r&gt;&lt;w:rPr&gt;&lt;w:rFonts w:ascii=&quot;Cambria Math&quot; w:h-ansi=&quot;Cambria Math&quot;/&gt;&lt;wx:font wx:val=&quot;Cambria Math&quot;/&gt;&lt;w:i/&gt;&lt;w:color w:val=&quot;000000&quot;/&gt;&lt;w:sz-cs w:val=&quot;28&quot;/&gt;&lt;/w:rPr&gt;&lt;m:t&gt;r&lt;/m:t&gt;&lt;/m:r&gt;&lt;/m:e&gt;&lt;m:sub&gt;&lt;m:r&gt;&lt;w:rPr&gt;&lt;w:rFonts w:ascii=&quot;Cambria Math&quot; w:h-ansi=&quot;Cambria Math&quot;/&gt;&lt;wx:font wx:val=&quot;Cambria Math&quot;/&gt;&lt;w:i/&gt;&lt;w:color w:val=&quot;000000&quot;/&gt;&lt;w:sz-cs w:val=&quot;28&quot;/&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71" chromakey="#FFFFFF" o:title=""/>
            <o:lock v:ext="edit" aspectratio="t"/>
            <w10:wrap type="none"/>
            <w10:anchorlock/>
          </v:shape>
        </w:pict>
      </w:r>
      <w:r>
        <w:rPr>
          <w:color w:val="000000"/>
          <w:szCs w:val="28"/>
        </w:rPr>
        <w:instrText xml:space="preserve"> </w:instrText>
      </w:r>
      <w:r>
        <w:rPr>
          <w:color w:val="000000"/>
          <w:szCs w:val="28"/>
        </w:rPr>
        <w:fldChar w:fldCharType="separate"/>
      </w:r>
      <w:r>
        <w:rPr>
          <w:position w:val="-23"/>
        </w:rPr>
        <w:pict>
          <v:shape id="_x0000_i1066"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192&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415192&quot; wsp:rsidP=&quot;00415192&quot;&gt;&lt;w:pPr&gt;&lt;w:ind w:first-line=&quot;560&quot;/&gt;&lt;/w:pPr&gt;&lt;m:oMathPara&gt;&lt;m:oMath&gt;&lt;m:sSub&gt;&lt;m:sSubPr&gt;&lt;m:ctrlPr&gt;&lt;w:rPr&gt;&lt;w:rFonts w:ascii=&quot;Cambria Math&quot; w:h-ansi=&quot;Cambria Math&quot;/&gt;&lt;wx:font wx:val=&quot;Cambria Math&quot;/&gt;&lt;w:i/&gt;&lt;w:color w:val=&quot;000000&quot;/&gt;&lt;w:sz-cs w:val=&quot;28&quot;/&gt;&lt;/w:rPr&gt;&lt;/m:ctrlPr&gt;&lt;/m:sSubPr&gt;&lt;m:e&gt;&lt;m:r&gt;&lt;w:rPr&gt;&lt;w:rFonts w:ascii=&quot;Cambria Math&quot; w:h-ansi=&quot;Cambria Math&quot;/&gt;&lt;wx:font wx:val=&quot;Cambria Math&quot;/&gt;&lt;w:i/&gt;&lt;w:color w:val=&quot;000000&quot;/&gt;&lt;w:sz-cs w:val=&quot;28&quot;/&gt;&lt;/w:rPr&gt;&lt;m:t&gt;r&lt;/m:t&gt;&lt;/m:r&gt;&lt;/m:e&gt;&lt;m:sub&gt;&lt;m:r&gt;&lt;w:rPr&gt;&lt;w:rFonts w:ascii=&quot;Cambria Math&quot; w:h-ansi=&quot;Cambria Math&quot;/&gt;&lt;wx:font wx:val=&quot;Cambria Math&quot;/&gt;&lt;w:i/&gt;&lt;w:color w:val=&quot;000000&quot;/&gt;&lt;w:sz-cs w:val=&quot;28&quot;/&gt;&lt;/w:rPr&gt;&lt;m:t&gt;B&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71" chromakey="#FFFFFF" o:title=""/>
            <o:lock v:ext="edit" aspectratio="t"/>
            <w10:wrap type="none"/>
            <w10:anchorlock/>
          </v:shape>
        </w:pict>
      </w:r>
      <w:r>
        <w:rPr>
          <w:color w:val="000000"/>
          <w:szCs w:val="28"/>
        </w:rPr>
        <w:fldChar w:fldCharType="end"/>
      </w:r>
      <w:r>
        <w:rPr>
          <w:color w:val="000000"/>
          <w:szCs w:val="28"/>
        </w:rPr>
        <w:t>分别代表模型A和模型B的当前Elo分数。然后根据实际的比较结果更新模型的Elo分数，更新公式如下所示：</w:t>
      </w:r>
    </w:p>
    <w:p>
      <w:pPr>
        <w:pStyle w:val="144"/>
        <w:ind w:left="560" w:firstLine="0" w:firstLineChars="0"/>
        <w:jc w:val="center"/>
        <w:rPr>
          <w:color w:val="000000"/>
          <w:szCs w:val="28"/>
        </w:rPr>
      </w:pPr>
      <w:r>
        <w:drawing>
          <wp:inline distT="0" distB="0" distL="114300" distR="114300">
            <wp:extent cx="1828800" cy="287655"/>
            <wp:effectExtent l="0" t="0" r="0" b="0"/>
            <wp:docPr id="21"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5"/>
                    <pic:cNvPicPr>
                      <a:picLocks noChangeAspect="1"/>
                    </pic:cNvPicPr>
                  </pic:nvPicPr>
                  <pic:blipFill>
                    <a:blip r:embed="rId72">
                      <a:clrChange>
                        <a:clrFrom>
                          <a:srgbClr val="FFFFFF"/>
                        </a:clrFrom>
                        <a:clrTo>
                          <a:srgbClr val="FFFFFF">
                            <a:alpha val="0"/>
                          </a:srgbClr>
                        </a:clrTo>
                      </a:clrChange>
                    </a:blip>
                    <a:stretch>
                      <a:fillRect/>
                    </a:stretch>
                  </pic:blipFill>
                  <pic:spPr>
                    <a:xfrm>
                      <a:off x="0" y="0"/>
                      <a:ext cx="1828800" cy="287655"/>
                    </a:xfrm>
                    <a:prstGeom prst="rect">
                      <a:avLst/>
                    </a:prstGeom>
                    <a:noFill/>
                    <a:ln>
                      <a:noFill/>
                    </a:ln>
                  </pic:spPr>
                </pic:pic>
              </a:graphicData>
            </a:graphic>
          </wp:inline>
        </w:drawing>
      </w:r>
    </w:p>
    <w:p>
      <w:pPr>
        <w:pStyle w:val="144"/>
        <w:ind w:left="560" w:firstLine="0" w:firstLineChars="0"/>
        <w:rPr>
          <w:color w:val="000000"/>
          <w:szCs w:val="28"/>
        </w:rPr>
      </w:pPr>
      <w:r>
        <w:rPr>
          <w:color w:val="000000"/>
          <w:szCs w:val="28"/>
        </w:rPr>
        <w:t>其中，</w:t>
      </w:r>
      <w:r>
        <w:rPr>
          <w:rFonts w:ascii="Cambria Math" w:hAnsi="Cambria Math" w:cs="Cambria Math"/>
          <w:color w:val="000000"/>
          <w:szCs w:val="28"/>
        </w:rPr>
        <w:t>𝐾</w:t>
      </w:r>
      <w:r>
        <w:rPr>
          <w:color w:val="000000"/>
          <w:szCs w:val="28"/>
        </w:rPr>
        <w:t>是一个调整系数，决定了比较结果对于Elo分数更新的影响程度；</w:t>
      </w:r>
      <w:r>
        <w:rPr>
          <w:color w:val="000000"/>
          <w:szCs w:val="28"/>
        </w:rPr>
        <w:fldChar w:fldCharType="begin"/>
      </w:r>
      <w:r>
        <w:rPr>
          <w:color w:val="000000"/>
          <w:szCs w:val="28"/>
        </w:rPr>
        <w:instrText xml:space="preserve"> QUOTE </w:instrText>
      </w:r>
      <w:r>
        <w:rPr>
          <w:position w:val="-23"/>
        </w:rPr>
        <w:pict>
          <v:shape id="_x0000_i1067"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2F05&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A72F05&quot; wsp:rsidP=&quot;00A72F05&quot;&gt;&lt;w:pPr&gt;&lt;w:ind w:first-line=&quot;560&quot;/&gt;&lt;/w:pPr&gt;&lt;m:oMathPara&gt;&lt;m:oMath&gt;&lt;m:sSub&gt;&lt;m:sSubPr&gt;&lt;m:ctrlPr&gt;&lt;w:rPr&gt;&lt;w:rFonts w:ascii=&quot;Cambria Math&quot; w:h-ansi=&quot;Cambria Math&quot;/&gt;&lt;wx:font wx:val=&quot;Cambria Math&quot;/&gt;&lt;w:i/&gt;&lt;w:color w:val=&quot;000000&quot;/&gt;&lt;w:sz-cs w:val=&quot;28&quot;/&gt;&lt;/w:rPr&gt;&lt;/m:ctrlPr&gt;&lt;/m:sSubPr&gt;&lt;m:e&gt;&lt;m:r&gt;&lt;w:rPr&gt;&lt;w:rFonts w:ascii=&quot;Cambria Math&quot; w:h-ansi=&quot;Cambria Math&quot;/&gt;&lt;wx:font wx:val=&quot;Cambria Math&quot;/&gt;&lt;w:i/&gt;&lt;w:color w:val=&quot;000000&quot;/&gt;&lt;w:sz-cs w:val=&quot;28&quot;/&gt;&lt;/w:rPr&gt;&lt;m:t&gt;S&lt;/m:t&gt;&lt;/m:r&gt;&lt;/m:e&gt;&lt;m:sub&gt;&lt;m:r&gt;&lt;w:rPr&gt;&lt;w:rFonts w:ascii=&quot;Cambria Math&quot; w:h-ansi=&quot;Cambria Math&quot;/&gt;&lt;wx:font wx:val=&quot;Cambria Math&quot;/&gt;&lt;w:i/&gt;&lt;w:color w:val=&quot;000000&quot;/&gt;&lt;w:sz-cs w:val=&quot;28&quot;/&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73" chromakey="#FFFFFF" o:title=""/>
            <o:lock v:ext="edit" aspectratio="t"/>
            <w10:wrap type="none"/>
            <w10:anchorlock/>
          </v:shape>
        </w:pict>
      </w:r>
      <w:r>
        <w:rPr>
          <w:color w:val="000000"/>
          <w:szCs w:val="28"/>
        </w:rPr>
        <w:instrText xml:space="preserve"> </w:instrText>
      </w:r>
      <w:r>
        <w:rPr>
          <w:color w:val="000000"/>
          <w:szCs w:val="28"/>
        </w:rPr>
        <w:fldChar w:fldCharType="separate"/>
      </w:r>
      <w:r>
        <w:rPr>
          <w:position w:val="-23"/>
        </w:rPr>
        <w:pict>
          <v:shape id="_x0000_i1068"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2F05&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A72F05&quot; wsp:rsidP=&quot;00A72F05&quot;&gt;&lt;w:pPr&gt;&lt;w:ind w:first-line=&quot;560&quot;/&gt;&lt;/w:pPr&gt;&lt;m:oMathPara&gt;&lt;m:oMath&gt;&lt;m:sSub&gt;&lt;m:sSubPr&gt;&lt;m:ctrlPr&gt;&lt;w:rPr&gt;&lt;w:rFonts w:ascii=&quot;Cambria Math&quot; w:h-ansi=&quot;Cambria Math&quot;/&gt;&lt;wx:font wx:val=&quot;Cambria Math&quot;/&gt;&lt;w:i/&gt;&lt;w:color w:val=&quot;000000&quot;/&gt;&lt;w:sz-cs w:val=&quot;28&quot;/&gt;&lt;/w:rPr&gt;&lt;/m:ctrlPr&gt;&lt;/m:sSubPr&gt;&lt;m:e&gt;&lt;m:r&gt;&lt;w:rPr&gt;&lt;w:rFonts w:ascii=&quot;Cambria Math&quot; w:h-ansi=&quot;Cambria Math&quot;/&gt;&lt;wx:font wx:val=&quot;Cambria Math&quot;/&gt;&lt;w:i/&gt;&lt;w:color w:val=&quot;000000&quot;/&gt;&lt;w:sz-cs w:val=&quot;28&quot;/&gt;&lt;/w:rPr&gt;&lt;m:t&gt;S&lt;/m:t&gt;&lt;/m:r&gt;&lt;/m:e&gt;&lt;m:sub&gt;&lt;m:r&gt;&lt;w:rPr&gt;&lt;w:rFonts w:ascii=&quot;Cambria Math&quot; w:h-ansi=&quot;Cambria Math&quot;/&gt;&lt;wx:font wx:val=&quot;Cambria Math&quot;/&gt;&lt;w:i/&gt;&lt;w:color w:val=&quot;000000&quot;/&gt;&lt;w:sz-cs w:val=&quot;28&quot;/&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73" chromakey="#FFFFFF" o:title=""/>
            <o:lock v:ext="edit" aspectratio="t"/>
            <w10:wrap type="none"/>
            <w10:anchorlock/>
          </v:shape>
        </w:pict>
      </w:r>
      <w:r>
        <w:rPr>
          <w:color w:val="000000"/>
          <w:szCs w:val="28"/>
        </w:rPr>
        <w:fldChar w:fldCharType="end"/>
      </w:r>
      <w:r>
        <w:rPr>
          <w:color w:val="000000"/>
          <w:szCs w:val="28"/>
        </w:rPr>
        <w:t>表示模型A在与模型B的比较中的实际得分（通常为1表示胜利，0.5表示平局，0表示失败）；</w:t>
      </w:r>
      <w:r>
        <w:rPr>
          <w:color w:val="000000"/>
          <w:szCs w:val="28"/>
        </w:rPr>
        <w:fldChar w:fldCharType="begin"/>
      </w:r>
      <w:r>
        <w:rPr>
          <w:color w:val="000000"/>
          <w:szCs w:val="28"/>
        </w:rPr>
        <w:instrText xml:space="preserve"> QUOTE </w:instrText>
      </w:r>
      <w:r>
        <w:rPr>
          <w:position w:val="-23"/>
        </w:rPr>
        <w:pict>
          <v:shape id="_x0000_i1069"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6206&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A06206&quot; wsp:rsidP=&quot;00A06206&quot;&gt;&lt;w:pPr&gt;&lt;w:ind w:first-line=&quot;560&quot;/&gt;&lt;/w:pPr&gt;&lt;m:oMathPara&gt;&lt;m:oMath&gt;&lt;m:sSub&gt;&lt;m:sSubPr&gt;&lt;m:ctrlPr&gt;&lt;w:rPr&gt;&lt;w:rFonts w:ascii=&quot;Cambria Math&quot; w:h-ansi=&quot;Cambria Math&quot;/&gt;&lt;wx:font wx:val=&quot;Cambria Math&quot;/&gt;&lt;w:i/&gt;&lt;w:color w:val=&quot;000000&quot;/&gt;&lt;w:sz-cs w:val=&quot;28&quot;/&gt;&lt;/w:rPr&gt;&lt;/m:ctrlPr&gt;&lt;/m:sSubPr&gt;&lt;m:e&gt;&lt;m:r&gt;&lt;m:rPr&gt;&lt;m:scr m:val=&quot;double-struck&quot;/&gt;&lt;/m:rPr&gt;&lt;w:rPr&gt;&lt;w:rFonts w:ascii=&quot;Cambria Math&quot; w:h-ansi=&quot;Cambria Math&quot;/&gt;&lt;wx:font wx:val=&quot;Cambria Math&quot;/&gt;&lt;w:i/&gt;&lt;w:color w:val=&quot;000000&quot;/&gt;&lt;w:sz-cs w:val=&quot;28&quot;/&gt;&lt;/w:rPr&gt;&lt;m:t&gt;E&lt;/m:t&gt;&lt;/m:r&gt;&lt;/m:e&gt;&lt;m:sub&gt;&lt;m:r&gt;&lt;w:rPr&gt;&lt;w:rFonts w:ascii=&quot;Cambria Math&quot; w:h-ansi=&quot;Cambria Math&quot;/&gt;&lt;wx:font wx:val=&quot;Cambria Math&quot;/&gt;&lt;w:i/&gt;&lt;w:color w:val=&quot;000000&quot;/&gt;&lt;w:sz-cs w:val=&quot;28&quot;/&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74" chromakey="#FFFFFF" o:title=""/>
            <o:lock v:ext="edit" aspectratio="t"/>
            <w10:wrap type="none"/>
            <w10:anchorlock/>
          </v:shape>
        </w:pict>
      </w:r>
      <w:r>
        <w:rPr>
          <w:color w:val="000000"/>
          <w:szCs w:val="28"/>
        </w:rPr>
        <w:instrText xml:space="preserve"> </w:instrText>
      </w:r>
      <w:r>
        <w:rPr>
          <w:color w:val="000000"/>
          <w:szCs w:val="28"/>
        </w:rPr>
        <w:fldChar w:fldCharType="separate"/>
      </w:r>
      <w:r>
        <w:rPr>
          <w:position w:val="-23"/>
        </w:rPr>
        <w:pict>
          <v:shape id="_x0000_i1070" o:spt="75" type="#_x0000_t75" style="height:25.2pt;width:10.8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doNotEmbedSystemFonts/&gt;&lt;w:bordersDontSurroundHeader/&gt;&lt;w:bordersDontSurroundFooter/&gt;&lt;w:defaultTabStop w:val=&quot;420&quot;/&gt;&lt;w:drawingGridHorizontalSpacing w:val=&quot;140&quot;/&gt;&lt;w:drawingGridVerticalSpacing w:val=&quot;381&quot;/&gt;&lt;w:displayHorizontalDrawingGridEvery w:val=&quot;0&quot;/&gt;&lt;w:punctuationKerning/&gt;&lt;w:characterSpacingControl w:val=&quot;CompressPunctuation&quot;/&gt;&lt;w:webPageEncoding w:val=&quot;x-cp20936&quot;/&gt;&lt;w:optimizeForBrowser/&gt;&lt;w:allowPNG/&gt;&lt;w:pixelsPerInch w:val=&quot;12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docVars&gt;&lt;w:docVar w:name=&quot;commondata&quot; w:val=&quot;eyJoZGlkIjoiNTZmOTNkMjliM2FjZWQ1YzcxY2RjNTFjZjYwMzYzYTcifQ==&quot;/&gt;&lt;/w:docVars&gt;&lt;wsp:rsids&gt;&lt;wsp:rsidRoot wsp:val=&quot;00260908&quot;/&gt;&lt;wsp:rsid wsp:val=&quot;00000201&quot;/&gt;&lt;wsp:rsid wsp:val=&quot;00000621&quot;/&gt;&lt;wsp:rsid wsp:val=&quot;00001933&quot;/&gt;&lt;wsp:rsid wsp:val=&quot;00002606&quot;/&gt;&lt;wsp:rsid wsp:val=&quot;0000593B&quot;/&gt;&lt;wsp:rsid wsp:val=&quot;0000595F&quot;/&gt;&lt;wsp:rsid wsp:val=&quot;00007201&quot;/&gt;&lt;wsp:rsid wsp:val=&quot;000072DE&quot;/&gt;&lt;wsp:rsid wsp:val=&quot;0000730C&quot;/&gt;&lt;wsp:rsid wsp:val=&quot;00007A33&quot;/&gt;&lt;wsp:rsid wsp:val=&quot;000109D7&quot;/&gt;&lt;wsp:rsid wsp:val=&quot;00011474&quot;/&gt;&lt;wsp:rsid wsp:val=&quot;00011659&quot;/&gt;&lt;wsp:rsid wsp:val=&quot;00011AE1&quot;/&gt;&lt;wsp:rsid wsp:val=&quot;00011F5E&quot;/&gt;&lt;wsp:rsid wsp:val=&quot;00012A8D&quot;/&gt;&lt;wsp:rsid wsp:val=&quot;00012AE9&quot;/&gt;&lt;wsp:rsid wsp:val=&quot;0001308E&quot;/&gt;&lt;wsp:rsid wsp:val=&quot;00013EC2&quot;/&gt;&lt;wsp:rsid wsp:val=&quot;00014458&quot;/&gt;&lt;wsp:rsid wsp:val=&quot;00014D22&quot;/&gt;&lt;wsp:rsid wsp:val=&quot;00014FCF&quot;/&gt;&lt;wsp:rsid wsp:val=&quot;00015640&quot;/&gt;&lt;wsp:rsid wsp:val=&quot;00015CDC&quot;/&gt;&lt;wsp:rsid wsp:val=&quot;00015E46&quot;/&gt;&lt;wsp:rsid wsp:val=&quot;00017F07&quot;/&gt;&lt;wsp:rsid wsp:val=&quot;0002060E&quot;/&gt;&lt;wsp:rsid wsp:val=&quot;000209FF&quot;/&gt;&lt;wsp:rsid wsp:val=&quot;00020C1A&quot;/&gt;&lt;wsp:rsid wsp:val=&quot;00020E32&quot;/&gt;&lt;wsp:rsid wsp:val=&quot;00021215&quot;/&gt;&lt;wsp:rsid wsp:val=&quot;000212EB&quot;/&gt;&lt;wsp:rsid wsp:val=&quot;00021F1A&quot;/&gt;&lt;wsp:rsid wsp:val=&quot;00022E07&quot;/&gt;&lt;wsp:rsid wsp:val=&quot;00023E1E&quot;/&gt;&lt;wsp:rsid wsp:val=&quot;00024972&quot;/&gt;&lt;wsp:rsid wsp:val=&quot;00024A94&quot;/&gt;&lt;wsp:rsid wsp:val=&quot;00024CD7&quot;/&gt;&lt;wsp:rsid wsp:val=&quot;00025A78&quot;/&gt;&lt;wsp:rsid wsp:val=&quot;0002692A&quot;/&gt;&lt;wsp:rsid wsp:val=&quot;00027FB1&quot;/&gt;&lt;wsp:rsid wsp:val=&quot;000300FA&quot;/&gt;&lt;wsp:rsid wsp:val=&quot;00030BA1&quot;/&gt;&lt;wsp:rsid wsp:val=&quot;00031267&quot;/&gt;&lt;wsp:rsid wsp:val=&quot;000336FC&quot;/&gt;&lt;wsp:rsid wsp:val=&quot;00034F0D&quot;/&gt;&lt;wsp:rsid wsp:val=&quot;00040950&quot;/&gt;&lt;wsp:rsid wsp:val=&quot;00041729&quot;/&gt;&lt;wsp:rsid wsp:val=&quot;00041A62&quot;/&gt;&lt;wsp:rsid wsp:val=&quot;00042109&quot;/&gt;&lt;wsp:rsid wsp:val=&quot;0004245C&quot;/&gt;&lt;wsp:rsid wsp:val=&quot;00042E86&quot;/&gt;&lt;wsp:rsid wsp:val=&quot;00043A35&quot;/&gt;&lt;wsp:rsid wsp:val=&quot;00043C38&quot;/&gt;&lt;wsp:rsid wsp:val=&quot;0004459A&quot;/&gt;&lt;wsp:rsid wsp:val=&quot;000455B4&quot;/&gt;&lt;wsp:rsid wsp:val=&quot;0005089D&quot;/&gt;&lt;wsp:rsid wsp:val=&quot;00051FEF&quot;/&gt;&lt;wsp:rsid wsp:val=&quot;00052039&quot;/&gt;&lt;wsp:rsid wsp:val=&quot;0005218B&quot;/&gt;&lt;wsp:rsid wsp:val=&quot;0005318A&quot;/&gt;&lt;wsp:rsid wsp:val=&quot;00053F33&quot;/&gt;&lt;wsp:rsid wsp:val=&quot;000547C0&quot;/&gt;&lt;wsp:rsid wsp:val=&quot;00055D2E&quot;/&gt;&lt;wsp:rsid wsp:val=&quot;00055D86&quot;/&gt;&lt;wsp:rsid wsp:val=&quot;00056990&quot;/&gt;&lt;wsp:rsid wsp:val=&quot;00060810&quot;/&gt;&lt;wsp:rsid wsp:val=&quot;00060890&quot;/&gt;&lt;wsp:rsid wsp:val=&quot;00062E12&quot;/&gt;&lt;wsp:rsid wsp:val=&quot;0006372A&quot;/&gt;&lt;wsp:rsid wsp:val=&quot;0006441F&quot;/&gt;&lt;wsp:rsid wsp:val=&quot;00065142&quot;/&gt;&lt;wsp:rsid wsp:val=&quot;00065AD6&quot;/&gt;&lt;wsp:rsid wsp:val=&quot;000676E1&quot;/&gt;&lt;wsp:rsid wsp:val=&quot;00070D28&quot;/&gt;&lt;wsp:rsid wsp:val=&quot;00071773&quot;/&gt;&lt;wsp:rsid wsp:val=&quot;0007208C&quot;/&gt;&lt;wsp:rsid wsp:val=&quot;00073081&quot;/&gt;&lt;wsp:rsid wsp:val=&quot;00073C5D&quot;/&gt;&lt;wsp:rsid wsp:val=&quot;00075683&quot;/&gt;&lt;wsp:rsid wsp:val=&quot;00075A73&quot;/&gt;&lt;wsp:rsid wsp:val=&quot;000777CE&quot;/&gt;&lt;wsp:rsid wsp:val=&quot;000807B0&quot;/&gt;&lt;wsp:rsid wsp:val=&quot;000807F1&quot;/&gt;&lt;wsp:rsid wsp:val=&quot;00080D08&quot;/&gt;&lt;wsp:rsid wsp:val=&quot;00083F09&quot;/&gt;&lt;wsp:rsid wsp:val=&quot;000841E6&quot;/&gt;&lt;wsp:rsid wsp:val=&quot;00085349&quot;/&gt;&lt;wsp:rsid wsp:val=&quot;00090249&quot;/&gt;&lt;wsp:rsid wsp:val=&quot;00090FB9&quot;/&gt;&lt;wsp:rsid wsp:val=&quot;000927D8&quot;/&gt;&lt;wsp:rsid wsp:val=&quot;00093771&quot;/&gt;&lt;wsp:rsid wsp:val=&quot;00093B0F&quot;/&gt;&lt;wsp:rsid wsp:val=&quot;000969F6&quot;/&gt;&lt;wsp:rsid wsp:val=&quot;000973C8&quot;/&gt;&lt;wsp:rsid wsp:val=&quot;000A09EF&quot;/&gt;&lt;wsp:rsid wsp:val=&quot;000A0A30&quot;/&gt;&lt;wsp:rsid wsp:val=&quot;000A1673&quot;/&gt;&lt;wsp:rsid wsp:val=&quot;000A1E67&quot;/&gt;&lt;wsp:rsid wsp:val=&quot;000A267E&quot;/&gt;&lt;wsp:rsid wsp:val=&quot;000A2E22&quot;/&gt;&lt;wsp:rsid wsp:val=&quot;000A3213&quot;/&gt;&lt;wsp:rsid wsp:val=&quot;000A3469&quot;/&gt;&lt;wsp:rsid wsp:val=&quot;000A5088&quot;/&gt;&lt;wsp:rsid wsp:val=&quot;000A50C8&quot;/&gt;&lt;wsp:rsid wsp:val=&quot;000A5B16&quot;/&gt;&lt;wsp:rsid wsp:val=&quot;000A74C9&quot;/&gt;&lt;wsp:rsid wsp:val=&quot;000B0B01&quot;/&gt;&lt;wsp:rsid wsp:val=&quot;000B1979&quot;/&gt;&lt;wsp:rsid wsp:val=&quot;000B2CFF&quot;/&gt;&lt;wsp:rsid wsp:val=&quot;000B2F01&quot;/&gt;&lt;wsp:rsid wsp:val=&quot;000B2F23&quot;/&gt;&lt;wsp:rsid wsp:val=&quot;000B3EDA&quot;/&gt;&lt;wsp:rsid wsp:val=&quot;000B400B&quot;/&gt;&lt;wsp:rsid wsp:val=&quot;000B50DA&quot;/&gt;&lt;wsp:rsid wsp:val=&quot;000B5140&quot;/&gt;&lt;wsp:rsid wsp:val=&quot;000C0F9F&quot;/&gt;&lt;wsp:rsid wsp:val=&quot;000C110B&quot;/&gt;&lt;wsp:rsid wsp:val=&quot;000C2A1C&quot;/&gt;&lt;wsp:rsid wsp:val=&quot;000C2B06&quot;/&gt;&lt;wsp:rsid wsp:val=&quot;000C2BE9&quot;/&gt;&lt;wsp:rsid wsp:val=&quot;000C434A&quot;/&gt;&lt;wsp:rsid wsp:val=&quot;000C53A0&quot;/&gt;&lt;wsp:rsid wsp:val=&quot;000C64BD&quot;/&gt;&lt;wsp:rsid wsp:val=&quot;000C6935&quot;/&gt;&lt;wsp:rsid wsp:val=&quot;000D0387&quot;/&gt;&lt;wsp:rsid wsp:val=&quot;000D0838&quot;/&gt;&lt;wsp:rsid wsp:val=&quot;000D1752&quot;/&gt;&lt;wsp:rsid wsp:val=&quot;000D267A&quot;/&gt;&lt;wsp:rsid wsp:val=&quot;000D276E&quot;/&gt;&lt;wsp:rsid wsp:val=&quot;000D28FC&quot;/&gt;&lt;wsp:rsid wsp:val=&quot;000D51C8&quot;/&gt;&lt;wsp:rsid wsp:val=&quot;000D5306&quot;/&gt;&lt;wsp:rsid wsp:val=&quot;000D6B3C&quot;/&gt;&lt;wsp:rsid wsp:val=&quot;000D7CE4&quot;/&gt;&lt;wsp:rsid wsp:val=&quot;000D7E0D&quot;/&gt;&lt;wsp:rsid wsp:val=&quot;000E08FF&quot;/&gt;&lt;wsp:rsid wsp:val=&quot;000E1454&quot;/&gt;&lt;wsp:rsid wsp:val=&quot;000E25F1&quot;/&gt;&lt;wsp:rsid wsp:val=&quot;000E79AF&quot;/&gt;&lt;wsp:rsid wsp:val=&quot;000F0561&quot;/&gt;&lt;wsp:rsid wsp:val=&quot;000F06B7&quot;/&gt;&lt;wsp:rsid wsp:val=&quot;000F2C74&quot;/&gt;&lt;wsp:rsid wsp:val=&quot;000F4536&quot;/&gt;&lt;wsp:rsid wsp:val=&quot;000F54AE&quot;/&gt;&lt;wsp:rsid wsp:val=&quot;000F606C&quot;/&gt;&lt;wsp:rsid wsp:val=&quot;000F6820&quot;/&gt;&lt;wsp:rsid wsp:val=&quot;000F6B23&quot;/&gt;&lt;wsp:rsid wsp:val=&quot;000F7A05&quot;/&gt;&lt;wsp:rsid wsp:val=&quot;00100E6C&quot;/&gt;&lt;wsp:rsid wsp:val=&quot;00102427&quot;/&gt;&lt;wsp:rsid wsp:val=&quot;001025DF&quot;/&gt;&lt;wsp:rsid wsp:val=&quot;00102F18&quot;/&gt;&lt;wsp:rsid wsp:val=&quot;001038FF&quot;/&gt;&lt;wsp:rsid wsp:val=&quot;00103C44&quot;/&gt;&lt;wsp:rsid wsp:val=&quot;0010401E&quot;/&gt;&lt;wsp:rsid wsp:val=&quot;001045DF&quot;/&gt;&lt;wsp:rsid wsp:val=&quot;00106F3A&quot;/&gt;&lt;wsp:rsid wsp:val=&quot;001070F3&quot;/&gt;&lt;wsp:rsid wsp:val=&quot;0011049F&quot;/&gt;&lt;wsp:rsid wsp:val=&quot;001114FA&quot;/&gt;&lt;wsp:rsid wsp:val=&quot;00111D9E&quot;/&gt;&lt;wsp:rsid wsp:val=&quot;0011211C&quot;/&gt;&lt;wsp:rsid wsp:val=&quot;00112952&quot;/&gt;&lt;wsp:rsid wsp:val=&quot;00112C53&quot;/&gt;&lt;wsp:rsid wsp:val=&quot;001143C9&quot;/&gt;&lt;wsp:rsid wsp:val=&quot;00114A28&quot;/&gt;&lt;wsp:rsid wsp:val=&quot;001153B8&quot;/&gt;&lt;wsp:rsid wsp:val=&quot;001154C1&quot;/&gt;&lt;wsp:rsid wsp:val=&quot;00116A02&quot;/&gt;&lt;wsp:rsid wsp:val=&quot;00121CA6&quot;/&gt;&lt;wsp:rsid wsp:val=&quot;001260A0&quot;/&gt;&lt;wsp:rsid wsp:val=&quot;0012639C&quot;/&gt;&lt;wsp:rsid wsp:val=&quot;00126F6E&quot;/&gt;&lt;wsp:rsid wsp:val=&quot;00127628&quot;/&gt;&lt;wsp:rsid wsp:val=&quot;00127C49&quot;/&gt;&lt;wsp:rsid wsp:val=&quot;001300EE&quot;/&gt;&lt;wsp:rsid wsp:val=&quot;0013018C&quot;/&gt;&lt;wsp:rsid wsp:val=&quot;00130419&quot;/&gt;&lt;wsp:rsid wsp:val=&quot;00131970&quot;/&gt;&lt;wsp:rsid wsp:val=&quot;00133754&quot;/&gt;&lt;wsp:rsid wsp:val=&quot;00133873&quot;/&gt;&lt;wsp:rsid wsp:val=&quot;00133D07&quot;/&gt;&lt;wsp:rsid wsp:val=&quot;0013410B&quot;/&gt;&lt;wsp:rsid wsp:val=&quot;001343A3&quot;/&gt;&lt;wsp:rsid wsp:val=&quot;001346C8&quot;/&gt;&lt;wsp:rsid wsp:val=&quot;00134C18&quot;/&gt;&lt;wsp:rsid wsp:val=&quot;00135CC9&quot;/&gt;&lt;wsp:rsid wsp:val=&quot;00136B49&quot;/&gt;&lt;wsp:rsid wsp:val=&quot;00140842&quot;/&gt;&lt;wsp:rsid wsp:val=&quot;001415A2&quot;/&gt;&lt;wsp:rsid wsp:val=&quot;00142200&quot;/&gt;&lt;wsp:rsid wsp:val=&quot;00142CDF&quot;/&gt;&lt;wsp:rsid wsp:val=&quot;00143D3E&quot;/&gt;&lt;wsp:rsid wsp:val=&quot;001453EC&quot;/&gt;&lt;wsp:rsid wsp:val=&quot;001457CF&quot;/&gt;&lt;wsp:rsid wsp:val=&quot;00145DD6&quot;/&gt;&lt;wsp:rsid wsp:val=&quot;001460CF&quot;/&gt;&lt;wsp:rsid wsp:val=&quot;00146F8B&quot;/&gt;&lt;wsp:rsid wsp:val=&quot;00147162&quot;/&gt;&lt;wsp:rsid wsp:val=&quot;0014721A&quot;/&gt;&lt;wsp:rsid wsp:val=&quot;001504FA&quot;/&gt;&lt;wsp:rsid wsp:val=&quot;001546C5&quot;/&gt;&lt;wsp:rsid wsp:val=&quot;001548AB&quot;/&gt;&lt;wsp:rsid wsp:val=&quot;001549A4&quot;/&gt;&lt;wsp:rsid wsp:val=&quot;00154D39&quot;/&gt;&lt;wsp:rsid wsp:val=&quot;00155280&quot;/&gt;&lt;wsp:rsid wsp:val=&quot;00156B83&quot;/&gt;&lt;wsp:rsid wsp:val=&quot;00160258&quot;/&gt;&lt;wsp:rsid wsp:val=&quot;001604E8&quot;/&gt;&lt;wsp:rsid wsp:val=&quot;00160E94&quot;/&gt;&lt;wsp:rsid wsp:val=&quot;00162844&quot;/&gt;&lt;wsp:rsid wsp:val=&quot;00164496&quot;/&gt;&lt;wsp:rsid wsp:val=&quot;0016501D&quot;/&gt;&lt;wsp:rsid wsp:val=&quot;001661D7&quot;/&gt;&lt;wsp:rsid wsp:val=&quot;00167CC9&quot;/&gt;&lt;wsp:rsid wsp:val=&quot;00167D66&quot;/&gt;&lt;wsp:rsid wsp:val=&quot;001700F1&quot;/&gt;&lt;wsp:rsid wsp:val=&quot;00170DC9&quot;/&gt;&lt;wsp:rsid wsp:val=&quot;00171EAF&quot;/&gt;&lt;wsp:rsid wsp:val=&quot;0017203A&quot;/&gt;&lt;wsp:rsid wsp:val=&quot;001728C0&quot;/&gt;&lt;wsp:rsid wsp:val=&quot;00174464&quot;/&gt;&lt;wsp:rsid wsp:val=&quot;001748F6&quot;/&gt;&lt;wsp:rsid wsp:val=&quot;00175338&quot;/&gt;&lt;wsp:rsid wsp:val=&quot;00177463&quot;/&gt;&lt;wsp:rsid wsp:val=&quot;0018008B&quot;/&gt;&lt;wsp:rsid wsp:val=&quot;00181CAA&quot;/&gt;&lt;wsp:rsid wsp:val=&quot;00182005&quot;/&gt;&lt;wsp:rsid wsp:val=&quot;001840A2&quot;/&gt;&lt;wsp:rsid wsp:val=&quot;00184580&quot;/&gt;&lt;wsp:rsid wsp:val=&quot;00184C32&quot;/&gt;&lt;wsp:rsid wsp:val=&quot;00186735&quot;/&gt;&lt;wsp:rsid wsp:val=&quot;00186942&quot;/&gt;&lt;wsp:rsid wsp:val=&quot;00186E01&quot;/&gt;&lt;wsp:rsid wsp:val=&quot;001876BE&quot;/&gt;&lt;wsp:rsid wsp:val=&quot;00187B98&quot;/&gt;&lt;wsp:rsid wsp:val=&quot;001916E0&quot;/&gt;&lt;wsp:rsid wsp:val=&quot;00191A34&quot;/&gt;&lt;wsp:rsid wsp:val=&quot;00192590&quot;/&gt;&lt;wsp:rsid wsp:val=&quot;00192C17&quot;/&gt;&lt;wsp:rsid wsp:val=&quot;0019326C&quot;/&gt;&lt;wsp:rsid wsp:val=&quot;0019525C&quot;/&gt;&lt;wsp:rsid wsp:val=&quot;0019652F&quot;/&gt;&lt;wsp:rsid wsp:val=&quot;001975A0&quot;/&gt;&lt;wsp:rsid wsp:val=&quot;001A0233&quot;/&gt;&lt;wsp:rsid wsp:val=&quot;001A199C&quot;/&gt;&lt;wsp:rsid wsp:val=&quot;001A2115&quot;/&gt;&lt;wsp:rsid wsp:val=&quot;001A2ADF&quot;/&gt;&lt;wsp:rsid wsp:val=&quot;001A390A&quot;/&gt;&lt;wsp:rsid wsp:val=&quot;001A5590&quot;/&gt;&lt;wsp:rsid wsp:val=&quot;001A6ADD&quot;/&gt;&lt;wsp:rsid wsp:val=&quot;001A6F43&quot;/&gt;&lt;wsp:rsid wsp:val=&quot;001A7DA0&quot;/&gt;&lt;wsp:rsid wsp:val=&quot;001A7E28&quot;/&gt;&lt;wsp:rsid wsp:val=&quot;001B2849&quot;/&gt;&lt;wsp:rsid wsp:val=&quot;001B30CC&quot;/&gt;&lt;wsp:rsid wsp:val=&quot;001B523A&quot;/&gt;&lt;wsp:rsid wsp:val=&quot;001B58DF&quot;/&gt;&lt;wsp:rsid wsp:val=&quot;001B59D9&quot;/&gt;&lt;wsp:rsid wsp:val=&quot;001B7778&quot;/&gt;&lt;wsp:rsid wsp:val=&quot;001C0085&quot;/&gt;&lt;wsp:rsid wsp:val=&quot;001C1368&quot;/&gt;&lt;wsp:rsid wsp:val=&quot;001C2379&quot;/&gt;&lt;wsp:rsid wsp:val=&quot;001C28AE&quot;/&gt;&lt;wsp:rsid wsp:val=&quot;001C3D34&quot;/&gt;&lt;wsp:rsid wsp:val=&quot;001C43DA&quot;/&gt;&lt;wsp:rsid wsp:val=&quot;001C4BDE&quot;/&gt;&lt;wsp:rsid wsp:val=&quot;001C59AD&quot;/&gt;&lt;wsp:rsid wsp:val=&quot;001C6E71&quot;/&gt;&lt;wsp:rsid wsp:val=&quot;001C6E9D&quot;/&gt;&lt;wsp:rsid wsp:val=&quot;001C76E2&quot;/&gt;&lt;wsp:rsid wsp:val=&quot;001C7CA1&quot;/&gt;&lt;wsp:rsid wsp:val=&quot;001D004A&quot;/&gt;&lt;wsp:rsid wsp:val=&quot;001D285B&quot;/&gt;&lt;wsp:rsid wsp:val=&quot;001D3568&quot;/&gt;&lt;wsp:rsid wsp:val=&quot;001D35C5&quot;/&gt;&lt;wsp:rsid wsp:val=&quot;001D53E8&quot;/&gt;&lt;wsp:rsid wsp:val=&quot;001D611D&quot;/&gt;&lt;wsp:rsid wsp:val=&quot;001D73F8&quot;/&gt;&lt;wsp:rsid wsp:val=&quot;001E08E7&quot;/&gt;&lt;wsp:rsid wsp:val=&quot;001E0C4B&quot;/&gt;&lt;wsp:rsid wsp:val=&quot;001E1A51&quot;/&gt;&lt;wsp:rsid wsp:val=&quot;001E1F4A&quot;/&gt;&lt;wsp:rsid wsp:val=&quot;001E29CA&quot;/&gt;&lt;wsp:rsid wsp:val=&quot;001E3B91&quot;/&gt;&lt;wsp:rsid wsp:val=&quot;001E5D3F&quot;/&gt;&lt;wsp:rsid wsp:val=&quot;001E5E74&quot;/&gt;&lt;wsp:rsid wsp:val=&quot;001E6603&quot;/&gt;&lt;wsp:rsid wsp:val=&quot;001F0498&quot;/&gt;&lt;wsp:rsid wsp:val=&quot;001F05A0&quot;/&gt;&lt;wsp:rsid wsp:val=&quot;001F098B&quot;/&gt;&lt;wsp:rsid wsp:val=&quot;001F1848&quot;/&gt;&lt;wsp:rsid wsp:val=&quot;001F2A71&quot;/&gt;&lt;wsp:rsid wsp:val=&quot;001F2FCA&quot;/&gt;&lt;wsp:rsid wsp:val=&quot;001F36FC&quot;/&gt;&lt;wsp:rsid wsp:val=&quot;001F3AE6&quot;/&gt;&lt;wsp:rsid wsp:val=&quot;001F5480&quot;/&gt;&lt;wsp:rsid wsp:val=&quot;001F7264&quot;/&gt;&lt;wsp:rsid wsp:val=&quot;002015B3&quot;/&gt;&lt;wsp:rsid wsp:val=&quot;00201798&quot;/&gt;&lt;wsp:rsid wsp:val=&quot;002032A1&quot;/&gt;&lt;wsp:rsid wsp:val=&quot;00203810&quot;/&gt;&lt;wsp:rsid wsp:val=&quot;002039A3&quot;/&gt;&lt;wsp:rsid wsp:val=&quot;00203BCC&quot;/&gt;&lt;wsp:rsid wsp:val=&quot;00203C4E&quot;/&gt;&lt;wsp:rsid wsp:val=&quot;002066C1&quot;/&gt;&lt;wsp:rsid wsp:val=&quot;002108B7&quot;/&gt;&lt;wsp:rsid wsp:val=&quot;00211893&quot;/&gt;&lt;wsp:rsid wsp:val=&quot;00211E89&quot;/&gt;&lt;wsp:rsid wsp:val=&quot;0021231E&quot;/&gt;&lt;wsp:rsid wsp:val=&quot;002127CF&quot;/&gt;&lt;wsp:rsid wsp:val=&quot;00212BFF&quot;/&gt;&lt;wsp:rsid wsp:val=&quot;002137D3&quot;/&gt;&lt;wsp:rsid wsp:val=&quot;00214214&quot;/&gt;&lt;wsp:rsid wsp:val=&quot;00214420&quot;/&gt;&lt;wsp:rsid wsp:val=&quot;002147F0&quot;/&gt;&lt;wsp:rsid wsp:val=&quot;00214F22&quot;/&gt;&lt;wsp:rsid wsp:val=&quot;002152E7&quot;/&gt;&lt;wsp:rsid wsp:val=&quot;002165D8&quot;/&gt;&lt;wsp:rsid wsp:val=&quot;0021770F&quot;/&gt;&lt;wsp:rsid wsp:val=&quot;00217A51&quot;/&gt;&lt;wsp:rsid wsp:val=&quot;00217D87&quot;/&gt;&lt;wsp:rsid wsp:val=&quot;00220C81&quot;/&gt;&lt;wsp:rsid wsp:val=&quot;00221042&quot;/&gt;&lt;wsp:rsid wsp:val=&quot;00221DA8&quot;/&gt;&lt;wsp:rsid wsp:val=&quot;00221E95&quot;/&gt;&lt;wsp:rsid wsp:val=&quot;00223057&quot;/&gt;&lt;wsp:rsid wsp:val=&quot;002249AE&quot;/&gt;&lt;wsp:rsid wsp:val=&quot;002256F6&quot;/&gt;&lt;wsp:rsid wsp:val=&quot;0022596A&quot;/&gt;&lt;wsp:rsid wsp:val=&quot;00225C53&quot;/&gt;&lt;wsp:rsid wsp:val=&quot;00226B52&quot;/&gt;&lt;wsp:rsid wsp:val=&quot;00227859&quot;/&gt;&lt;wsp:rsid wsp:val=&quot;00227B4E&quot;/&gt;&lt;wsp:rsid wsp:val=&quot;00227C6B&quot;/&gt;&lt;wsp:rsid wsp:val=&quot;00227CBC&quot;/&gt;&lt;wsp:rsid wsp:val=&quot;002308ED&quot;/&gt;&lt;wsp:rsid wsp:val=&quot;00230D58&quot;/&gt;&lt;wsp:rsid wsp:val=&quot;00231276&quot;/&gt;&lt;wsp:rsid wsp:val=&quot;00231A41&quot;/&gt;&lt;wsp:rsid wsp:val=&quot;00232FE2&quot;/&gt;&lt;wsp:rsid wsp:val=&quot;00233297&quot;/&gt;&lt;wsp:rsid wsp:val=&quot;002343FE&quot;/&gt;&lt;wsp:rsid wsp:val=&quot;00234E03&quot;/&gt;&lt;wsp:rsid wsp:val=&quot;00236389&quot;/&gt;&lt;wsp:rsid wsp:val=&quot;00241E58&quot;/&gt;&lt;wsp:rsid wsp:val=&quot;00242092&quot;/&gt;&lt;wsp:rsid wsp:val=&quot;00243843&quot;/&gt;&lt;wsp:rsid wsp:val=&quot;00243FA8&quot;/&gt;&lt;wsp:rsid wsp:val=&quot;00244DBD&quot;/&gt;&lt;wsp:rsid wsp:val=&quot;00245252&quot;/&gt;&lt;wsp:rsid wsp:val=&quot;00245B22&quot;/&gt;&lt;wsp:rsid wsp:val=&quot;00246216&quot;/&gt;&lt;wsp:rsid wsp:val=&quot;00246444&quot;/&gt;&lt;wsp:rsid wsp:val=&quot;00247B30&quot;/&gt;&lt;wsp:rsid wsp:val=&quot;00247C33&quot;/&gt;&lt;wsp:rsid wsp:val=&quot;0025032A&quot;/&gt;&lt;wsp:rsid wsp:val=&quot;0025192B&quot;/&gt;&lt;wsp:rsid wsp:val=&quot;00253F46&quot;/&gt;&lt;wsp:rsid wsp:val=&quot;002568E0&quot;/&gt;&lt;wsp:rsid wsp:val=&quot;002579A7&quot;/&gt;&lt;wsp:rsid wsp:val=&quot;00260908&quot;/&gt;&lt;wsp:rsid wsp:val=&quot;002626F0&quot;/&gt;&lt;wsp:rsid wsp:val=&quot;00263329&quot;/&gt;&lt;wsp:rsid wsp:val=&quot;002654F1&quot;/&gt;&lt;wsp:rsid wsp:val=&quot;002664FC&quot;/&gt;&lt;wsp:rsid wsp:val=&quot;002669D4&quot;/&gt;&lt;wsp:rsid wsp:val=&quot;002677D8&quot;/&gt;&lt;wsp:rsid wsp:val=&quot;00267D48&quot;/&gt;&lt;wsp:rsid wsp:val=&quot;002710CD&quot;/&gt;&lt;wsp:rsid wsp:val=&quot;00271B1D&quot;/&gt;&lt;wsp:rsid wsp:val=&quot;00271B7B&quot;/&gt;&lt;wsp:rsid wsp:val=&quot;00273012&quot;/&gt;&lt;wsp:rsid wsp:val=&quot;0027454D&quot;/&gt;&lt;wsp:rsid wsp:val=&quot;0027618D&quot;/&gt;&lt;wsp:rsid wsp:val=&quot;00276580&quot;/&gt;&lt;wsp:rsid wsp:val=&quot;00276C8F&quot;/&gt;&lt;wsp:rsid wsp:val=&quot;00276D92&quot;/&gt;&lt;wsp:rsid wsp:val=&quot;002773C1&quot;/&gt;&lt;wsp:rsid wsp:val=&quot;00277870&quot;/&gt;&lt;wsp:rsid wsp:val=&quot;00277CFE&quot;/&gt;&lt;wsp:rsid wsp:val=&quot;0028043B&quot;/&gt;&lt;wsp:rsid wsp:val=&quot;002806B1&quot;/&gt;&lt;wsp:rsid wsp:val=&quot;00281233&quot;/&gt;&lt;wsp:rsid wsp:val=&quot;00281E0B&quot;/&gt;&lt;wsp:rsid wsp:val=&quot;00282AED&quot;/&gt;&lt;wsp:rsid wsp:val=&quot;00282D64&quot;/&gt;&lt;wsp:rsid wsp:val=&quot;002833DE&quot;/&gt;&lt;wsp:rsid wsp:val=&quot;00283F12&quot;/&gt;&lt;wsp:rsid wsp:val=&quot;00285928&quot;/&gt;&lt;wsp:rsid wsp:val=&quot;00286404&quot;/&gt;&lt;wsp:rsid wsp:val=&quot;002903C4&quot;/&gt;&lt;wsp:rsid wsp:val=&quot;00291527&quot;/&gt;&lt;wsp:rsid wsp:val=&quot;00292C91&quot;/&gt;&lt;wsp:rsid wsp:val=&quot;00293B76&quot;/&gt;&lt;wsp:rsid wsp:val=&quot;00293C63&quot;/&gt;&lt;wsp:rsid wsp:val=&quot;00293EE2&quot;/&gt;&lt;wsp:rsid wsp:val=&quot;00295997&quot;/&gt;&lt;wsp:rsid wsp:val=&quot;00296101&quot;/&gt;&lt;wsp:rsid wsp:val=&quot;002A07BA&quot;/&gt;&lt;wsp:rsid wsp:val=&quot;002A13A5&quot;/&gt;&lt;wsp:rsid wsp:val=&quot;002A2C36&quot;/&gt;&lt;wsp:rsid wsp:val=&quot;002A3606&quot;/&gt;&lt;wsp:rsid wsp:val=&quot;002A3785&quot;/&gt;&lt;wsp:rsid wsp:val=&quot;002A3B6A&quot;/&gt;&lt;wsp:rsid wsp:val=&quot;002A4FE3&quot;/&gt;&lt;wsp:rsid wsp:val=&quot;002A5884&quot;/&gt;&lt;wsp:rsid wsp:val=&quot;002A69EC&quot;/&gt;&lt;wsp:rsid wsp:val=&quot;002A7935&quot;/&gt;&lt;wsp:rsid wsp:val=&quot;002B083C&quot;/&gt;&lt;wsp:rsid wsp:val=&quot;002B0B86&quot;/&gt;&lt;wsp:rsid wsp:val=&quot;002B0C08&quot;/&gt;&lt;wsp:rsid wsp:val=&quot;002B2123&quot;/&gt;&lt;wsp:rsid wsp:val=&quot;002B2AFE&quot;/&gt;&lt;wsp:rsid wsp:val=&quot;002B2E1D&quot;/&gt;&lt;wsp:rsid wsp:val=&quot;002B382F&quot;/&gt;&lt;wsp:rsid wsp:val=&quot;002B43A4&quot;/&gt;&lt;wsp:rsid wsp:val=&quot;002B4E94&quot;/&gt;&lt;wsp:rsid wsp:val=&quot;002B5D1B&quot;/&gt;&lt;wsp:rsid wsp:val=&quot;002B5D51&quot;/&gt;&lt;wsp:rsid wsp:val=&quot;002B65C7&quot;/&gt;&lt;wsp:rsid wsp:val=&quot;002B6634&quot;/&gt;&lt;wsp:rsid wsp:val=&quot;002B739C&quot;/&gt;&lt;wsp:rsid wsp:val=&quot;002B78FE&quot;/&gt;&lt;wsp:rsid wsp:val=&quot;002B7A3A&quot;/&gt;&lt;wsp:rsid wsp:val=&quot;002B7EBE&quot;/&gt;&lt;wsp:rsid wsp:val=&quot;002C22C3&quot;/&gt;&lt;wsp:rsid wsp:val=&quot;002C22C5&quot;/&gt;&lt;wsp:rsid wsp:val=&quot;002C44D8&quot;/&gt;&lt;wsp:rsid wsp:val=&quot;002C47A5&quot;/&gt;&lt;wsp:rsid wsp:val=&quot;002C59F8&quot;/&gt;&lt;wsp:rsid wsp:val=&quot;002C6374&quot;/&gt;&lt;wsp:rsid wsp:val=&quot;002C76CE&quot;/&gt;&lt;wsp:rsid wsp:val=&quot;002D13CC&quot;/&gt;&lt;wsp:rsid wsp:val=&quot;002D3762&quot;/&gt;&lt;wsp:rsid wsp:val=&quot;002D38D8&quot;/&gt;&lt;wsp:rsid wsp:val=&quot;002D3E37&quot;/&gt;&lt;wsp:rsid wsp:val=&quot;002D42E3&quot;/&gt;&lt;wsp:rsid wsp:val=&quot;002D4953&quot;/&gt;&lt;wsp:rsid wsp:val=&quot;002D5BBA&quot;/&gt;&lt;wsp:rsid wsp:val=&quot;002D5F6E&quot;/&gt;&lt;wsp:rsid wsp:val=&quot;002D67EE&quot;/&gt;&lt;wsp:rsid wsp:val=&quot;002D7770&quot;/&gt;&lt;wsp:rsid wsp:val=&quot;002E193C&quot;/&gt;&lt;wsp:rsid wsp:val=&quot;002E5AEB&quot;/&gt;&lt;wsp:rsid wsp:val=&quot;002E5D1A&quot;/&gt;&lt;wsp:rsid wsp:val=&quot;002E76DB&quot;/&gt;&lt;wsp:rsid wsp:val=&quot;002E7D43&quot;/&gt;&lt;wsp:rsid wsp:val=&quot;002E7DC9&quot;/&gt;&lt;wsp:rsid wsp:val=&quot;002F09B7&quot;/&gt;&lt;wsp:rsid wsp:val=&quot;002F0E58&quot;/&gt;&lt;wsp:rsid wsp:val=&quot;002F15A9&quot;/&gt;&lt;wsp:rsid wsp:val=&quot;002F1EE7&quot;/&gt;&lt;wsp:rsid wsp:val=&quot;002F21DC&quot;/&gt;&lt;wsp:rsid wsp:val=&quot;002F2228&quot;/&gt;&lt;wsp:rsid wsp:val=&quot;002F2342&quot;/&gt;&lt;wsp:rsid wsp:val=&quot;002F3A2B&quot;/&gt;&lt;wsp:rsid wsp:val=&quot;002F5011&quot;/&gt;&lt;wsp:rsid wsp:val=&quot;002F58AB&quot;/&gt;&lt;wsp:rsid wsp:val=&quot;002F61F0&quot;/&gt;&lt;wsp:rsid wsp:val=&quot;002F6DD0&quot;/&gt;&lt;wsp:rsid wsp:val=&quot;00301434&quot;/&gt;&lt;wsp:rsid wsp:val=&quot;00301FEB&quot;/&gt;&lt;wsp:rsid wsp:val=&quot;0030230E&quot;/&gt;&lt;wsp:rsid wsp:val=&quot;00302968&quot;/&gt;&lt;wsp:rsid wsp:val=&quot;00303A17&quot;/&gt;&lt;wsp:rsid wsp:val=&quot;00303AE0&quot;/&gt;&lt;wsp:rsid wsp:val=&quot;00303E34&quot;/&gt;&lt;wsp:rsid wsp:val=&quot;00304563&quot;/&gt;&lt;wsp:rsid wsp:val=&quot;0030569A&quot;/&gt;&lt;wsp:rsid wsp:val=&quot;00305AF5&quot;/&gt;&lt;wsp:rsid wsp:val=&quot;00305BEB&quot;/&gt;&lt;wsp:rsid wsp:val=&quot;00306E96&quot;/&gt;&lt;wsp:rsid wsp:val=&quot;003071D3&quot;/&gt;&lt;wsp:rsid wsp:val=&quot;003073F8&quot;/&gt;&lt;wsp:rsid wsp:val=&quot;003074B4&quot;/&gt;&lt;wsp:rsid wsp:val=&quot;003107B8&quot;/&gt;&lt;wsp:rsid wsp:val=&quot;00310B40&quot;/&gt;&lt;wsp:rsid wsp:val=&quot;00312835&quot;/&gt;&lt;wsp:rsid wsp:val=&quot;003145E7&quot;/&gt;&lt;wsp:rsid wsp:val=&quot;0031566F&quot;/&gt;&lt;wsp:rsid wsp:val=&quot;0031598B&quot;/&gt;&lt;wsp:rsid wsp:val=&quot;00315A21&quot;/&gt;&lt;wsp:rsid wsp:val=&quot;0031654D&quot;/&gt;&lt;wsp:rsid wsp:val=&quot;003167B3&quot;/&gt;&lt;wsp:rsid wsp:val=&quot;00321195&quot;/&gt;&lt;wsp:rsid wsp:val=&quot;00321C3F&quot;/&gt;&lt;wsp:rsid wsp:val=&quot;00321E71&quot;/&gt;&lt;wsp:rsid wsp:val=&quot;00322747&quot;/&gt;&lt;wsp:rsid wsp:val=&quot;003267A1&quot;/&gt;&lt;wsp:rsid wsp:val=&quot;00330953&quot;/&gt;&lt;wsp:rsid wsp:val=&quot;003313B2&quot;/&gt;&lt;wsp:rsid wsp:val=&quot;003326DC&quot;/&gt;&lt;wsp:rsid wsp:val=&quot;00333550&quot;/&gt;&lt;wsp:rsid wsp:val=&quot;003359B5&quot;/&gt;&lt;wsp:rsid wsp:val=&quot;00335AEF&quot;/&gt;&lt;wsp:rsid wsp:val=&quot;00337015&quot;/&gt;&lt;wsp:rsid wsp:val=&quot;00342A7B&quot;/&gt;&lt;wsp:rsid wsp:val=&quot;00342EF0&quot;/&gt;&lt;wsp:rsid wsp:val=&quot;00343030&quot;/&gt;&lt;wsp:rsid wsp:val=&quot;00344210&quot;/&gt;&lt;wsp:rsid wsp:val=&quot;0034580E&quot;/&gt;&lt;wsp:rsid wsp:val=&quot;0034622C&quot;/&gt;&lt;wsp:rsid wsp:val=&quot;003468D0&quot;/&gt;&lt;wsp:rsid wsp:val=&quot;00346D5E&quot;/&gt;&lt;wsp:rsid wsp:val=&quot;003479EB&quot;/&gt;&lt;wsp:rsid wsp:val=&quot;0035004A&quot;/&gt;&lt;wsp:rsid wsp:val=&quot;00350ED2&quot;/&gt;&lt;wsp:rsid wsp:val=&quot;00351334&quot;/&gt;&lt;wsp:rsid wsp:val=&quot;0035320F&quot;/&gt;&lt;wsp:rsid wsp:val=&quot;003534BE&quot;/&gt;&lt;wsp:rsid wsp:val=&quot;00354DB4&quot;/&gt;&lt;wsp:rsid wsp:val=&quot;00355B6E&quot;/&gt;&lt;wsp:rsid wsp:val=&quot;00356E4B&quot;/&gt;&lt;wsp:rsid wsp:val=&quot;00357750&quot;/&gt;&lt;wsp:rsid wsp:val=&quot;00357B29&quot;/&gt;&lt;wsp:rsid wsp:val=&quot;00362678&quot;/&gt;&lt;wsp:rsid wsp:val=&quot;003639F0&quot;/&gt;&lt;wsp:rsid wsp:val=&quot;00363A1C&quot;/&gt;&lt;wsp:rsid wsp:val=&quot;00365835&quot;/&gt;&lt;wsp:rsid wsp:val=&quot;0036583C&quot;/&gt;&lt;wsp:rsid wsp:val=&quot;003665E1&quot;/&gt;&lt;wsp:rsid wsp:val=&quot;0036661F&quot;/&gt;&lt;wsp:rsid wsp:val=&quot;003673A7&quot;/&gt;&lt;wsp:rsid wsp:val=&quot;00367CBA&quot;/&gt;&lt;wsp:rsid wsp:val=&quot;00370880&quot;/&gt;&lt;wsp:rsid wsp:val=&quot;0037149F&quot;/&gt;&lt;wsp:rsid wsp:val=&quot;003719A5&quot;/&gt;&lt;wsp:rsid wsp:val=&quot;00372788&quot;/&gt;&lt;wsp:rsid wsp:val=&quot;0037346A&quot;/&gt;&lt;wsp:rsid wsp:val=&quot;0037395D&quot;/&gt;&lt;wsp:rsid wsp:val=&quot;00374808&quot;/&gt;&lt;wsp:rsid wsp:val=&quot;00374973&quot;/&gt;&lt;wsp:rsid wsp:val=&quot;003749E3&quot;/&gt;&lt;wsp:rsid wsp:val=&quot;003767A9&quot;/&gt;&lt;wsp:rsid wsp:val=&quot;00380F52&quot;/&gt;&lt;wsp:rsid wsp:val=&quot;00380FEE&quot;/&gt;&lt;wsp:rsid wsp:val=&quot;00382919&quot;/&gt;&lt;wsp:rsid wsp:val=&quot;00383AF3&quot;/&gt;&lt;wsp:rsid wsp:val=&quot;00383B59&quot;/&gt;&lt;wsp:rsid wsp:val=&quot;00384CCB&quot;/&gt;&lt;wsp:rsid wsp:val=&quot;00386345&quot;/&gt;&lt;wsp:rsid wsp:val=&quot;00386EB0&quot;/&gt;&lt;wsp:rsid wsp:val=&quot;0039037C&quot;/&gt;&lt;wsp:rsid wsp:val=&quot;003905D3&quot;/&gt;&lt;wsp:rsid wsp:val=&quot;003909F6&quot;/&gt;&lt;wsp:rsid wsp:val=&quot;00390AB8&quot;/&gt;&lt;wsp:rsid wsp:val=&quot;00390D7B&quot;/&gt;&lt;wsp:rsid wsp:val=&quot;003939F3&quot;/&gt;&lt;wsp:rsid wsp:val=&quot;00394AC2&quot;/&gt;&lt;wsp:rsid wsp:val=&quot;003A09D3&quot;/&gt;&lt;wsp:rsid wsp:val=&quot;003A2B70&quot;/&gt;&lt;wsp:rsid wsp:val=&quot;003A3252&quot;/&gt;&lt;wsp:rsid wsp:val=&quot;003A40E0&quot;/&gt;&lt;wsp:rsid wsp:val=&quot;003A497C&quot;/&gt;&lt;wsp:rsid wsp:val=&quot;003A54CE&quot;/&gt;&lt;wsp:rsid wsp:val=&quot;003A6655&quot;/&gt;&lt;wsp:rsid wsp:val=&quot;003A7072&quot;/&gt;&lt;wsp:rsid wsp:val=&quot;003A7398&quot;/&gt;&lt;wsp:rsid wsp:val=&quot;003A7654&quot;/&gt;&lt;wsp:rsid wsp:val=&quot;003B1196&quot;/&gt;&lt;wsp:rsid wsp:val=&quot;003B1817&quot;/&gt;&lt;wsp:rsid wsp:val=&quot;003B1F49&quot;/&gt;&lt;wsp:rsid wsp:val=&quot;003B2026&quot;/&gt;&lt;wsp:rsid wsp:val=&quot;003B3004&quot;/&gt;&lt;wsp:rsid wsp:val=&quot;003B3C7E&quot;/&gt;&lt;wsp:rsid wsp:val=&quot;003B5AFB&quot;/&gt;&lt;wsp:rsid wsp:val=&quot;003B65CF&quot;/&gt;&lt;wsp:rsid wsp:val=&quot;003B6E71&quot;/&gt;&lt;wsp:rsid wsp:val=&quot;003B77AB&quot;/&gt;&lt;wsp:rsid wsp:val=&quot;003C014C&quot;/&gt;&lt;wsp:rsid wsp:val=&quot;003C11A3&quot;/&gt;&lt;wsp:rsid wsp:val=&quot;003C1CB4&quot;/&gt;&lt;wsp:rsid wsp:val=&quot;003C2AC9&quot;/&gt;&lt;wsp:rsid wsp:val=&quot;003C48C3&quot;/&gt;&lt;wsp:rsid wsp:val=&quot;003C51FC&quot;/&gt;&lt;wsp:rsid wsp:val=&quot;003C5247&quot;/&gt;&lt;wsp:rsid wsp:val=&quot;003C5350&quot;/&gt;&lt;wsp:rsid wsp:val=&quot;003C5494&quot;/&gt;&lt;wsp:rsid wsp:val=&quot;003C6600&quot;/&gt;&lt;wsp:rsid wsp:val=&quot;003C668F&quot;/&gt;&lt;wsp:rsid wsp:val=&quot;003C6799&quot;/&gt;&lt;wsp:rsid wsp:val=&quot;003C7F6A&quot;/&gt;&lt;wsp:rsid wsp:val=&quot;003D0658&quot;/&gt;&lt;wsp:rsid wsp:val=&quot;003D0ADB&quot;/&gt;&lt;wsp:rsid wsp:val=&quot;003D0D41&quot;/&gt;&lt;wsp:rsid wsp:val=&quot;003D1667&quot;/&gt;&lt;wsp:rsid wsp:val=&quot;003D38F3&quot;/&gt;&lt;wsp:rsid wsp:val=&quot;003D406E&quot;/&gt;&lt;wsp:rsid wsp:val=&quot;003D4BD0&quot;/&gt;&lt;wsp:rsid wsp:val=&quot;003D587A&quot;/&gt;&lt;wsp:rsid wsp:val=&quot;003D7932&quot;/&gt;&lt;wsp:rsid wsp:val=&quot;003E0955&quot;/&gt;&lt;wsp:rsid wsp:val=&quot;003E0D63&quot;/&gt;&lt;wsp:rsid wsp:val=&quot;003E2047&quot;/&gt;&lt;wsp:rsid wsp:val=&quot;003E23DA&quot;/&gt;&lt;wsp:rsid wsp:val=&quot;003E31DE&quot;/&gt;&lt;wsp:rsid wsp:val=&quot;003E4A93&quot;/&gt;&lt;wsp:rsid wsp:val=&quot;003E5477&quot;/&gt;&lt;wsp:rsid wsp:val=&quot;003E570B&quot;/&gt;&lt;wsp:rsid wsp:val=&quot;003E7033&quot;/&gt;&lt;wsp:rsid wsp:val=&quot;003E7F02&quot;/&gt;&lt;wsp:rsid wsp:val=&quot;003F0062&quot;/&gt;&lt;wsp:rsid wsp:val=&quot;003F0CCC&quot;/&gt;&lt;wsp:rsid wsp:val=&quot;003F2191&quot;/&gt;&lt;wsp:rsid wsp:val=&quot;003F2C7A&quot;/&gt;&lt;wsp:rsid wsp:val=&quot;003F3074&quot;/&gt;&lt;wsp:rsid wsp:val=&quot;003F30FC&quot;/&gt;&lt;wsp:rsid wsp:val=&quot;003F3345&quot;/&gt;&lt;wsp:rsid wsp:val=&quot;003F40D2&quot;/&gt;&lt;wsp:rsid wsp:val=&quot;003F468D&quot;/&gt;&lt;wsp:rsid wsp:val=&quot;003F572B&quot;/&gt;&lt;wsp:rsid wsp:val=&quot;003F617E&quot;/&gt;&lt;wsp:rsid wsp:val=&quot;003F654D&quot;/&gt;&lt;wsp:rsid wsp:val=&quot;003F6762&quot;/&gt;&lt;wsp:rsid wsp:val=&quot;003F79E7&quot;/&gt;&lt;wsp:rsid wsp:val=&quot;004011AF&quot;/&gt;&lt;wsp:rsid wsp:val=&quot;00403A49&quot;/&gt;&lt;wsp:rsid wsp:val=&quot;004043F4&quot;/&gt;&lt;wsp:rsid wsp:val=&quot;00404DEC&quot;/&gt;&lt;wsp:rsid wsp:val=&quot;0040506A&quot;/&gt;&lt;wsp:rsid wsp:val=&quot;004051B4&quot;/&gt;&lt;wsp:rsid wsp:val=&quot;00405574&quot;/&gt;&lt;wsp:rsid wsp:val=&quot;00406102&quot;/&gt;&lt;wsp:rsid wsp:val=&quot;00406CD5&quot;/&gt;&lt;wsp:rsid wsp:val=&quot;0041123A&quot;/&gt;&lt;wsp:rsid wsp:val=&quot;00411F6B&quot;/&gt;&lt;wsp:rsid wsp:val=&quot;00412738&quot;/&gt;&lt;wsp:rsid wsp:val=&quot;00412BD3&quot;/&gt;&lt;wsp:rsid wsp:val=&quot;00412C50&quot;/&gt;&lt;wsp:rsid wsp:val=&quot;0041431B&quot;/&gt;&lt;wsp:rsid wsp:val=&quot;00414951&quot;/&gt;&lt;wsp:rsid wsp:val=&quot;00414CBB&quot;/&gt;&lt;wsp:rsid wsp:val=&quot;00415907&quot;/&gt;&lt;wsp:rsid wsp:val=&quot;00415D27&quot;/&gt;&lt;wsp:rsid wsp:val=&quot;00416346&quot;/&gt;&lt;wsp:rsid wsp:val=&quot;00416D21&quot;/&gt;&lt;wsp:rsid wsp:val=&quot;00416FAE&quot;/&gt;&lt;wsp:rsid wsp:val=&quot;00416FDC&quot;/&gt;&lt;wsp:rsid wsp:val=&quot;00417465&quot;/&gt;&lt;wsp:rsid wsp:val=&quot;00417C93&quot;/&gt;&lt;wsp:rsid wsp:val=&quot;00421776&quot;/&gt;&lt;wsp:rsid wsp:val=&quot;0042185A&quot;/&gt;&lt;wsp:rsid wsp:val=&quot;00421B8B&quot;/&gt;&lt;wsp:rsid wsp:val=&quot;0042216B&quot;/&gt;&lt;wsp:rsid wsp:val=&quot;00424896&quot;/&gt;&lt;wsp:rsid wsp:val=&quot;00425AE3&quot;/&gt;&lt;wsp:rsid wsp:val=&quot;0042629A&quot;/&gt;&lt;wsp:rsid wsp:val=&quot;004262E6&quot;/&gt;&lt;wsp:rsid wsp:val=&quot;00426A57&quot;/&gt;&lt;wsp:rsid wsp:val=&quot;00426CE3&quot;/&gt;&lt;wsp:rsid wsp:val=&quot;004275AE&quot;/&gt;&lt;wsp:rsid wsp:val=&quot;004277D4&quot;/&gt;&lt;wsp:rsid wsp:val=&quot;00430701&quot;/&gt;&lt;wsp:rsid wsp:val=&quot;0043079D&quot;/&gt;&lt;wsp:rsid wsp:val=&quot;004326C7&quot;/&gt;&lt;wsp:rsid wsp:val=&quot;00432B4A&quot;/&gt;&lt;wsp:rsid wsp:val=&quot;00435879&quot;/&gt;&lt;wsp:rsid wsp:val=&quot;004361A5&quot;/&gt;&lt;wsp:rsid wsp:val=&quot;00436B23&quot;/&gt;&lt;wsp:rsid wsp:val=&quot;00437775&quot;/&gt;&lt;wsp:rsid wsp:val=&quot;00440CCD&quot;/&gt;&lt;wsp:rsid wsp:val=&quot;00441E0C&quot;/&gt;&lt;wsp:rsid wsp:val=&quot;00441FEB&quot;/&gt;&lt;wsp:rsid wsp:val=&quot;004420EA&quot;/&gt;&lt;wsp:rsid wsp:val=&quot;00442443&quot;/&gt;&lt;wsp:rsid wsp:val=&quot;00442BDB&quot;/&gt;&lt;wsp:rsid wsp:val=&quot;00443261&quot;/&gt;&lt;wsp:rsid wsp:val=&quot;0044367F&quot;/&gt;&lt;wsp:rsid wsp:val=&quot;00443BFB&quot;/&gt;&lt;wsp:rsid wsp:val=&quot;00444C92&quot;/&gt;&lt;wsp:rsid wsp:val=&quot;00444D94&quot;/&gt;&lt;wsp:rsid wsp:val=&quot;00445788&quot;/&gt;&lt;wsp:rsid wsp:val=&quot;00445CAE&quot;/&gt;&lt;wsp:rsid wsp:val=&quot;00446F83&quot;/&gt;&lt;wsp:rsid wsp:val=&quot;00450650&quot;/&gt;&lt;wsp:rsid wsp:val=&quot;00451850&quot;/&gt;&lt;wsp:rsid wsp:val=&quot;004536D6&quot;/&gt;&lt;wsp:rsid wsp:val=&quot;00453796&quot;/&gt;&lt;wsp:rsid wsp:val=&quot;00454CC2&quot;/&gt;&lt;wsp:rsid wsp:val=&quot;00455329&quot;/&gt;&lt;wsp:rsid wsp:val=&quot;004559CC&quot;/&gt;&lt;wsp:rsid wsp:val=&quot;00455A85&quot;/&gt;&lt;wsp:rsid wsp:val=&quot;00455B14&quot;/&gt;&lt;wsp:rsid wsp:val=&quot;00456908&quot;/&gt;&lt;wsp:rsid wsp:val=&quot;0045762C&quot;/&gt;&lt;wsp:rsid wsp:val=&quot;004606C0&quot;/&gt;&lt;wsp:rsid wsp:val=&quot;004626FE&quot;/&gt;&lt;wsp:rsid wsp:val=&quot;00462AAD&quot;/&gt;&lt;wsp:rsid wsp:val=&quot;00462FE5&quot;/&gt;&lt;wsp:rsid wsp:val=&quot;0046370C&quot;/&gt;&lt;wsp:rsid wsp:val=&quot;004638C0&quot;/&gt;&lt;wsp:rsid wsp:val=&quot;0046636F&quot;/&gt;&lt;wsp:rsid wsp:val=&quot;004665EB&quot;/&gt;&lt;wsp:rsid wsp:val=&quot;00473606&quot;/&gt;&lt;wsp:rsid wsp:val=&quot;004755BE&quot;/&gt;&lt;wsp:rsid wsp:val=&quot;00475AFC&quot;/&gt;&lt;wsp:rsid wsp:val=&quot;00475EBE&quot;/&gt;&lt;wsp:rsid wsp:val=&quot;00475F43&quot;/&gt;&lt;wsp:rsid wsp:val=&quot;00476908&quot;/&gt;&lt;wsp:rsid wsp:val=&quot;00477EF2&quot;/&gt;&lt;wsp:rsid wsp:val=&quot;00480D8D&quot;/&gt;&lt;wsp:rsid wsp:val=&quot;00480FF2&quot;/&gt;&lt;wsp:rsid wsp:val=&quot;00481373&quot;/&gt;&lt;wsp:rsid wsp:val=&quot;004816E3&quot;/&gt;&lt;wsp:rsid wsp:val=&quot;00483075&quot;/&gt;&lt;wsp:rsid wsp:val=&quot;00483A9B&quot;/&gt;&lt;wsp:rsid wsp:val=&quot;00484205&quot;/&gt;&lt;wsp:rsid wsp:val=&quot;00484A05&quot;/&gt;&lt;wsp:rsid wsp:val=&quot;00484E0B&quot;/&gt;&lt;wsp:rsid wsp:val=&quot;00485DF4&quot;/&gt;&lt;wsp:rsid wsp:val=&quot;00486665&quot;/&gt;&lt;wsp:rsid wsp:val=&quot;00490FFA&quot;/&gt;&lt;wsp:rsid wsp:val=&quot;004911C3&quot;/&gt;&lt;wsp:rsid wsp:val=&quot;00491FC4&quot;/&gt;&lt;wsp:rsid wsp:val=&quot;0049495B&quot;/&gt;&lt;wsp:rsid wsp:val=&quot;004A02AC&quot;/&gt;&lt;wsp:rsid wsp:val=&quot;004A147C&quot;/&gt;&lt;wsp:rsid wsp:val=&quot;004A1582&quot;/&gt;&lt;wsp:rsid wsp:val=&quot;004A2054&quot;/&gt;&lt;wsp:rsid wsp:val=&quot;004A24E2&quot;/&gt;&lt;wsp:rsid wsp:val=&quot;004A4120&quot;/&gt;&lt;wsp:rsid wsp:val=&quot;004A446B&quot;/&gt;&lt;wsp:rsid wsp:val=&quot;004A44F8&quot;/&gt;&lt;wsp:rsid wsp:val=&quot;004A55C2&quot;/&gt;&lt;wsp:rsid wsp:val=&quot;004A628C&quot;/&gt;&lt;wsp:rsid wsp:val=&quot;004A7B08&quot;/&gt;&lt;wsp:rsid wsp:val=&quot;004B0567&quot;/&gt;&lt;wsp:rsid wsp:val=&quot;004B1143&quot;/&gt;&lt;wsp:rsid wsp:val=&quot;004B1441&quot;/&gt;&lt;wsp:rsid wsp:val=&quot;004B1765&quot;/&gt;&lt;wsp:rsid wsp:val=&quot;004B19AD&quot;/&gt;&lt;wsp:rsid wsp:val=&quot;004B1D2F&quot;/&gt;&lt;wsp:rsid wsp:val=&quot;004B3366&quot;/&gt;&lt;wsp:rsid wsp:val=&quot;004B43DA&quot;/&gt;&lt;wsp:rsid wsp:val=&quot;004B47CC&quot;/&gt;&lt;wsp:rsid wsp:val=&quot;004B4C64&quot;/&gt;&lt;wsp:rsid wsp:val=&quot;004B5A32&quot;/&gt;&lt;wsp:rsid wsp:val=&quot;004B76FF&quot;/&gt;&lt;wsp:rsid wsp:val=&quot;004B7936&quot;/&gt;&lt;wsp:rsid wsp:val=&quot;004B7997&quot;/&gt;&lt;wsp:rsid wsp:val=&quot;004C2BAE&quot;/&gt;&lt;wsp:rsid wsp:val=&quot;004C5366&quot;/&gt;&lt;wsp:rsid wsp:val=&quot;004C6477&quot;/&gt;&lt;wsp:rsid wsp:val=&quot;004C64C1&quot;/&gt;&lt;wsp:rsid wsp:val=&quot;004C6A4F&quot;/&gt;&lt;wsp:rsid wsp:val=&quot;004C7442&quot;/&gt;&lt;wsp:rsid wsp:val=&quot;004D0B5A&quot;/&gt;&lt;wsp:rsid wsp:val=&quot;004D1B87&quot;/&gt;&lt;wsp:rsid wsp:val=&quot;004D1EF6&quot;/&gt;&lt;wsp:rsid wsp:val=&quot;004D2C4A&quot;/&gt;&lt;wsp:rsid wsp:val=&quot;004D34E7&quot;/&gt;&lt;wsp:rsid wsp:val=&quot;004D3D89&quot;/&gt;&lt;wsp:rsid wsp:val=&quot;004D516E&quot;/&gt;&lt;wsp:rsid wsp:val=&quot;004D5665&quot;/&gt;&lt;wsp:rsid wsp:val=&quot;004D6F00&quot;/&gt;&lt;wsp:rsid wsp:val=&quot;004E00F6&quot;/&gt;&lt;wsp:rsid wsp:val=&quot;004E161D&quot;/&gt;&lt;wsp:rsid wsp:val=&quot;004E2A09&quot;/&gt;&lt;wsp:rsid wsp:val=&quot;004E415B&quot;/&gt;&lt;wsp:rsid wsp:val=&quot;004E4BCF&quot;/&gt;&lt;wsp:rsid wsp:val=&quot;004E5074&quot;/&gt;&lt;wsp:rsid wsp:val=&quot;004E52F1&quot;/&gt;&lt;wsp:rsid wsp:val=&quot;004E5F2F&quot;/&gt;&lt;wsp:rsid wsp:val=&quot;004E68F8&quot;/&gt;&lt;wsp:rsid wsp:val=&quot;004E723F&quot;/&gt;&lt;wsp:rsid wsp:val=&quot;004E7CB2&quot;/&gt;&lt;wsp:rsid wsp:val=&quot;004F0844&quot;/&gt;&lt;wsp:rsid wsp:val=&quot;004F28D0&quot;/&gt;&lt;wsp:rsid wsp:val=&quot;004F368C&quot;/&gt;&lt;wsp:rsid wsp:val=&quot;004F482F&quot;/&gt;&lt;wsp:rsid wsp:val=&quot;00500063&quot;/&gt;&lt;wsp:rsid wsp:val=&quot;005009E4&quot;/&gt;&lt;wsp:rsid wsp:val=&quot;00501161&quot;/&gt;&lt;wsp:rsid wsp:val=&quot;00501A82&quot;/&gt;&lt;wsp:rsid wsp:val=&quot;00501AAB&quot;/&gt;&lt;wsp:rsid wsp:val=&quot;0050344B&quot;/&gt;&lt;wsp:rsid wsp:val=&quot;005034E7&quot;/&gt;&lt;wsp:rsid wsp:val=&quot;00503875&quot;/&gt;&lt;wsp:rsid wsp:val=&quot;0050468E&quot;/&gt;&lt;wsp:rsid wsp:val=&quot;005051A5&quot;/&gt;&lt;wsp:rsid wsp:val=&quot;0050605B&quot;/&gt;&lt;wsp:rsid wsp:val=&quot;00506FD9&quot;/&gt;&lt;wsp:rsid wsp:val=&quot;00507D68&quot;/&gt;&lt;wsp:rsid wsp:val=&quot;00507DBF&quot;/&gt;&lt;wsp:rsid wsp:val=&quot;00511AA5&quot;/&gt;&lt;wsp:rsid wsp:val=&quot;00513C2E&quot;/&gt;&lt;wsp:rsid wsp:val=&quot;00513EB0&quot;/&gt;&lt;wsp:rsid wsp:val=&quot;00515D77&quot;/&gt;&lt;wsp:rsid wsp:val=&quot;005206B6&quot;/&gt;&lt;wsp:rsid wsp:val=&quot;005218D0&quot;/&gt;&lt;wsp:rsid wsp:val=&quot;0052425E&quot;/&gt;&lt;wsp:rsid wsp:val=&quot;00526A40&quot;/&gt;&lt;wsp:rsid wsp:val=&quot;00530990&quot;/&gt;&lt;wsp:rsid wsp:val=&quot;00531E96&quot;/&gt;&lt;wsp:rsid wsp:val=&quot;00532ED2&quot;/&gt;&lt;wsp:rsid wsp:val=&quot;00532FB4&quot;/&gt;&lt;wsp:rsid wsp:val=&quot;00534579&quot;/&gt;&lt;wsp:rsid wsp:val=&quot;0053486D&quot;/&gt;&lt;wsp:rsid wsp:val=&quot;00534D1E&quot;/&gt;&lt;wsp:rsid wsp:val=&quot;00534EAA&quot;/&gt;&lt;wsp:rsid wsp:val=&quot;0053596C&quot;/&gt;&lt;wsp:rsid wsp:val=&quot;00535CC6&quot;/&gt;&lt;wsp:rsid wsp:val=&quot;00535E38&quot;/&gt;&lt;wsp:rsid wsp:val=&quot;00536AF0&quot;/&gt;&lt;wsp:rsid wsp:val=&quot;005422FF&quot;/&gt;&lt;wsp:rsid wsp:val=&quot;00542E80&quot;/&gt;&lt;wsp:rsid wsp:val=&quot;005456D5&quot;/&gt;&lt;wsp:rsid wsp:val=&quot;00546EAD&quot;/&gt;&lt;wsp:rsid wsp:val=&quot;00551789&quot;/&gt;&lt;wsp:rsid wsp:val=&quot;005527DC&quot;/&gt;&lt;wsp:rsid wsp:val=&quot;00553017&quot;/&gt;&lt;wsp:rsid wsp:val=&quot;0055311B&quot;/&gt;&lt;wsp:rsid wsp:val=&quot;00553601&quot;/&gt;&lt;wsp:rsid wsp:val=&quot;0055622A&quot;/&gt;&lt;wsp:rsid wsp:val=&quot;00557C85&quot;/&gt;&lt;wsp:rsid wsp:val=&quot;00561877&quot;/&gt;&lt;wsp:rsid wsp:val=&quot;00561A14&quot;/&gt;&lt;wsp:rsid wsp:val=&quot;00562923&quot;/&gt;&lt;wsp:rsid wsp:val=&quot;00563254&quot;/&gt;&lt;wsp:rsid wsp:val=&quot;0056437A&quot;/&gt;&lt;wsp:rsid wsp:val=&quot;00564E44&quot;/&gt;&lt;wsp:rsid wsp:val=&quot;00564E6A&quot;/&gt;&lt;wsp:rsid wsp:val=&quot;00565107&quot;/&gt;&lt;wsp:rsid wsp:val=&quot;005655EB&quot;/&gt;&lt;wsp:rsid wsp:val=&quot;005660EA&quot;/&gt;&lt;wsp:rsid wsp:val=&quot;005661BD&quot;/&gt;&lt;wsp:rsid wsp:val=&quot;005669A1&quot;/&gt;&lt;wsp:rsid wsp:val=&quot;0056775D&quot;/&gt;&lt;wsp:rsid wsp:val=&quot;00567DD1&quot;/&gt;&lt;wsp:rsid wsp:val=&quot;00570FD5&quot;/&gt;&lt;wsp:rsid wsp:val=&quot;005710B9&quot;/&gt;&lt;wsp:rsid wsp:val=&quot;005714EF&quot;/&gt;&lt;wsp:rsid wsp:val=&quot;00571AB0&quot;/&gt;&lt;wsp:rsid wsp:val=&quot;00572777&quot;/&gt;&lt;wsp:rsid wsp:val=&quot;00573161&quot;/&gt;&lt;wsp:rsid wsp:val=&quot;00574B37&quot;/&gt;&lt;wsp:rsid wsp:val=&quot;00574D95&quot;/&gt;&lt;wsp:rsid wsp:val=&quot;00576483&quot;/&gt;&lt;wsp:rsid wsp:val=&quot;00576543&quot;/&gt;&lt;wsp:rsid wsp:val=&quot;0057692F&quot;/&gt;&lt;wsp:rsid wsp:val=&quot;00576C80&quot;/&gt;&lt;wsp:rsid wsp:val=&quot;0057761F&quot;/&gt;&lt;wsp:rsid wsp:val=&quot;00580608&quot;/&gt;&lt;wsp:rsid wsp:val=&quot;00580F72&quot;/&gt;&lt;wsp:rsid wsp:val=&quot;00581F23&quot;/&gt;&lt;wsp:rsid wsp:val=&quot;0058295D&quot;/&gt;&lt;wsp:rsid wsp:val=&quot;00583FDB&quot;/&gt;&lt;wsp:rsid wsp:val=&quot;00586B6C&quot;/&gt;&lt;wsp:rsid wsp:val=&quot;0059087D&quot;/&gt;&lt;wsp:rsid wsp:val=&quot;00590FD2&quot;/&gt;&lt;wsp:rsid wsp:val=&quot;005915D7&quot;/&gt;&lt;wsp:rsid wsp:val=&quot;00591F46&quot;/&gt;&lt;wsp:rsid wsp:val=&quot;00592C2E&quot;/&gt;&lt;wsp:rsid wsp:val=&quot;00592FBA&quot;/&gt;&lt;wsp:rsid wsp:val=&quot;005945BC&quot;/&gt;&lt;wsp:rsid wsp:val=&quot;00594609&quot;/&gt;&lt;wsp:rsid wsp:val=&quot;005952C0&quot;/&gt;&lt;wsp:rsid wsp:val=&quot;00595E0B&quot;/&gt;&lt;wsp:rsid wsp:val=&quot;00596161&quot;/&gt;&lt;wsp:rsid wsp:val=&quot;00596AA5&quot;/&gt;&lt;wsp:rsid wsp:val=&quot;00597AD7&quot;/&gt;&lt;wsp:rsid wsp:val=&quot;005A0DDB&quot;/&gt;&lt;wsp:rsid wsp:val=&quot;005A56C8&quot;/&gt;&lt;wsp:rsid wsp:val=&quot;005A5DD6&quot;/&gt;&lt;wsp:rsid wsp:val=&quot;005A660D&quot;/&gt;&lt;wsp:rsid wsp:val=&quot;005A71B1&quot;/&gt;&lt;wsp:rsid wsp:val=&quot;005B0694&quot;/&gt;&lt;wsp:rsid wsp:val=&quot;005B139A&quot;/&gt;&lt;wsp:rsid wsp:val=&quot;005B1C64&quot;/&gt;&lt;wsp:rsid wsp:val=&quot;005B21B7&quot;/&gt;&lt;wsp:rsid wsp:val=&quot;005B2476&quot;/&gt;&lt;wsp:rsid wsp:val=&quot;005B2EB3&quot;/&gt;&lt;wsp:rsid wsp:val=&quot;005B345A&quot;/&gt;&lt;wsp:rsid wsp:val=&quot;005B4114&quot;/&gt;&lt;wsp:rsid wsp:val=&quot;005B4FA6&quot;/&gt;&lt;wsp:rsid wsp:val=&quot;005B5FE9&quot;/&gt;&lt;wsp:rsid wsp:val=&quot;005B6AE1&quot;/&gt;&lt;wsp:rsid wsp:val=&quot;005B6BA7&quot;/&gt;&lt;wsp:rsid wsp:val=&quot;005B6BBA&quot;/&gt;&lt;wsp:rsid wsp:val=&quot;005C047D&quot;/&gt;&lt;wsp:rsid wsp:val=&quot;005C2A5B&quot;/&gt;&lt;wsp:rsid wsp:val=&quot;005C320E&quot;/&gt;&lt;wsp:rsid wsp:val=&quot;005C3DA2&quot;/&gt;&lt;wsp:rsid wsp:val=&quot;005C5A61&quot;/&gt;&lt;wsp:rsid wsp:val=&quot;005C5F14&quot;/&gt;&lt;wsp:rsid wsp:val=&quot;005C661B&quot;/&gt;&lt;wsp:rsid wsp:val=&quot;005C6F50&quot;/&gt;&lt;wsp:rsid wsp:val=&quot;005C71FB&quot;/&gt;&lt;wsp:rsid wsp:val=&quot;005C775C&quot;/&gt;&lt;wsp:rsid wsp:val=&quot;005D1606&quot;/&gt;&lt;wsp:rsid wsp:val=&quot;005D42BF&quot;/&gt;&lt;wsp:rsid wsp:val=&quot;005D4690&quot;/&gt;&lt;wsp:rsid wsp:val=&quot;005D4990&quot;/&gt;&lt;wsp:rsid wsp:val=&quot;005D4E7B&quot;/&gt;&lt;wsp:rsid wsp:val=&quot;005D5224&quot;/&gt;&lt;wsp:rsid wsp:val=&quot;005D5C0C&quot;/&gt;&lt;wsp:rsid wsp:val=&quot;005D70B8&quot;/&gt;&lt;wsp:rsid wsp:val=&quot;005E0C84&quot;/&gt;&lt;wsp:rsid wsp:val=&quot;005E2616&quot;/&gt;&lt;wsp:rsid wsp:val=&quot;005E2818&quot;/&gt;&lt;wsp:rsid wsp:val=&quot;005E3B5F&quot;/&gt;&lt;wsp:rsid wsp:val=&quot;005E3D21&quot;/&gt;&lt;wsp:rsid wsp:val=&quot;005E43ED&quot;/&gt;&lt;wsp:rsid wsp:val=&quot;005E48A9&quot;/&gt;&lt;wsp:rsid wsp:val=&quot;005E53FF&quot;/&gt;&lt;wsp:rsid wsp:val=&quot;005E56E9&quot;/&gt;&lt;wsp:rsid wsp:val=&quot;005E6D04&quot;/&gt;&lt;wsp:rsid wsp:val=&quot;005E741A&quot;/&gt;&lt;wsp:rsid wsp:val=&quot;005F044E&quot;/&gt;&lt;wsp:rsid wsp:val=&quot;005F13F4&quot;/&gt;&lt;wsp:rsid wsp:val=&quot;005F2ECD&quot;/&gt;&lt;wsp:rsid wsp:val=&quot;005F2FBF&quot;/&gt;&lt;wsp:rsid wsp:val=&quot;005F4C80&quot;/&gt;&lt;wsp:rsid wsp:val=&quot;005F5A89&quot;/&gt;&lt;wsp:rsid wsp:val=&quot;005F5C89&quot;/&gt;&lt;wsp:rsid wsp:val=&quot;005F5F6D&quot;/&gt;&lt;wsp:rsid wsp:val=&quot;005F6C07&quot;/&gt;&lt;wsp:rsid wsp:val=&quot;00601AFA&quot;/&gt;&lt;wsp:rsid wsp:val=&quot;00601BE8&quot;/&gt;&lt;wsp:rsid wsp:val=&quot;006036E6&quot;/&gt;&lt;wsp:rsid wsp:val=&quot;00604768&quot;/&gt;&lt;wsp:rsid wsp:val=&quot;00604EEB&quot;/&gt;&lt;wsp:rsid wsp:val=&quot;006051E2&quot;/&gt;&lt;wsp:rsid wsp:val=&quot;0060664C&quot;/&gt;&lt;wsp:rsid wsp:val=&quot;00607145&quot;/&gt;&lt;wsp:rsid wsp:val=&quot;006102ED&quot;/&gt;&lt;wsp:rsid wsp:val=&quot;00610608&quot;/&gt;&lt;wsp:rsid wsp:val=&quot;00613028&quot;/&gt;&lt;wsp:rsid wsp:val=&quot;00614057&quot;/&gt;&lt;wsp:rsid wsp:val=&quot;006146F6&quot;/&gt;&lt;wsp:rsid wsp:val=&quot;0061474A&quot;/&gt;&lt;wsp:rsid wsp:val=&quot;00614D7E&quot;/&gt;&lt;wsp:rsid wsp:val=&quot;006153C0&quot;/&gt;&lt;wsp:rsid wsp:val=&quot;006158C1&quot;/&gt;&lt;wsp:rsid wsp:val=&quot;00616058&quot;/&gt;&lt;wsp:rsid wsp:val=&quot;00616D79&quot;/&gt;&lt;wsp:rsid wsp:val=&quot;00617568&quot;/&gt;&lt;wsp:rsid wsp:val=&quot;006175F5&quot;/&gt;&lt;wsp:rsid wsp:val=&quot;0061797B&quot;/&gt;&lt;wsp:rsid wsp:val=&quot;00620238&quot;/&gt;&lt;wsp:rsid wsp:val=&quot;00621B2A&quot;/&gt;&lt;wsp:rsid wsp:val=&quot;00622B7C&quot;/&gt;&lt;wsp:rsid wsp:val=&quot;00622D4E&quot;/&gt;&lt;wsp:rsid wsp:val=&quot;0062333A&quot;/&gt;&lt;wsp:rsid wsp:val=&quot;00623F8C&quot;/&gt;&lt;wsp:rsid wsp:val=&quot;0062421B&quot;/&gt;&lt;wsp:rsid wsp:val=&quot;00624E24&quot;/&gt;&lt;wsp:rsid wsp:val=&quot;006258C2&quot;/&gt;&lt;wsp:rsid wsp:val=&quot;00625A7C&quot;/&gt;&lt;wsp:rsid wsp:val=&quot;006275F2&quot;/&gt;&lt;wsp:rsid wsp:val=&quot;0062799B&quot;/&gt;&lt;wsp:rsid wsp:val=&quot;00630035&quot;/&gt;&lt;wsp:rsid wsp:val=&quot;00630E64&quot;/&gt;&lt;wsp:rsid wsp:val=&quot;00630E80&quot;/&gt;&lt;wsp:rsid wsp:val=&quot;0063343B&quot;/&gt;&lt;wsp:rsid wsp:val=&quot;006338E2&quot;/&gt;&lt;wsp:rsid wsp:val=&quot;006344E9&quot;/&gt;&lt;wsp:rsid wsp:val=&quot;00634D2A&quot;/&gt;&lt;wsp:rsid wsp:val=&quot;00635704&quot;/&gt;&lt;wsp:rsid wsp:val=&quot;006359CE&quot;/&gt;&lt;wsp:rsid wsp:val=&quot;00635AB3&quot;/&gt;&lt;wsp:rsid wsp:val=&quot;00636260&quot;/&gt;&lt;wsp:rsid wsp:val=&quot;006375CD&quot;/&gt;&lt;wsp:rsid wsp:val=&quot;00644839&quot;/&gt;&lt;wsp:rsid wsp:val=&quot;006453D6&quot;/&gt;&lt;wsp:rsid wsp:val=&quot;00645B17&quot;/&gt;&lt;wsp:rsid wsp:val=&quot;0064615F&quot;/&gt;&lt;wsp:rsid wsp:val=&quot;00647158&quot;/&gt;&lt;wsp:rsid wsp:val=&quot;00647450&quot;/&gt;&lt;wsp:rsid wsp:val=&quot;006502EF&quot;/&gt;&lt;wsp:rsid wsp:val=&quot;00650345&quot;/&gt;&lt;wsp:rsid wsp:val=&quot;0065055D&quot;/&gt;&lt;wsp:rsid wsp:val=&quot;00651373&quot;/&gt;&lt;wsp:rsid wsp:val=&quot;00651FAC&quot;/&gt;&lt;wsp:rsid wsp:val=&quot;00652C2F&quot;/&gt;&lt;wsp:rsid wsp:val=&quot;0065396B&quot;/&gt;&lt;wsp:rsid wsp:val=&quot;0065410C&quot;/&gt;&lt;wsp:rsid wsp:val=&quot;006554F3&quot;/&gt;&lt;wsp:rsid wsp:val=&quot;006555AD&quot;/&gt;&lt;wsp:rsid wsp:val=&quot;00656C27&quot;/&gt;&lt;wsp:rsid wsp:val=&quot;006576F2&quot;/&gt;&lt;wsp:rsid wsp:val=&quot;00660310&quot;/&gt;&lt;wsp:rsid wsp:val=&quot;006620EA&quot;/&gt;&lt;wsp:rsid wsp:val=&quot;00662C6D&quot;/&gt;&lt;wsp:rsid wsp:val=&quot;00662C86&quot;/&gt;&lt;wsp:rsid wsp:val=&quot;00663B3C&quot;/&gt;&lt;wsp:rsid wsp:val=&quot;00664267&quot;/&gt;&lt;wsp:rsid wsp:val=&quot;006651CA&quot;/&gt;&lt;wsp:rsid wsp:val=&quot;00665B12&quot;/&gt;&lt;wsp:rsid wsp:val=&quot;00665CC8&quot;/&gt;&lt;wsp:rsid wsp:val=&quot;00667EB8&quot;/&gt;&lt;wsp:rsid wsp:val=&quot;00667FAB&quot;/&gt;&lt;wsp:rsid wsp:val=&quot;00672883&quot;/&gt;&lt;wsp:rsid wsp:val=&quot;00672AF4&quot;/&gt;&lt;wsp:rsid wsp:val=&quot;00672F9C&quot;/&gt;&lt;wsp:rsid wsp:val=&quot;00674D1F&quot;/&gt;&lt;wsp:rsid wsp:val=&quot;00675B33&quot;/&gt;&lt;wsp:rsid wsp:val=&quot;0067680A&quot;/&gt;&lt;wsp:rsid wsp:val=&quot;00676DBF&quot;/&gt;&lt;wsp:rsid wsp:val=&quot;00677CFA&quot;/&gt;&lt;wsp:rsid wsp:val=&quot;006806B6&quot;/&gt;&lt;wsp:rsid wsp:val=&quot;00680C6E&quot;/&gt;&lt;wsp:rsid wsp:val=&quot;0068115A&quot;/&gt;&lt;wsp:rsid wsp:val=&quot;00681281&quot;/&gt;&lt;wsp:rsid wsp:val=&quot;00681FAD&quot;/&gt;&lt;wsp:rsid wsp:val=&quot;0068211E&quot;/&gt;&lt;wsp:rsid wsp:val=&quot;00682608&quot;/&gt;&lt;wsp:rsid wsp:val=&quot;00682624&quot;/&gt;&lt;wsp:rsid wsp:val=&quot;006838F8&quot;/&gt;&lt;wsp:rsid wsp:val=&quot;00683EF3&quot;/&gt;&lt;wsp:rsid wsp:val=&quot;0068488F&quot;/&gt;&lt;wsp:rsid wsp:val=&quot;006863F7&quot;/&gt;&lt;wsp:rsid wsp:val=&quot;006864E1&quot;/&gt;&lt;wsp:rsid wsp:val=&quot;006866A9&quot;/&gt;&lt;wsp:rsid wsp:val=&quot;006875DD&quot;/&gt;&lt;wsp:rsid wsp:val=&quot;00687984&quot;/&gt;&lt;wsp:rsid wsp:val=&quot;006907E0&quot;/&gt;&lt;wsp:rsid wsp:val=&quot;006909E6&quot;/&gt;&lt;wsp:rsid wsp:val=&quot;00690E1F&quot;/&gt;&lt;wsp:rsid wsp:val=&quot;00691C08&quot;/&gt;&lt;wsp:rsid wsp:val=&quot;006922BB&quot;/&gt;&lt;wsp:rsid wsp:val=&quot;00692DDD&quot;/&gt;&lt;wsp:rsid wsp:val=&quot;00695597&quot;/&gt;&lt;wsp:rsid wsp:val=&quot;006963F4&quot;/&gt;&lt;wsp:rsid wsp:val=&quot;006968A9&quot;/&gt;&lt;wsp:rsid wsp:val=&quot;006A0AC1&quot;/&gt;&lt;wsp:rsid wsp:val=&quot;006A17C0&quot;/&gt;&lt;wsp:rsid wsp:val=&quot;006A2793&quot;/&gt;&lt;wsp:rsid wsp:val=&quot;006A2D5D&quot;/&gt;&lt;wsp:rsid wsp:val=&quot;006A310F&quot;/&gt;&lt;wsp:rsid wsp:val=&quot;006A41FF&quot;/&gt;&lt;wsp:rsid wsp:val=&quot;006A5111&quot;/&gt;&lt;wsp:rsid wsp:val=&quot;006A536A&quot;/&gt;&lt;wsp:rsid wsp:val=&quot;006A6BBB&quot;/&gt;&lt;wsp:rsid wsp:val=&quot;006A733C&quot;/&gt;&lt;wsp:rsid wsp:val=&quot;006A7383&quot;/&gt;&lt;wsp:rsid wsp:val=&quot;006A7845&quot;/&gt;&lt;wsp:rsid wsp:val=&quot;006B0045&quot;/&gt;&lt;wsp:rsid wsp:val=&quot;006B1736&quot;/&gt;&lt;wsp:rsid wsp:val=&quot;006B175B&quot;/&gt;&lt;wsp:rsid wsp:val=&quot;006B1E1A&quot;/&gt;&lt;wsp:rsid wsp:val=&quot;006B2842&quot;/&gt;&lt;wsp:rsid wsp:val=&quot;006B28BD&quot;/&gt;&lt;wsp:rsid wsp:val=&quot;006B3048&quot;/&gt;&lt;wsp:rsid wsp:val=&quot;006B3B93&quot;/&gt;&lt;wsp:rsid wsp:val=&quot;006B477B&quot;/&gt;&lt;wsp:rsid wsp:val=&quot;006B4D3F&quot;/&gt;&lt;wsp:rsid wsp:val=&quot;006B5798&quot;/&gt;&lt;wsp:rsid wsp:val=&quot;006B5913&quot;/&gt;&lt;wsp:rsid wsp:val=&quot;006B5B89&quot;/&gt;&lt;wsp:rsid wsp:val=&quot;006B6648&quot;/&gt;&lt;wsp:rsid wsp:val=&quot;006B7571&quot;/&gt;&lt;wsp:rsid wsp:val=&quot;006B7D35&quot;/&gt;&lt;wsp:rsid wsp:val=&quot;006C03DB&quot;/&gt;&lt;wsp:rsid wsp:val=&quot;006C11CB&quot;/&gt;&lt;wsp:rsid wsp:val=&quot;006C2533&quot;/&gt;&lt;wsp:rsid wsp:val=&quot;006C2693&quot;/&gt;&lt;wsp:rsid wsp:val=&quot;006C2CC4&quot;/&gt;&lt;wsp:rsid wsp:val=&quot;006C2E0C&quot;/&gt;&lt;wsp:rsid wsp:val=&quot;006C43EA&quot;/&gt;&lt;wsp:rsid wsp:val=&quot;006C444E&quot;/&gt;&lt;wsp:rsid wsp:val=&quot;006C4560&quot;/&gt;&lt;wsp:rsid wsp:val=&quot;006C4628&quot;/&gt;&lt;wsp:rsid wsp:val=&quot;006C520C&quot;/&gt;&lt;wsp:rsid wsp:val=&quot;006C561F&quot;/&gt;&lt;wsp:rsid wsp:val=&quot;006C5D3D&quot;/&gt;&lt;wsp:rsid wsp:val=&quot;006C69E8&quot;/&gt;&lt;wsp:rsid wsp:val=&quot;006C6B68&quot;/&gt;&lt;wsp:rsid wsp:val=&quot;006D05EE&quot;/&gt;&lt;wsp:rsid wsp:val=&quot;006D0854&quot;/&gt;&lt;wsp:rsid wsp:val=&quot;006D2F1A&quot;/&gt;&lt;wsp:rsid wsp:val=&quot;006D44FD&quot;/&gt;&lt;wsp:rsid wsp:val=&quot;006D4642&quot;/&gt;&lt;wsp:rsid wsp:val=&quot;006D543D&quot;/&gt;&lt;wsp:rsid wsp:val=&quot;006D6CA7&quot;/&gt;&lt;wsp:rsid wsp:val=&quot;006E0F0A&quot;/&gt;&lt;wsp:rsid wsp:val=&quot;006E0F63&quot;/&gt;&lt;wsp:rsid wsp:val=&quot;006E1B2D&quot;/&gt;&lt;wsp:rsid wsp:val=&quot;006E3C18&quot;/&gt;&lt;wsp:rsid wsp:val=&quot;006E3D44&quot;/&gt;&lt;wsp:rsid wsp:val=&quot;006E4470&quot;/&gt;&lt;wsp:rsid wsp:val=&quot;006E47EB&quot;/&gt;&lt;wsp:rsid wsp:val=&quot;006E4E66&quot;/&gt;&lt;wsp:rsid wsp:val=&quot;006E5DA7&quot;/&gt;&lt;wsp:rsid wsp:val=&quot;006E6631&quot;/&gt;&lt;wsp:rsid wsp:val=&quot;006E7B0E&quot;/&gt;&lt;wsp:rsid wsp:val=&quot;006F085D&quot;/&gt;&lt;wsp:rsid wsp:val=&quot;006F0C10&quot;/&gt;&lt;wsp:rsid wsp:val=&quot;006F1806&quot;/&gt;&lt;wsp:rsid wsp:val=&quot;006F1E28&quot;/&gt;&lt;wsp:rsid wsp:val=&quot;006F25C7&quot;/&gt;&lt;wsp:rsid wsp:val=&quot;006F2BDB&quot;/&gt;&lt;wsp:rsid wsp:val=&quot;006F36FB&quot;/&gt;&lt;wsp:rsid wsp:val=&quot;006F458D&quot;/&gt;&lt;wsp:rsid wsp:val=&quot;006F53B3&quot;/&gt;&lt;wsp:rsid wsp:val=&quot;006F6D8C&quot;/&gt;&lt;wsp:rsid wsp:val=&quot;006F6E01&quot;/&gt;&lt;wsp:rsid wsp:val=&quot;006F7699&quot;/&gt;&lt;wsp:rsid wsp:val=&quot;0070251C&quot;/&gt;&lt;wsp:rsid wsp:val=&quot;00702AAE&quot;/&gt;&lt;wsp:rsid wsp:val=&quot;00703759&quot;/&gt;&lt;wsp:rsid wsp:val=&quot;0070447D&quot;/&gt;&lt;wsp:rsid wsp:val=&quot;0070469A&quot;/&gt;&lt;wsp:rsid wsp:val=&quot;007047A3&quot;/&gt;&lt;wsp:rsid wsp:val=&quot;00704D88&quot;/&gt;&lt;wsp:rsid wsp:val=&quot;0070535B&quot;/&gt;&lt;wsp:rsid wsp:val=&quot;007068BE&quot;/&gt;&lt;wsp:rsid wsp:val=&quot;00706D54&quot;/&gt;&lt;wsp:rsid wsp:val=&quot;00707062&quot;/&gt;&lt;wsp:rsid wsp:val=&quot;00711356&quot;/&gt;&lt;wsp:rsid wsp:val=&quot;007113AE&quot;/&gt;&lt;wsp:rsid wsp:val=&quot;00711A87&quot;/&gt;&lt;wsp:rsid wsp:val=&quot;00712BE5&quot;/&gt;&lt;wsp:rsid wsp:val=&quot;00713BE6&quot;/&gt;&lt;wsp:rsid wsp:val=&quot;00713CFC&quot;/&gt;&lt;wsp:rsid wsp:val=&quot;007162B3&quot;/&gt;&lt;wsp:rsid wsp:val=&quot;00716A2E&quot;/&gt;&lt;wsp:rsid wsp:val=&quot;00716DE5&quot;/&gt;&lt;wsp:rsid wsp:val=&quot;00716E29&quot;/&gt;&lt;wsp:rsid wsp:val=&quot;0071739B&quot;/&gt;&lt;wsp:rsid wsp:val=&quot;00717795&quot;/&gt;&lt;wsp:rsid wsp:val=&quot;007179E0&quot;/&gt;&lt;wsp:rsid wsp:val=&quot;007206C8&quot;/&gt;&lt;wsp:rsid wsp:val=&quot;0072077C&quot;/&gt;&lt;wsp:rsid wsp:val=&quot;0072128B&quot;/&gt;&lt;wsp:rsid wsp:val=&quot;00723EF5&quot;/&gt;&lt;wsp:rsid wsp:val=&quot;00724896&quot;/&gt;&lt;wsp:rsid wsp:val=&quot;00724DDD&quot;/&gt;&lt;wsp:rsid wsp:val=&quot;007253EE&quot;/&gt;&lt;wsp:rsid wsp:val=&quot;0072618E&quot;/&gt;&lt;wsp:rsid wsp:val=&quot;0072635D&quot;/&gt;&lt;wsp:rsid wsp:val=&quot;007264D8&quot;/&gt;&lt;wsp:rsid wsp:val=&quot;00727C30&quot;/&gt;&lt;wsp:rsid wsp:val=&quot;00730539&quot;/&gt;&lt;wsp:rsid wsp:val=&quot;00733117&quot;/&gt;&lt;wsp:rsid wsp:val=&quot;00733BA5&quot;/&gt;&lt;wsp:rsid wsp:val=&quot;00733ECC&quot;/&gt;&lt;wsp:rsid wsp:val=&quot;00733FBA&quot;/&gt;&lt;wsp:rsid wsp:val=&quot;007342C1&quot;/&gt;&lt;wsp:rsid wsp:val=&quot;00734574&quot;/&gt;&lt;wsp:rsid wsp:val=&quot;00735373&quot;/&gt;&lt;wsp:rsid wsp:val=&quot;00737253&quot;/&gt;&lt;wsp:rsid wsp:val=&quot;00741C47&quot;/&gt;&lt;wsp:rsid wsp:val=&quot;00742836&quot;/&gt;&lt;wsp:rsid wsp:val=&quot;00742C69&quot;/&gt;&lt;wsp:rsid wsp:val=&quot;0074326B&quot;/&gt;&lt;wsp:rsid wsp:val=&quot;007463D7&quot;/&gt;&lt;wsp:rsid wsp:val=&quot;00746CE2&quot;/&gt;&lt;wsp:rsid wsp:val=&quot;007476A3&quot;/&gt;&lt;wsp:rsid wsp:val=&quot;0074776B&quot;/&gt;&lt;wsp:rsid wsp:val=&quot;00751660&quot;/&gt;&lt;wsp:rsid wsp:val=&quot;00752126&quot;/&gt;&lt;wsp:rsid wsp:val=&quot;0075236E&quot;/&gt;&lt;wsp:rsid wsp:val=&quot;00752770&quot;/&gt;&lt;wsp:rsid wsp:val=&quot;00752A95&quot;/&gt;&lt;wsp:rsid wsp:val=&quot;00753DF9&quot;/&gt;&lt;wsp:rsid wsp:val=&quot;00754B3A&quot;/&gt;&lt;wsp:rsid wsp:val=&quot;00754C5F&quot;/&gt;&lt;wsp:rsid wsp:val=&quot;00754EE9&quot;/&gt;&lt;wsp:rsid wsp:val=&quot;007552BC&quot;/&gt;&lt;wsp:rsid wsp:val=&quot;0075618B&quot;/&gt;&lt;wsp:rsid wsp:val=&quot;00757DE4&quot;/&gt;&lt;wsp:rsid wsp:val=&quot;00757DFB&quot;/&gt;&lt;wsp:rsid wsp:val=&quot;00761065&quot;/&gt;&lt;wsp:rsid wsp:val=&quot;0076261C&quot;/&gt;&lt;wsp:rsid wsp:val=&quot;00762875&quot;/&gt;&lt;wsp:rsid wsp:val=&quot;0076338F&quot;/&gt;&lt;wsp:rsid wsp:val=&quot;00763CC1&quot;/&gt;&lt;wsp:rsid wsp:val=&quot;00763D84&quot;/&gt;&lt;wsp:rsid wsp:val=&quot;007659E5&quot;/&gt;&lt;wsp:rsid wsp:val=&quot;00766C1E&quot;/&gt;&lt;wsp:rsid wsp:val=&quot;00766FF1&quot;/&gt;&lt;wsp:rsid wsp:val=&quot;00767771&quot;/&gt;&lt;wsp:rsid wsp:val=&quot;00770087&quot;/&gt;&lt;wsp:rsid wsp:val=&quot;00770A1F&quot;/&gt;&lt;wsp:rsid wsp:val=&quot;0077157B&quot;/&gt;&lt;wsp:rsid wsp:val=&quot;00772205&quot;/&gt;&lt;wsp:rsid wsp:val=&quot;007722C4&quot;/&gt;&lt;wsp:rsid wsp:val=&quot;00773046&quot;/&gt;&lt;wsp:rsid wsp:val=&quot;00773224&quot;/&gt;&lt;wsp:rsid wsp:val=&quot;00774B2D&quot;/&gt;&lt;wsp:rsid wsp:val=&quot;00774E60&quot;/&gt;&lt;wsp:rsid wsp:val=&quot;007755FE&quot;/&gt;&lt;wsp:rsid wsp:val=&quot;00776335&quot;/&gt;&lt;wsp:rsid wsp:val=&quot;007764BC&quot;/&gt;&lt;wsp:rsid wsp:val=&quot;00777FF4&quot;/&gt;&lt;wsp:rsid wsp:val=&quot;00780B43&quot;/&gt;&lt;wsp:rsid wsp:val=&quot;00781A9E&quot;/&gt;&lt;wsp:rsid wsp:val=&quot;00782751&quot;/&gt;&lt;wsp:rsid wsp:val=&quot;007847B5&quot;/&gt;&lt;wsp:rsid wsp:val=&quot;0078612D&quot;/&gt;&lt;wsp:rsid wsp:val=&quot;007920C2&quot;/&gt;&lt;wsp:rsid wsp:val=&quot;00793171&quot;/&gt;&lt;wsp:rsid wsp:val=&quot;00793500&quot;/&gt;&lt;wsp:rsid wsp:val=&quot;007936FD&quot;/&gt;&lt;wsp:rsid wsp:val=&quot;007940DA&quot;/&gt;&lt;wsp:rsid wsp:val=&quot;00794A1E&quot;/&gt;&lt;wsp:rsid wsp:val=&quot;00794D3E&quot;/&gt;&lt;wsp:rsid wsp:val=&quot;007A1167&quot;/&gt;&lt;wsp:rsid wsp:val=&quot;007A1A5B&quot;/&gt;&lt;wsp:rsid wsp:val=&quot;007A269A&quot;/&gt;&lt;wsp:rsid wsp:val=&quot;007A276F&quot;/&gt;&lt;wsp:rsid wsp:val=&quot;007A29CE&quot;/&gt;&lt;wsp:rsid wsp:val=&quot;007A30E4&quot;/&gt;&lt;wsp:rsid wsp:val=&quot;007A3C55&quot;/&gt;&lt;wsp:rsid wsp:val=&quot;007A4825&quot;/&gt;&lt;wsp:rsid wsp:val=&quot;007A4C60&quot;/&gt;&lt;wsp:rsid wsp:val=&quot;007A6380&quot;/&gt;&lt;wsp:rsid wsp:val=&quot;007A63AB&quot;/&gt;&lt;wsp:rsid wsp:val=&quot;007B11A8&quot;/&gt;&lt;wsp:rsid wsp:val=&quot;007B18AF&quot;/&gt;&lt;wsp:rsid wsp:val=&quot;007B24C4&quot;/&gt;&lt;wsp:rsid wsp:val=&quot;007B401F&quot;/&gt;&lt;wsp:rsid wsp:val=&quot;007B466E&quot;/&gt;&lt;wsp:rsid wsp:val=&quot;007B4A4C&quot;/&gt;&lt;wsp:rsid wsp:val=&quot;007C00DB&quot;/&gt;&lt;wsp:rsid wsp:val=&quot;007C1913&quot;/&gt;&lt;wsp:rsid wsp:val=&quot;007C23B9&quot;/&gt;&lt;wsp:rsid wsp:val=&quot;007C2A6A&quot;/&gt;&lt;wsp:rsid wsp:val=&quot;007C2F75&quot;/&gt;&lt;wsp:rsid wsp:val=&quot;007C314E&quot;/&gt;&lt;wsp:rsid wsp:val=&quot;007C31EB&quot;/&gt;&lt;wsp:rsid wsp:val=&quot;007C4244&quot;/&gt;&lt;wsp:rsid wsp:val=&quot;007C4840&quot;/&gt;&lt;wsp:rsid wsp:val=&quot;007C512B&quot;/&gt;&lt;wsp:rsid wsp:val=&quot;007C5DD5&quot;/&gt;&lt;wsp:rsid wsp:val=&quot;007C64B1&quot;/&gt;&lt;wsp:rsid wsp:val=&quot;007C6AD8&quot;/&gt;&lt;wsp:rsid wsp:val=&quot;007C6E1F&quot;/&gt;&lt;wsp:rsid wsp:val=&quot;007C6E70&quot;/&gt;&lt;wsp:rsid wsp:val=&quot;007C7F74&quot;/&gt;&lt;wsp:rsid wsp:val=&quot;007D0F75&quot;/&gt;&lt;wsp:rsid wsp:val=&quot;007D0FE5&quot;/&gt;&lt;wsp:rsid wsp:val=&quot;007D5214&quot;/&gt;&lt;wsp:rsid wsp:val=&quot;007D5525&quot;/&gt;&lt;wsp:rsid wsp:val=&quot;007D630D&quot;/&gt;&lt;wsp:rsid wsp:val=&quot;007D7C74&quot;/&gt;&lt;wsp:rsid wsp:val=&quot;007E1835&quot;/&gt;&lt;wsp:rsid wsp:val=&quot;007E1E52&quot;/&gt;&lt;wsp:rsid wsp:val=&quot;007E3294&quot;/&gt;&lt;wsp:rsid wsp:val=&quot;007E42EF&quot;/&gt;&lt;wsp:rsid wsp:val=&quot;007E444F&quot;/&gt;&lt;wsp:rsid wsp:val=&quot;007E4DFA&quot;/&gt;&lt;wsp:rsid wsp:val=&quot;007E5EC9&quot;/&gt;&lt;wsp:rsid wsp:val=&quot;007E637E&quot;/&gt;&lt;wsp:rsid wsp:val=&quot;007E739A&quot;/&gt;&lt;wsp:rsid wsp:val=&quot;007F087C&quot;/&gt;&lt;wsp:rsid wsp:val=&quot;007F0C90&quot;/&gt;&lt;wsp:rsid wsp:val=&quot;007F13B4&quot;/&gt;&lt;wsp:rsid wsp:val=&quot;007F1FB7&quot;/&gt;&lt;wsp:rsid wsp:val=&quot;007F2100&quot;/&gt;&lt;wsp:rsid wsp:val=&quot;007F4C07&quot;/&gt;&lt;wsp:rsid wsp:val=&quot;007F5605&quot;/&gt;&lt;wsp:rsid wsp:val=&quot;007F718D&quot;/&gt;&lt;wsp:rsid wsp:val=&quot;008029FF&quot;/&gt;&lt;wsp:rsid wsp:val=&quot;00802E61&quot;/&gt;&lt;wsp:rsid wsp:val=&quot;00804F40&quot;/&gt;&lt;wsp:rsid wsp:val=&quot;008052D6&quot;/&gt;&lt;wsp:rsid wsp:val=&quot;008059FF&quot;/&gt;&lt;wsp:rsid wsp:val=&quot;00805EDF&quot;/&gt;&lt;wsp:rsid wsp:val=&quot;008067EF&quot;/&gt;&lt;wsp:rsid wsp:val=&quot;0080707F&quot;/&gt;&lt;wsp:rsid wsp:val=&quot;00807A76&quot;/&gt;&lt;wsp:rsid wsp:val=&quot;00810D78&quot;/&gt;&lt;wsp:rsid wsp:val=&quot;008111B1&quot;/&gt;&lt;wsp:rsid wsp:val=&quot;0081297A&quot;/&gt;&lt;wsp:rsid wsp:val=&quot;00812C1F&quot;/&gt;&lt;wsp:rsid wsp:val=&quot;00813E47&quot;/&gt;&lt;wsp:rsid wsp:val=&quot;00814043&quot;/&gt;&lt;wsp:rsid wsp:val=&quot;0081415F&quot;/&gt;&lt;wsp:rsid wsp:val=&quot;00814249&quot;/&gt;&lt;wsp:rsid wsp:val=&quot;00814B39&quot;/&gt;&lt;wsp:rsid wsp:val=&quot;008152E5&quot;/&gt;&lt;wsp:rsid wsp:val=&quot;00815F22&quot;/&gt;&lt;wsp:rsid wsp:val=&quot;008166CA&quot;/&gt;&lt;wsp:rsid wsp:val=&quot;0081716F&quot;/&gt;&lt;wsp:rsid wsp:val=&quot;008172C9&quot;/&gt;&lt;wsp:rsid wsp:val=&quot;00820217&quot;/&gt;&lt;wsp:rsid wsp:val=&quot;008202B0&quot;/&gt;&lt;wsp:rsid wsp:val=&quot;0082041E&quot;/&gt;&lt;wsp:rsid wsp:val=&quot;00821C41&quot;/&gt;&lt;wsp:rsid wsp:val=&quot;00823840&quot;/&gt;&lt;wsp:rsid wsp:val=&quot;0082452C&quot;/&gt;&lt;wsp:rsid wsp:val=&quot;00824551&quot;/&gt;&lt;wsp:rsid wsp:val=&quot;00824ABE&quot;/&gt;&lt;wsp:rsid wsp:val=&quot;00825233&quot;/&gt;&lt;wsp:rsid wsp:val=&quot;00825686&quot;/&gt;&lt;wsp:rsid wsp:val=&quot;00830422&quot;/&gt;&lt;wsp:rsid wsp:val=&quot;00832489&quot;/&gt;&lt;wsp:rsid wsp:val=&quot;00832EAC&quot;/&gt;&lt;wsp:rsid wsp:val=&quot;008340EC&quot;/&gt;&lt;wsp:rsid wsp:val=&quot;0084170A&quot;/&gt;&lt;wsp:rsid wsp:val=&quot;0084354F&quot;/&gt;&lt;wsp:rsid wsp:val=&quot;008455D8&quot;/&gt;&lt;wsp:rsid wsp:val=&quot;00845BFE&quot;/&gt;&lt;wsp:rsid wsp:val=&quot;00847B3B&quot;/&gt;&lt;wsp:rsid wsp:val=&quot;00847CC4&quot;/&gt;&lt;wsp:rsid wsp:val=&quot;008509F7&quot;/&gt;&lt;wsp:rsid wsp:val=&quot;00851474&quot;/&gt;&lt;wsp:rsid wsp:val=&quot;008518EC&quot;/&gt;&lt;wsp:rsid wsp:val=&quot;00852FA0&quot;/&gt;&lt;wsp:rsid wsp:val=&quot;00853856&quot;/&gt;&lt;wsp:rsid wsp:val=&quot;008539F1&quot;/&gt;&lt;wsp:rsid wsp:val=&quot;00853E91&quot;/&gt;&lt;wsp:rsid wsp:val=&quot;008550B4&quot;/&gt;&lt;wsp:rsid wsp:val=&quot;00855BEA&quot;/&gt;&lt;wsp:rsid wsp:val=&quot;0086391F&quot;/&gt;&lt;wsp:rsid wsp:val=&quot;00863C46&quot;/&gt;&lt;wsp:rsid wsp:val=&quot;008660F8&quot;/&gt;&lt;wsp:rsid wsp:val=&quot;00866169&quot;/&gt;&lt;wsp:rsid wsp:val=&quot;00871A67&quot;/&gt;&lt;wsp:rsid wsp:val=&quot;00871C15&quot;/&gt;&lt;wsp:rsid wsp:val=&quot;00872072&quot;/&gt;&lt;wsp:rsid wsp:val=&quot;00872A21&quot;/&gt;&lt;wsp:rsid wsp:val=&quot;008739A7&quot;/&gt;&lt;wsp:rsid wsp:val=&quot;008749AF&quot;/&gt;&lt;wsp:rsid wsp:val=&quot;008750B2&quot;/&gt;&lt;wsp:rsid wsp:val=&quot;00875544&quot;/&gt;&lt;wsp:rsid wsp:val=&quot;008758CC&quot;/&gt;&lt;wsp:rsid wsp:val=&quot;00876AA7&quot;/&gt;&lt;wsp:rsid wsp:val=&quot;008772B0&quot;/&gt;&lt;wsp:rsid wsp:val=&quot;00877523&quot;/&gt;&lt;wsp:rsid wsp:val=&quot;008805D2&quot;/&gt;&lt;wsp:rsid wsp:val=&quot;00880D96&quot;/&gt;&lt;wsp:rsid wsp:val=&quot;008811B0&quot;/&gt;&lt;wsp:rsid wsp:val=&quot;00881965&quot;/&gt;&lt;wsp:rsid wsp:val=&quot;008845A7&quot;/&gt;&lt;wsp:rsid wsp:val=&quot;008856C0&quot;/&gt;&lt;wsp:rsid wsp:val=&quot;00887403&quot;/&gt;&lt;wsp:rsid wsp:val=&quot;00891039&quot;/&gt;&lt;wsp:rsid wsp:val=&quot;00891092&quot;/&gt;&lt;wsp:rsid wsp:val=&quot;00891BF7&quot;/&gt;&lt;wsp:rsid wsp:val=&quot;008931D2&quot;/&gt;&lt;wsp:rsid wsp:val=&quot;008932FC&quot;/&gt;&lt;wsp:rsid wsp:val=&quot;0089343A&quot;/&gt;&lt;wsp:rsid wsp:val=&quot;00894A3A&quot;/&gt;&lt;wsp:rsid wsp:val=&quot;00896B1C&quot;/&gt;&lt;wsp:rsid wsp:val=&quot;008A0E14&quot;/&gt;&lt;wsp:rsid wsp:val=&quot;008A1781&quot;/&gt;&lt;wsp:rsid wsp:val=&quot;008A3697&quot;/&gt;&lt;wsp:rsid wsp:val=&quot;008A3F0A&quot;/&gt;&lt;wsp:rsid wsp:val=&quot;008A4C1E&quot;/&gt;&lt;wsp:rsid wsp:val=&quot;008A586A&quot;/&gt;&lt;wsp:rsid wsp:val=&quot;008A64D8&quot;/&gt;&lt;wsp:rsid wsp:val=&quot;008A7220&quot;/&gt;&lt;wsp:rsid wsp:val=&quot;008B064F&quot;/&gt;&lt;wsp:rsid wsp:val=&quot;008B18F3&quot;/&gt;&lt;wsp:rsid wsp:val=&quot;008B2CCA&quot;/&gt;&lt;wsp:rsid wsp:val=&quot;008B4983&quot;/&gt;&lt;wsp:rsid wsp:val=&quot;008B4CFE&quot;/&gt;&lt;wsp:rsid wsp:val=&quot;008B4D8A&quot;/&gt;&lt;wsp:rsid wsp:val=&quot;008B5D13&quot;/&gt;&lt;wsp:rsid wsp:val=&quot;008B6D1F&quot;/&gt;&lt;wsp:rsid wsp:val=&quot;008B7664&quot;/&gt;&lt;wsp:rsid wsp:val=&quot;008B76E0&quot;/&gt;&lt;wsp:rsid wsp:val=&quot;008C0C78&quot;/&gt;&lt;wsp:rsid wsp:val=&quot;008C0D6C&quot;/&gt;&lt;wsp:rsid wsp:val=&quot;008C18AF&quot;/&gt;&lt;wsp:rsid wsp:val=&quot;008C286D&quot;/&gt;&lt;wsp:rsid wsp:val=&quot;008C2996&quot;/&gt;&lt;wsp:rsid wsp:val=&quot;008C2F78&quot;/&gt;&lt;wsp:rsid wsp:val=&quot;008C3585&quot;/&gt;&lt;wsp:rsid wsp:val=&quot;008C4BFA&quot;/&gt;&lt;wsp:rsid wsp:val=&quot;008C5244&quot;/&gt;&lt;wsp:rsid wsp:val=&quot;008C581F&quot;/&gt;&lt;wsp:rsid wsp:val=&quot;008C71ED&quot;/&gt;&lt;wsp:rsid wsp:val=&quot;008D061B&quot;/&gt;&lt;wsp:rsid wsp:val=&quot;008D275F&quot;/&gt;&lt;wsp:rsid wsp:val=&quot;008D3283&quot;/&gt;&lt;wsp:rsid wsp:val=&quot;008D35D7&quot;/&gt;&lt;wsp:rsid wsp:val=&quot;008D3E70&quot;/&gt;&lt;wsp:rsid wsp:val=&quot;008D4961&quot;/&gt;&lt;wsp:rsid wsp:val=&quot;008D5C5E&quot;/&gt;&lt;wsp:rsid wsp:val=&quot;008E24C8&quot;/&gt;&lt;wsp:rsid wsp:val=&quot;008E3116&quot;/&gt;&lt;wsp:rsid wsp:val=&quot;008E372A&quot;/&gt;&lt;wsp:rsid wsp:val=&quot;008E3D43&quot;/&gt;&lt;wsp:rsid wsp:val=&quot;008E40C9&quot;/&gt;&lt;wsp:rsid wsp:val=&quot;008E47BA&quot;/&gt;&lt;wsp:rsid wsp:val=&quot;008E594E&quot;/&gt;&lt;wsp:rsid wsp:val=&quot;008E6467&quot;/&gt;&lt;wsp:rsid wsp:val=&quot;008E728A&quot;/&gt;&lt;wsp:rsid wsp:val=&quot;008E766E&quot;/&gt;&lt;wsp:rsid wsp:val=&quot;008F0C64&quot;/&gt;&lt;wsp:rsid wsp:val=&quot;008F2950&quot;/&gt;&lt;wsp:rsid wsp:val=&quot;008F2AE9&quot;/&gt;&lt;wsp:rsid wsp:val=&quot;008F31B2&quot;/&gt;&lt;wsp:rsid wsp:val=&quot;008F3453&quot;/&gt;&lt;wsp:rsid wsp:val=&quot;008F44E1&quot;/&gt;&lt;wsp:rsid wsp:val=&quot;008F48F6&quot;/&gt;&lt;wsp:rsid wsp:val=&quot;008F548F&quot;/&gt;&lt;wsp:rsid wsp:val=&quot;008F55F0&quot;/&gt;&lt;wsp:rsid wsp:val=&quot;008F5E0A&quot;/&gt;&lt;wsp:rsid wsp:val=&quot;008F5E16&quot;/&gt;&lt;wsp:rsid wsp:val=&quot;008F6711&quot;/&gt;&lt;wsp:rsid wsp:val=&quot;008F6A70&quot;/&gt;&lt;wsp:rsid wsp:val=&quot;009011D1&quot;/&gt;&lt;wsp:rsid wsp:val=&quot;009014D9&quot;/&gt;&lt;wsp:rsid wsp:val=&quot;00901B8B&quot;/&gt;&lt;wsp:rsid wsp:val=&quot;00901D37&quot;/&gt;&lt;wsp:rsid wsp:val=&quot;00902143&quot;/&gt;&lt;wsp:rsid wsp:val=&quot;009030E6&quot;/&gt;&lt;wsp:rsid wsp:val=&quot;00903C1D&quot;/&gt;&lt;wsp:rsid wsp:val=&quot;00904B39&quot;/&gt;&lt;wsp:rsid wsp:val=&quot;00906C3B&quot;/&gt;&lt;wsp:rsid wsp:val=&quot;009078A3&quot;/&gt;&lt;wsp:rsid wsp:val=&quot;009113D5&quot;/&gt;&lt;wsp:rsid wsp:val=&quot;009116E2&quot;/&gt;&lt;wsp:rsid wsp:val=&quot;009117ED&quot;/&gt;&lt;wsp:rsid wsp:val=&quot;00912326&quot;/&gt;&lt;wsp:rsid wsp:val=&quot;00913982&quot;/&gt;&lt;wsp:rsid wsp:val=&quot;00914916&quot;/&gt;&lt;wsp:rsid wsp:val=&quot;00915C73&quot;/&gt;&lt;wsp:rsid wsp:val=&quot;00915C9E&quot;/&gt;&lt;wsp:rsid wsp:val=&quot;00916CDD&quot;/&gt;&lt;wsp:rsid wsp:val=&quot;00916D68&quot;/&gt;&lt;wsp:rsid wsp:val=&quot;009200FE&quot;/&gt;&lt;wsp:rsid wsp:val=&quot;0092184A&quot;/&gt;&lt;wsp:rsid wsp:val=&quot;00922F8F&quot;/&gt;&lt;wsp:rsid wsp:val=&quot;00923BF7&quot;/&gt;&lt;wsp:rsid wsp:val=&quot;00924B09&quot;/&gt;&lt;wsp:rsid wsp:val=&quot;00925EC4&quot;/&gt;&lt;wsp:rsid wsp:val=&quot;0092631C&quot;/&gt;&lt;wsp:rsid wsp:val=&quot;009263DC&quot;/&gt;&lt;wsp:rsid wsp:val=&quot;009266CA&quot;/&gt;&lt;wsp:rsid wsp:val=&quot;00927295&quot;/&gt;&lt;wsp:rsid wsp:val=&quot;00927480&quot;/&gt;&lt;wsp:rsid wsp:val=&quot;00927FED&quot;/&gt;&lt;wsp:rsid wsp:val=&quot;00930C57&quot;/&gt;&lt;wsp:rsid wsp:val=&quot;0093276F&quot;/&gt;&lt;wsp:rsid wsp:val=&quot;009329D9&quot;/&gt;&lt;wsp:rsid wsp:val=&quot;00932C27&quot;/&gt;&lt;wsp:rsid wsp:val=&quot;00932EC0&quot;/&gt;&lt;wsp:rsid wsp:val=&quot;00933943&quot;/&gt;&lt;wsp:rsid wsp:val=&quot;00935CBF&quot;/&gt;&lt;wsp:rsid wsp:val=&quot;009375CB&quot;/&gt;&lt;wsp:rsid wsp:val=&quot;0094122B&quot;/&gt;&lt;wsp:rsid wsp:val=&quot;00941841&quot;/&gt;&lt;wsp:rsid wsp:val=&quot;00943433&quot;/&gt;&lt;wsp:rsid wsp:val=&quot;009436AA&quot;/&gt;&lt;wsp:rsid wsp:val=&quot;00944695&quot;/&gt;&lt;wsp:rsid wsp:val=&quot;009447D2&quot;/&gt;&lt;wsp:rsid wsp:val=&quot;00944D40&quot;/&gt;&lt;wsp:rsid wsp:val=&quot;00945DD6&quot;/&gt;&lt;wsp:rsid wsp:val=&quot;00945F4A&quot;/&gt;&lt;wsp:rsid wsp:val=&quot;00946C02&quot;/&gt;&lt;wsp:rsid wsp:val=&quot;00946C34&quot;/&gt;&lt;wsp:rsid wsp:val=&quot;00954807&quot;/&gt;&lt;wsp:rsid wsp:val=&quot;0095556C&quot;/&gt;&lt;wsp:rsid wsp:val=&quot;00957985&quot;/&gt;&lt;wsp:rsid wsp:val=&quot;00960772&quot;/&gt;&lt;wsp:rsid wsp:val=&quot;00960ACC&quot;/&gt;&lt;wsp:rsid wsp:val=&quot;0096122A&quot;/&gt;&lt;wsp:rsid wsp:val=&quot;009613BB&quot;/&gt;&lt;wsp:rsid wsp:val=&quot;00962CFC&quot;/&gt;&lt;wsp:rsid wsp:val=&quot;0096372A&quot;/&gt;&lt;wsp:rsid wsp:val=&quot;0096396D&quot;/&gt;&lt;wsp:rsid wsp:val=&quot;00963AE6&quot;/&gt;&lt;wsp:rsid wsp:val=&quot;00963CFA&quot;/&gt;&lt;wsp:rsid wsp:val=&quot;00963DF4&quot;/&gt;&lt;wsp:rsid wsp:val=&quot;00964011&quot;/&gt;&lt;wsp:rsid wsp:val=&quot;0096429E&quot;/&gt;&lt;wsp:rsid wsp:val=&quot;00965C2C&quot;/&gt;&lt;wsp:rsid wsp:val=&quot;00966497&quot;/&gt;&lt;wsp:rsid wsp:val=&quot;00966F77&quot;/&gt;&lt;wsp:rsid wsp:val=&quot;0096726E&quot;/&gt;&lt;wsp:rsid wsp:val=&quot;00967E81&quot;/&gt;&lt;wsp:rsid wsp:val=&quot;00970B2A&quot;/&gt;&lt;wsp:rsid wsp:val=&quot;00971060&quot;/&gt;&lt;wsp:rsid wsp:val=&quot;009724A2&quot;/&gt;&lt;wsp:rsid wsp:val=&quot;00973587&quot;/&gt;&lt;wsp:rsid wsp:val=&quot;00973C3C&quot;/&gt;&lt;wsp:rsid wsp:val=&quot;00974CCF&quot;/&gt;&lt;wsp:rsid wsp:val=&quot;00974F0C&quot;/&gt;&lt;wsp:rsid wsp:val=&quot;0097669E&quot;/&gt;&lt;wsp:rsid wsp:val=&quot;00976F27&quot;/&gt;&lt;wsp:rsid wsp:val=&quot;00977545&quot;/&gt;&lt;wsp:rsid wsp:val=&quot;00980954&quot;/&gt;&lt;wsp:rsid wsp:val=&quot;00980B0F&quot;/&gt;&lt;wsp:rsid wsp:val=&quot;00980FB4&quot;/&gt;&lt;wsp:rsid wsp:val=&quot;009815C2&quot;/&gt;&lt;wsp:rsid wsp:val=&quot;009816FA&quot;/&gt;&lt;wsp:rsid wsp:val=&quot;00981F66&quot;/&gt;&lt;wsp:rsid wsp:val=&quot;00983B62&quot;/&gt;&lt;wsp:rsid wsp:val=&quot;00983C1B&quot;/&gt;&lt;wsp:rsid wsp:val=&quot;00983C6B&quot;/&gt;&lt;wsp:rsid wsp:val=&quot;0098406F&quot;/&gt;&lt;wsp:rsid wsp:val=&quot;009851B5&quot;/&gt;&lt;wsp:rsid wsp:val=&quot;009858C8&quot;/&gt;&lt;wsp:rsid wsp:val=&quot;00986969&quot;/&gt;&lt;wsp:rsid wsp:val=&quot;009877E2&quot;/&gt;&lt;wsp:rsid wsp:val=&quot;009920FF&quot;/&gt;&lt;wsp:rsid wsp:val=&quot;00993568&quot;/&gt;&lt;wsp:rsid wsp:val=&quot;009937F9&quot;/&gt;&lt;wsp:rsid wsp:val=&quot;00993A7D&quot;/&gt;&lt;wsp:rsid wsp:val=&quot;009943A8&quot;/&gt;&lt;wsp:rsid wsp:val=&quot;009963C4&quot;/&gt;&lt;wsp:rsid wsp:val=&quot;00996F83&quot;/&gt;&lt;wsp:rsid wsp:val=&quot;009A003D&quot;/&gt;&lt;wsp:rsid wsp:val=&quot;009A00FC&quot;/&gt;&lt;wsp:rsid wsp:val=&quot;009A1B42&quot;/&gt;&lt;wsp:rsid wsp:val=&quot;009A2E82&quot;/&gt;&lt;wsp:rsid wsp:val=&quot;009A2F5D&quot;/&gt;&lt;wsp:rsid wsp:val=&quot;009A59C8&quot;/&gt;&lt;wsp:rsid wsp:val=&quot;009A662B&quot;/&gt;&lt;wsp:rsid wsp:val=&quot;009A6A42&quot;/&gt;&lt;wsp:rsid wsp:val=&quot;009B2535&quot;/&gt;&lt;wsp:rsid wsp:val=&quot;009B2A07&quot;/&gt;&lt;wsp:rsid wsp:val=&quot;009B2F7C&quot;/&gt;&lt;wsp:rsid wsp:val=&quot;009B4B21&quot;/&gt;&lt;wsp:rsid wsp:val=&quot;009B595A&quot;/&gt;&lt;wsp:rsid wsp:val=&quot;009B5AD5&quot;/&gt;&lt;wsp:rsid wsp:val=&quot;009B6926&quot;/&gt;&lt;wsp:rsid wsp:val=&quot;009B6C04&quot;/&gt;&lt;wsp:rsid wsp:val=&quot;009B7355&quot;/&gt;&lt;wsp:rsid wsp:val=&quot;009B7BFC&quot;/&gt;&lt;wsp:rsid wsp:val=&quot;009C53E6&quot;/&gt;&lt;wsp:rsid wsp:val=&quot;009C68BE&quot;/&gt;&lt;wsp:rsid wsp:val=&quot;009C7653&quot;/&gt;&lt;wsp:rsid wsp:val=&quot;009C7763&quot;/&gt;&lt;wsp:rsid wsp:val=&quot;009D07F5&quot;/&gt;&lt;wsp:rsid wsp:val=&quot;009D2716&quot;/&gt;&lt;wsp:rsid wsp:val=&quot;009D43CE&quot;/&gt;&lt;wsp:rsid wsp:val=&quot;009D47AF&quot;/&gt;&lt;wsp:rsid wsp:val=&quot;009D5964&quot;/&gt;&lt;wsp:rsid wsp:val=&quot;009D6166&quot;/&gt;&lt;wsp:rsid wsp:val=&quot;009D69C1&quot;/&gt;&lt;wsp:rsid wsp:val=&quot;009E03BB&quot;/&gt;&lt;wsp:rsid wsp:val=&quot;009E0595&quot;/&gt;&lt;wsp:rsid wsp:val=&quot;009E4127&quot;/&gt;&lt;wsp:rsid wsp:val=&quot;009E419C&quot;/&gt;&lt;wsp:rsid wsp:val=&quot;009E5269&quot;/&gt;&lt;wsp:rsid wsp:val=&quot;009E5DF2&quot;/&gt;&lt;wsp:rsid wsp:val=&quot;009E6AD0&quot;/&gt;&lt;wsp:rsid wsp:val=&quot;009E7CEA&quot;/&gt;&lt;wsp:rsid wsp:val=&quot;009E7E21&quot;/&gt;&lt;wsp:rsid wsp:val=&quot;009F1941&quot;/&gt;&lt;wsp:rsid wsp:val=&quot;009F1C31&quot;/&gt;&lt;wsp:rsid wsp:val=&quot;009F22E8&quot;/&gt;&lt;wsp:rsid wsp:val=&quot;009F45D4&quot;/&gt;&lt;wsp:rsid wsp:val=&quot;009F48F9&quot;/&gt;&lt;wsp:rsid wsp:val=&quot;009F5113&quot;/&gt;&lt;wsp:rsid wsp:val=&quot;009F7548&quot;/&gt;&lt;wsp:rsid wsp:val=&quot;009F771B&quot;/&gt;&lt;wsp:rsid wsp:val=&quot;009F7E3E&quot;/&gt;&lt;wsp:rsid wsp:val=&quot;00A0161A&quot;/&gt;&lt;wsp:rsid wsp:val=&quot;00A03133&quot;/&gt;&lt;wsp:rsid wsp:val=&quot;00A06206&quot;/&gt;&lt;wsp:rsid wsp:val=&quot;00A0701E&quot;/&gt;&lt;wsp:rsid wsp:val=&quot;00A07691&quot;/&gt;&lt;wsp:rsid wsp:val=&quot;00A07B9D&quot;/&gt;&lt;wsp:rsid wsp:val=&quot;00A10379&quot;/&gt;&lt;wsp:rsid wsp:val=&quot;00A10A88&quot;/&gt;&lt;wsp:rsid wsp:val=&quot;00A14533&quot;/&gt;&lt;wsp:rsid wsp:val=&quot;00A14822&quot;/&gt;&lt;wsp:rsid wsp:val=&quot;00A15647&quot;/&gt;&lt;wsp:rsid wsp:val=&quot;00A15C68&quot;/&gt;&lt;wsp:rsid wsp:val=&quot;00A1631D&quot;/&gt;&lt;wsp:rsid wsp:val=&quot;00A163F5&quot;/&gt;&lt;wsp:rsid wsp:val=&quot;00A1694A&quot;/&gt;&lt;wsp:rsid wsp:val=&quot;00A202A0&quot;/&gt;&lt;wsp:rsid wsp:val=&quot;00A20692&quot;/&gt;&lt;wsp:rsid wsp:val=&quot;00A209CE&quot;/&gt;&lt;wsp:rsid wsp:val=&quot;00A211EA&quot;/&gt;&lt;wsp:rsid wsp:val=&quot;00A23119&quot;/&gt;&lt;wsp:rsid wsp:val=&quot;00A238DE&quot;/&gt;&lt;wsp:rsid wsp:val=&quot;00A23ED2&quot;/&gt;&lt;wsp:rsid wsp:val=&quot;00A240D2&quot;/&gt;&lt;wsp:rsid wsp:val=&quot;00A24BD3&quot;/&gt;&lt;wsp:rsid wsp:val=&quot;00A25316&quot;/&gt;&lt;wsp:rsid wsp:val=&quot;00A25F10&quot;/&gt;&lt;wsp:rsid wsp:val=&quot;00A2694B&quot;/&gt;&lt;wsp:rsid wsp:val=&quot;00A274F9&quot;/&gt;&lt;wsp:rsid wsp:val=&quot;00A30A87&quot;/&gt;&lt;wsp:rsid wsp:val=&quot;00A315DA&quot;/&gt;&lt;wsp:rsid wsp:val=&quot;00A31D2A&quot;/&gt;&lt;wsp:rsid wsp:val=&quot;00A3359B&quot;/&gt;&lt;wsp:rsid wsp:val=&quot;00A34113&quot;/&gt;&lt;wsp:rsid wsp:val=&quot;00A34C1F&quot;/&gt;&lt;wsp:rsid wsp:val=&quot;00A362C5&quot;/&gt;&lt;wsp:rsid wsp:val=&quot;00A36A32&quot;/&gt;&lt;wsp:rsid wsp:val=&quot;00A36D9C&quot;/&gt;&lt;wsp:rsid wsp:val=&quot;00A376F5&quot;/&gt;&lt;wsp:rsid wsp:val=&quot;00A37E1D&quot;/&gt;&lt;wsp:rsid wsp:val=&quot;00A40958&quot;/&gt;&lt;wsp:rsid wsp:val=&quot;00A40A80&quot;/&gt;&lt;wsp:rsid wsp:val=&quot;00A40BD7&quot;/&gt;&lt;wsp:rsid wsp:val=&quot;00A40F9D&quot;/&gt;&lt;wsp:rsid wsp:val=&quot;00A43E46&quot;/&gt;&lt;wsp:rsid wsp:val=&quot;00A45D09&quot;/&gt;&lt;wsp:rsid wsp:val=&quot;00A45D28&quot;/&gt;&lt;wsp:rsid wsp:val=&quot;00A45E20&quot;/&gt;&lt;wsp:rsid wsp:val=&quot;00A4617F&quot;/&gt;&lt;wsp:rsid wsp:val=&quot;00A4686C&quot;/&gt;&lt;wsp:rsid wsp:val=&quot;00A47F35&quot;/&gt;&lt;wsp:rsid wsp:val=&quot;00A50057&quot;/&gt;&lt;wsp:rsid wsp:val=&quot;00A5034F&quot;/&gt;&lt;wsp:rsid wsp:val=&quot;00A505F1&quot;/&gt;&lt;wsp:rsid wsp:val=&quot;00A534D1&quot;/&gt;&lt;wsp:rsid wsp:val=&quot;00A5370B&quot;/&gt;&lt;wsp:rsid wsp:val=&quot;00A5393B&quot;/&gt;&lt;wsp:rsid wsp:val=&quot;00A53CE0&quot;/&gt;&lt;wsp:rsid wsp:val=&quot;00A54919&quot;/&gt;&lt;wsp:rsid wsp:val=&quot;00A54FF7&quot;/&gt;&lt;wsp:rsid wsp:val=&quot;00A551D5&quot;/&gt;&lt;wsp:rsid wsp:val=&quot;00A56824&quot;/&gt;&lt;wsp:rsid wsp:val=&quot;00A5772D&quot;/&gt;&lt;wsp:rsid wsp:val=&quot;00A60205&quot;/&gt;&lt;wsp:rsid wsp:val=&quot;00A6050B&quot;/&gt;&lt;wsp:rsid wsp:val=&quot;00A60A38&quot;/&gt;&lt;wsp:rsid wsp:val=&quot;00A62159&quot;/&gt;&lt;wsp:rsid wsp:val=&quot;00A63EDE&quot;/&gt;&lt;wsp:rsid wsp:val=&quot;00A667D8&quot;/&gt;&lt;wsp:rsid wsp:val=&quot;00A70607&quot;/&gt;&lt;wsp:rsid wsp:val=&quot;00A71983&quot;/&gt;&lt;wsp:rsid wsp:val=&quot;00A72512&quot;/&gt;&lt;wsp:rsid wsp:val=&quot;00A72B67&quot;/&gt;&lt;wsp:rsid wsp:val=&quot;00A73102&quot;/&gt;&lt;wsp:rsid wsp:val=&quot;00A77476&quot;/&gt;&lt;wsp:rsid wsp:val=&quot;00A77F32&quot;/&gt;&lt;wsp:rsid wsp:val=&quot;00A807F4&quot;/&gt;&lt;wsp:rsid wsp:val=&quot;00A8148C&quot;/&gt;&lt;wsp:rsid wsp:val=&quot;00A81D65&quot;/&gt;&lt;wsp:rsid wsp:val=&quot;00A8350C&quot;/&gt;&lt;wsp:rsid wsp:val=&quot;00A848A3&quot;/&gt;&lt;wsp:rsid wsp:val=&quot;00A854F7&quot;/&gt;&lt;wsp:rsid wsp:val=&quot;00A85A39&quot;/&gt;&lt;wsp:rsid wsp:val=&quot;00A85F62&quot;/&gt;&lt;wsp:rsid wsp:val=&quot;00A862D9&quot;/&gt;&lt;wsp:rsid wsp:val=&quot;00A86AD0&quot;/&gt;&lt;wsp:rsid wsp:val=&quot;00A87960&quot;/&gt;&lt;wsp:rsid wsp:val=&quot;00A92C54&quot;/&gt;&lt;wsp:rsid wsp:val=&quot;00A932EF&quot;/&gt;&lt;wsp:rsid wsp:val=&quot;00A937BF&quot;/&gt;&lt;wsp:rsid wsp:val=&quot;00A94A9F&quot;/&gt;&lt;wsp:rsid wsp:val=&quot;00A95EBC&quot;/&gt;&lt;wsp:rsid wsp:val=&quot;00A96878&quot;/&gt;&lt;wsp:rsid wsp:val=&quot;00AA04EC&quot;/&gt;&lt;wsp:rsid wsp:val=&quot;00AA0AD1&quot;/&gt;&lt;wsp:rsid wsp:val=&quot;00AA155D&quot;/&gt;&lt;wsp:rsid wsp:val=&quot;00AA15A3&quot;/&gt;&lt;wsp:rsid wsp:val=&quot;00AA1619&quot;/&gt;&lt;wsp:rsid wsp:val=&quot;00AA19E0&quot;/&gt;&lt;wsp:rsid wsp:val=&quot;00AA2C2A&quot;/&gt;&lt;wsp:rsid wsp:val=&quot;00AA3896&quot;/&gt;&lt;wsp:rsid wsp:val=&quot;00AA4C8F&quot;/&gt;&lt;wsp:rsid wsp:val=&quot;00AA61C1&quot;/&gt;&lt;wsp:rsid wsp:val=&quot;00AA6BF2&quot;/&gt;&lt;wsp:rsid wsp:val=&quot;00AA6E14&quot;/&gt;&lt;wsp:rsid wsp:val=&quot;00AA6EC6&quot;/&gt;&lt;wsp:rsid wsp:val=&quot;00AB1673&quot;/&gt;&lt;wsp:rsid wsp:val=&quot;00AB1B3D&quot;/&gt;&lt;wsp:rsid wsp:val=&quot;00AB213C&quot;/&gt;&lt;wsp:rsid wsp:val=&quot;00AB2789&quot;/&gt;&lt;wsp:rsid wsp:val=&quot;00AB3A0B&quot;/&gt;&lt;wsp:rsid wsp:val=&quot;00AB4A02&quot;/&gt;&lt;wsp:rsid wsp:val=&quot;00AB4C8F&quot;/&gt;&lt;wsp:rsid wsp:val=&quot;00AB6E8B&quot;/&gt;&lt;wsp:rsid wsp:val=&quot;00AB7F18&quot;/&gt;&lt;wsp:rsid wsp:val=&quot;00AC0093&quot;/&gt;&lt;wsp:rsid wsp:val=&quot;00AC182C&quot;/&gt;&lt;wsp:rsid wsp:val=&quot;00AC1899&quot;/&gt;&lt;wsp:rsid wsp:val=&quot;00AC1AA4&quot;/&gt;&lt;wsp:rsid wsp:val=&quot;00AC1DDD&quot;/&gt;&lt;wsp:rsid wsp:val=&quot;00AC4C47&quot;/&gt;&lt;wsp:rsid wsp:val=&quot;00AC5857&quot;/&gt;&lt;wsp:rsid wsp:val=&quot;00AC6B7F&quot;/&gt;&lt;wsp:rsid wsp:val=&quot;00AC6E4A&quot;/&gt;&lt;wsp:rsid wsp:val=&quot;00AC7C66&quot;/&gt;&lt;wsp:rsid wsp:val=&quot;00AD11D1&quot;/&gt;&lt;wsp:rsid wsp:val=&quot;00AD1AA8&quot;/&gt;&lt;wsp:rsid wsp:val=&quot;00AD1C06&quot;/&gt;&lt;wsp:rsid wsp:val=&quot;00AD236B&quot;/&gt;&lt;wsp:rsid wsp:val=&quot;00AD3E19&quot;/&gt;&lt;wsp:rsid wsp:val=&quot;00AD583B&quot;/&gt;&lt;wsp:rsid wsp:val=&quot;00AD5D91&quot;/&gt;&lt;wsp:rsid wsp:val=&quot;00AD6611&quot;/&gt;&lt;wsp:rsid wsp:val=&quot;00AE094C&quot;/&gt;&lt;wsp:rsid wsp:val=&quot;00AE0C97&quot;/&gt;&lt;wsp:rsid wsp:val=&quot;00AE1E29&quot;/&gt;&lt;wsp:rsid wsp:val=&quot;00AE2365&quot;/&gt;&lt;wsp:rsid wsp:val=&quot;00AE2D00&quot;/&gt;&lt;wsp:rsid wsp:val=&quot;00AE305F&quot;/&gt;&lt;wsp:rsid wsp:val=&quot;00AE30E8&quot;/&gt;&lt;wsp:rsid wsp:val=&quot;00AE5812&quot;/&gt;&lt;wsp:rsid wsp:val=&quot;00AE5874&quot;/&gt;&lt;wsp:rsid wsp:val=&quot;00AE66BA&quot;/&gt;&lt;wsp:rsid wsp:val=&quot;00AE77B2&quot;/&gt;&lt;wsp:rsid wsp:val=&quot;00AF192E&quot;/&gt;&lt;wsp:rsid wsp:val=&quot;00AF349C&quot;/&gt;&lt;wsp:rsid wsp:val=&quot;00AF40A5&quot;/&gt;&lt;wsp:rsid wsp:val=&quot;00AF4A66&quot;/&gt;&lt;wsp:rsid wsp:val=&quot;00AF4C18&quot;/&gt;&lt;wsp:rsid wsp:val=&quot;00AF4E64&quot;/&gt;&lt;wsp:rsid wsp:val=&quot;00AF55C1&quot;/&gt;&lt;wsp:rsid wsp:val=&quot;00AF5AF1&quot;/&gt;&lt;wsp:rsid wsp:val=&quot;00AF5CE8&quot;/&gt;&lt;wsp:rsid wsp:val=&quot;00AF7759&quot;/&gt;&lt;wsp:rsid wsp:val=&quot;00AF7B02&quot;/&gt;&lt;wsp:rsid wsp:val=&quot;00B014FD&quot;/&gt;&lt;wsp:rsid wsp:val=&quot;00B01824&quot;/&gt;&lt;wsp:rsid wsp:val=&quot;00B02560&quot;/&gt;&lt;wsp:rsid wsp:val=&quot;00B03DC8&quot;/&gt;&lt;wsp:rsid wsp:val=&quot;00B10AB3&quot;/&gt;&lt;wsp:rsid wsp:val=&quot;00B1296C&quot;/&gt;&lt;wsp:rsid wsp:val=&quot;00B134E9&quot;/&gt;&lt;wsp:rsid wsp:val=&quot;00B14298&quot;/&gt;&lt;wsp:rsid wsp:val=&quot;00B154DE&quot;/&gt;&lt;wsp:rsid wsp:val=&quot;00B15D50&quot;/&gt;&lt;wsp:rsid wsp:val=&quot;00B16205&quot;/&gt;&lt;wsp:rsid wsp:val=&quot;00B201C9&quot;/&gt;&lt;wsp:rsid wsp:val=&quot;00B20D0F&quot;/&gt;&lt;wsp:rsid wsp:val=&quot;00B22DC9&quot;/&gt;&lt;wsp:rsid wsp:val=&quot;00B23CBE&quot;/&gt;&lt;wsp:rsid wsp:val=&quot;00B262BC&quot;/&gt;&lt;wsp:rsid wsp:val=&quot;00B26313&quot;/&gt;&lt;wsp:rsid wsp:val=&quot;00B26325&quot;/&gt;&lt;wsp:rsid wsp:val=&quot;00B264B0&quot;/&gt;&lt;wsp:rsid wsp:val=&quot;00B26E0C&quot;/&gt;&lt;wsp:rsid wsp:val=&quot;00B3048B&quot;/&gt;&lt;wsp:rsid wsp:val=&quot;00B3048C&quot;/&gt;&lt;wsp:rsid wsp:val=&quot;00B3151E&quot;/&gt;&lt;wsp:rsid wsp:val=&quot;00B323C4&quot;/&gt;&lt;wsp:rsid wsp:val=&quot;00B3283F&quot;/&gt;&lt;wsp:rsid wsp:val=&quot;00B3286A&quot;/&gt;&lt;wsp:rsid wsp:val=&quot;00B32F2B&quot;/&gt;&lt;wsp:rsid wsp:val=&quot;00B3345F&quot;/&gt;&lt;wsp:rsid wsp:val=&quot;00B34004&quot;/&gt;&lt;wsp:rsid wsp:val=&quot;00B3560D&quot;/&gt;&lt;wsp:rsid wsp:val=&quot;00B361CB&quot;/&gt;&lt;wsp:rsid wsp:val=&quot;00B36343&quot;/&gt;&lt;wsp:rsid wsp:val=&quot;00B36AC8&quot;/&gt;&lt;wsp:rsid wsp:val=&quot;00B36E9B&quot;/&gt;&lt;wsp:rsid wsp:val=&quot;00B4033C&quot;/&gt;&lt;wsp:rsid wsp:val=&quot;00B409DB&quot;/&gt;&lt;wsp:rsid wsp:val=&quot;00B41D6C&quot;/&gt;&lt;wsp:rsid wsp:val=&quot;00B41DF1&quot;/&gt;&lt;wsp:rsid wsp:val=&quot;00B42D43&quot;/&gt;&lt;wsp:rsid wsp:val=&quot;00B43995&quot;/&gt;&lt;wsp:rsid wsp:val=&quot;00B4503A&quot;/&gt;&lt;wsp:rsid wsp:val=&quot;00B45F18&quot;/&gt;&lt;wsp:rsid wsp:val=&quot;00B46DB0&quot;/&gt;&lt;wsp:rsid wsp:val=&quot;00B47088&quot;/&gt;&lt;wsp:rsid wsp:val=&quot;00B47481&quot;/&gt;&lt;wsp:rsid wsp:val=&quot;00B47C14&quot;/&gt;&lt;wsp:rsid wsp:val=&quot;00B503C8&quot;/&gt;&lt;wsp:rsid wsp:val=&quot;00B50978&quot;/&gt;&lt;wsp:rsid wsp:val=&quot;00B513D7&quot;/&gt;&lt;wsp:rsid wsp:val=&quot;00B51B93&quot;/&gt;&lt;wsp:rsid wsp:val=&quot;00B51E80&quot;/&gt;&lt;wsp:rsid wsp:val=&quot;00B5254C&quot;/&gt;&lt;wsp:rsid wsp:val=&quot;00B5357C&quot;/&gt;&lt;wsp:rsid wsp:val=&quot;00B53CB9&quot;/&gt;&lt;wsp:rsid wsp:val=&quot;00B5419B&quot;/&gt;&lt;wsp:rsid wsp:val=&quot;00B54F67&quot;/&gt;&lt;wsp:rsid wsp:val=&quot;00B55723&quot;/&gt;&lt;wsp:rsid wsp:val=&quot;00B56376&quot;/&gt;&lt;wsp:rsid wsp:val=&quot;00B5679D&quot;/&gt;&lt;wsp:rsid wsp:val=&quot;00B577FC&quot;/&gt;&lt;wsp:rsid wsp:val=&quot;00B60DF0&quot;/&gt;&lt;wsp:rsid wsp:val=&quot;00B6425B&quot;/&gt;&lt;wsp:rsid wsp:val=&quot;00B6497C&quot;/&gt;&lt;wsp:rsid wsp:val=&quot;00B65319&quot;/&gt;&lt;wsp:rsid wsp:val=&quot;00B66DFD&quot;/&gt;&lt;wsp:rsid wsp:val=&quot;00B70A0A&quot;/&gt;&lt;wsp:rsid wsp:val=&quot;00B70B0B&quot;/&gt;&lt;wsp:rsid wsp:val=&quot;00B70E0F&quot;/&gt;&lt;wsp:rsid wsp:val=&quot;00B72134&quot;/&gt;&lt;wsp:rsid wsp:val=&quot;00B7281D&quot;/&gt;&lt;wsp:rsid wsp:val=&quot;00B73F2D&quot;/&gt;&lt;wsp:rsid wsp:val=&quot;00B742CE&quot;/&gt;&lt;wsp:rsid wsp:val=&quot;00B753FE&quot;/&gt;&lt;wsp:rsid wsp:val=&quot;00B759AE&quot;/&gt;&lt;wsp:rsid wsp:val=&quot;00B75EF3&quot;/&gt;&lt;wsp:rsid wsp:val=&quot;00B7782B&quot;/&gt;&lt;wsp:rsid wsp:val=&quot;00B77C14&quot;/&gt;&lt;wsp:rsid wsp:val=&quot;00B811DC&quot;/&gt;&lt;wsp:rsid wsp:val=&quot;00B81B9D&quot;/&gt;&lt;wsp:rsid wsp:val=&quot;00B82908&quot;/&gt;&lt;wsp:rsid wsp:val=&quot;00B82B5C&quot;/&gt;&lt;wsp:rsid wsp:val=&quot;00B837F1&quot;/&gt;&lt;wsp:rsid wsp:val=&quot;00B84707&quot;/&gt;&lt;wsp:rsid wsp:val=&quot;00B84CA1&quot;/&gt;&lt;wsp:rsid wsp:val=&quot;00B85C2D&quot;/&gt;&lt;wsp:rsid wsp:val=&quot;00B86AEF&quot;/&gt;&lt;wsp:rsid wsp:val=&quot;00B87F15&quot;/&gt;&lt;wsp:rsid wsp:val=&quot;00B9019C&quot;/&gt;&lt;wsp:rsid wsp:val=&quot;00B91FF2&quot;/&gt;&lt;wsp:rsid wsp:val=&quot;00B925B0&quot;/&gt;&lt;wsp:rsid wsp:val=&quot;00B93253&quot;/&gt;&lt;wsp:rsid wsp:val=&quot;00B93AE0&quot;/&gt;&lt;wsp:rsid wsp:val=&quot;00B94A57&quot;/&gt;&lt;wsp:rsid wsp:val=&quot;00B950BE&quot;/&gt;&lt;wsp:rsid wsp:val=&quot;00BA0925&quot;/&gt;&lt;wsp:rsid wsp:val=&quot;00BA19C4&quot;/&gt;&lt;wsp:rsid wsp:val=&quot;00BA2C5B&quot;/&gt;&lt;wsp:rsid wsp:val=&quot;00BA3131&quot;/&gt;&lt;wsp:rsid wsp:val=&quot;00BA3A0C&quot;/&gt;&lt;wsp:rsid wsp:val=&quot;00BA5B70&quot;/&gt;&lt;wsp:rsid wsp:val=&quot;00BA66AE&quot;/&gt;&lt;wsp:rsid wsp:val=&quot;00BA6EB0&quot;/&gt;&lt;wsp:rsid wsp:val=&quot;00BB00FB&quot;/&gt;&lt;wsp:rsid wsp:val=&quot;00BB0D96&quot;/&gt;&lt;wsp:rsid wsp:val=&quot;00BB0DCC&quot;/&gt;&lt;wsp:rsid wsp:val=&quot;00BB0FF6&quot;/&gt;&lt;wsp:rsid wsp:val=&quot;00BB32BC&quot;/&gt;&lt;wsp:rsid wsp:val=&quot;00BB33A9&quot;/&gt;&lt;wsp:rsid wsp:val=&quot;00BB3A36&quot;/&gt;&lt;wsp:rsid wsp:val=&quot;00BB3E5D&quot;/&gt;&lt;wsp:rsid wsp:val=&quot;00BB4E52&quot;/&gt;&lt;wsp:rsid wsp:val=&quot;00BB5D64&quot;/&gt;&lt;wsp:rsid wsp:val=&quot;00BC069E&quot;/&gt;&lt;wsp:rsid wsp:val=&quot;00BC1862&quot;/&gt;&lt;wsp:rsid wsp:val=&quot;00BC18C8&quot;/&gt;&lt;wsp:rsid wsp:val=&quot;00BC1FD5&quot;/&gt;&lt;wsp:rsid wsp:val=&quot;00BC3AE7&quot;/&gt;&lt;wsp:rsid wsp:val=&quot;00BC4127&quot;/&gt;&lt;wsp:rsid wsp:val=&quot;00BC5F74&quot;/&gt;&lt;wsp:rsid wsp:val=&quot;00BC6207&quot;/&gt;&lt;wsp:rsid wsp:val=&quot;00BC6750&quot;/&gt;&lt;wsp:rsid wsp:val=&quot;00BC79E5&quot;/&gt;&lt;wsp:rsid wsp:val=&quot;00BC7E2D&quot;/&gt;&lt;wsp:rsid wsp:val=&quot;00BD12EA&quot;/&gt;&lt;wsp:rsid wsp:val=&quot;00BD13D8&quot;/&gt;&lt;wsp:rsid wsp:val=&quot;00BD231D&quot;/&gt;&lt;wsp:rsid wsp:val=&quot;00BD4439&quot;/&gt;&lt;wsp:rsid wsp:val=&quot;00BD47C4&quot;/&gt;&lt;wsp:rsid wsp:val=&quot;00BD51BA&quot;/&gt;&lt;wsp:rsid wsp:val=&quot;00BD52DA&quot;/&gt;&lt;wsp:rsid wsp:val=&quot;00BD53A0&quot;/&gt;&lt;wsp:rsid wsp:val=&quot;00BD560C&quot;/&gt;&lt;wsp:rsid wsp:val=&quot;00BD660D&quot;/&gt;&lt;wsp:rsid wsp:val=&quot;00BD6EB7&quot;/&gt;&lt;wsp:rsid wsp:val=&quot;00BE0A88&quot;/&gt;&lt;wsp:rsid wsp:val=&quot;00BE32B2&quot;/&gt;&lt;wsp:rsid wsp:val=&quot;00BE6034&quot;/&gt;&lt;wsp:rsid wsp:val=&quot;00BE6A48&quot;/&gt;&lt;wsp:rsid wsp:val=&quot;00BE74FE&quot;/&gt;&lt;wsp:rsid wsp:val=&quot;00BE7571&quot;/&gt;&lt;wsp:rsid wsp:val=&quot;00BE776B&quot;/&gt;&lt;wsp:rsid wsp:val=&quot;00BE7C4B&quot;/&gt;&lt;wsp:rsid wsp:val=&quot;00BF0B3A&quot;/&gt;&lt;wsp:rsid wsp:val=&quot;00BF0FBA&quot;/&gt;&lt;wsp:rsid wsp:val=&quot;00BF1D27&quot;/&gt;&lt;wsp:rsid wsp:val=&quot;00BF1F1F&quot;/&gt;&lt;wsp:rsid wsp:val=&quot;00BF3A19&quot;/&gt;&lt;wsp:rsid wsp:val=&quot;00BF3B1D&quot;/&gt;&lt;wsp:rsid wsp:val=&quot;00BF4C72&quot;/&gt;&lt;wsp:rsid wsp:val=&quot;00BF4E10&quot;/&gt;&lt;wsp:rsid wsp:val=&quot;00BF75E4&quot;/&gt;&lt;wsp:rsid wsp:val=&quot;00C00AE7&quot;/&gt;&lt;wsp:rsid wsp:val=&quot;00C00BE2&quot;/&gt;&lt;wsp:rsid wsp:val=&quot;00C02F2E&quot;/&gt;&lt;wsp:rsid wsp:val=&quot;00C031F7&quot;/&gt;&lt;wsp:rsid wsp:val=&quot;00C037E0&quot;/&gt;&lt;wsp:rsid wsp:val=&quot;00C03E1E&quot;/&gt;&lt;wsp:rsid wsp:val=&quot;00C054D3&quot;/&gt;&lt;wsp:rsid wsp:val=&quot;00C05770&quot;/&gt;&lt;wsp:rsid wsp:val=&quot;00C05C07&quot;/&gt;&lt;wsp:rsid wsp:val=&quot;00C11DB7&quot;/&gt;&lt;wsp:rsid wsp:val=&quot;00C12475&quot;/&gt;&lt;wsp:rsid wsp:val=&quot;00C134CB&quot;/&gt;&lt;wsp:rsid wsp:val=&quot;00C138E5&quot;/&gt;&lt;wsp:rsid wsp:val=&quot;00C13DD4&quot;/&gt;&lt;wsp:rsid wsp:val=&quot;00C14218&quot;/&gt;&lt;wsp:rsid wsp:val=&quot;00C16642&quot;/&gt;&lt;wsp:rsid wsp:val=&quot;00C1681C&quot;/&gt;&lt;wsp:rsid wsp:val=&quot;00C172D3&quot;/&gt;&lt;wsp:rsid wsp:val=&quot;00C176D3&quot;/&gt;&lt;wsp:rsid wsp:val=&quot;00C17B2D&quot;/&gt;&lt;wsp:rsid wsp:val=&quot;00C17DF8&quot;/&gt;&lt;wsp:rsid wsp:val=&quot;00C208D3&quot;/&gt;&lt;wsp:rsid wsp:val=&quot;00C214B3&quot;/&gt;&lt;wsp:rsid wsp:val=&quot;00C21623&quot;/&gt;&lt;wsp:rsid wsp:val=&quot;00C224EC&quot;/&gt;&lt;wsp:rsid wsp:val=&quot;00C234F2&quot;/&gt;&lt;wsp:rsid wsp:val=&quot;00C2359B&quot;/&gt;&lt;wsp:rsid wsp:val=&quot;00C23A39&quot;/&gt;&lt;wsp:rsid wsp:val=&quot;00C2560E&quot;/&gt;&lt;wsp:rsid wsp:val=&quot;00C25E79&quot;/&gt;&lt;wsp:rsid wsp:val=&quot;00C30000&quot;/&gt;&lt;wsp:rsid wsp:val=&quot;00C3359C&quot;/&gt;&lt;wsp:rsid wsp:val=&quot;00C346FC&quot;/&gt;&lt;wsp:rsid wsp:val=&quot;00C355A6&quot;/&gt;&lt;wsp:rsid wsp:val=&quot;00C35DA5&quot;/&gt;&lt;wsp:rsid wsp:val=&quot;00C36179&quot;/&gt;&lt;wsp:rsid wsp:val=&quot;00C402EA&quot;/&gt;&lt;wsp:rsid wsp:val=&quot;00C40AB1&quot;/&gt;&lt;wsp:rsid wsp:val=&quot;00C41322&quot;/&gt;&lt;wsp:rsid wsp:val=&quot;00C415AA&quot;/&gt;&lt;wsp:rsid wsp:val=&quot;00C4298E&quot;/&gt;&lt;wsp:rsid wsp:val=&quot;00C46512&quot;/&gt;&lt;wsp:rsid wsp:val=&quot;00C4691B&quot;/&gt;&lt;wsp:rsid wsp:val=&quot;00C501AB&quot;/&gt;&lt;wsp:rsid wsp:val=&quot;00C50B22&quot;/&gt;&lt;wsp:rsid wsp:val=&quot;00C50D62&quot;/&gt;&lt;wsp:rsid wsp:val=&quot;00C51348&quot;/&gt;&lt;wsp:rsid wsp:val=&quot;00C5268A&quot;/&gt;&lt;wsp:rsid wsp:val=&quot;00C52D98&quot;/&gt;&lt;wsp:rsid wsp:val=&quot;00C5437F&quot;/&gt;&lt;wsp:rsid wsp:val=&quot;00C54C47&quot;/&gt;&lt;wsp:rsid wsp:val=&quot;00C56C53&quot;/&gt;&lt;wsp:rsid wsp:val=&quot;00C57D4D&quot;/&gt;&lt;wsp:rsid wsp:val=&quot;00C57D99&quot;/&gt;&lt;wsp:rsid wsp:val=&quot;00C604A1&quot;/&gt;&lt;wsp:rsid wsp:val=&quot;00C6091F&quot;/&gt;&lt;wsp:rsid wsp:val=&quot;00C60B4E&quot;/&gt;&lt;wsp:rsid wsp:val=&quot;00C61664&quot;/&gt;&lt;wsp:rsid wsp:val=&quot;00C625AB&quot;/&gt;&lt;wsp:rsid wsp:val=&quot;00C632C4&quot;/&gt;&lt;wsp:rsid wsp:val=&quot;00C63B4A&quot;/&gt;&lt;wsp:rsid wsp:val=&quot;00C64277&quot;/&gt;&lt;wsp:rsid wsp:val=&quot;00C65C36&quot;/&gt;&lt;wsp:rsid wsp:val=&quot;00C6617E&quot;/&gt;&lt;wsp:rsid wsp:val=&quot;00C664BD&quot;/&gt;&lt;wsp:rsid wsp:val=&quot;00C67F6C&quot;/&gt;&lt;wsp:rsid wsp:val=&quot;00C70063&quot;/&gt;&lt;wsp:rsid wsp:val=&quot;00C70266&quot;/&gt;&lt;wsp:rsid wsp:val=&quot;00C705F6&quot;/&gt;&lt;wsp:rsid wsp:val=&quot;00C745DD&quot;/&gt;&lt;wsp:rsid wsp:val=&quot;00C76414&quot;/&gt;&lt;wsp:rsid wsp:val=&quot;00C766BF&quot;/&gt;&lt;wsp:rsid wsp:val=&quot;00C7745D&quot;/&gt;&lt;wsp:rsid wsp:val=&quot;00C77C96&quot;/&gt;&lt;wsp:rsid wsp:val=&quot;00C805CC&quot;/&gt;&lt;wsp:rsid wsp:val=&quot;00C824A7&quot;/&gt;&lt;wsp:rsid wsp:val=&quot;00C82E41&quot;/&gt;&lt;wsp:rsid wsp:val=&quot;00C83051&quot;/&gt;&lt;wsp:rsid wsp:val=&quot;00C83177&quot;/&gt;&lt;wsp:rsid wsp:val=&quot;00C83568&quot;/&gt;&lt;wsp:rsid wsp:val=&quot;00C84AA1&quot;/&gt;&lt;wsp:rsid wsp:val=&quot;00C85A76&quot;/&gt;&lt;wsp:rsid wsp:val=&quot;00C87E9C&quot;/&gt;&lt;wsp:rsid wsp:val=&quot;00C92264&quot;/&gt;&lt;wsp:rsid wsp:val=&quot;00C9241C&quot;/&gt;&lt;wsp:rsid wsp:val=&quot;00C9398E&quot;/&gt;&lt;wsp:rsid wsp:val=&quot;00C94BC3&quot;/&gt;&lt;wsp:rsid wsp:val=&quot;00C94F74&quot;/&gt;&lt;wsp:rsid wsp:val=&quot;00C957D3&quot;/&gt;&lt;wsp:rsid wsp:val=&quot;00C975A5&quot;/&gt;&lt;wsp:rsid wsp:val=&quot;00C97DDD&quot;/&gt;&lt;wsp:rsid wsp:val=&quot;00CA192D&quot;/&gt;&lt;wsp:rsid wsp:val=&quot;00CA28B5&quot;/&gt;&lt;wsp:rsid wsp:val=&quot;00CA2E97&quot;/&gt;&lt;wsp:rsid wsp:val=&quot;00CA3949&quot;/&gt;&lt;wsp:rsid wsp:val=&quot;00CA536E&quot;/&gt;&lt;wsp:rsid wsp:val=&quot;00CA5700&quot;/&gt;&lt;wsp:rsid wsp:val=&quot;00CA5F4A&quot;/&gt;&lt;wsp:rsid wsp:val=&quot;00CA6CFF&quot;/&gt;&lt;wsp:rsid wsp:val=&quot;00CA7A8F&quot;/&gt;&lt;wsp:rsid wsp:val=&quot;00CA7E46&quot;/&gt;&lt;wsp:rsid wsp:val=&quot;00CB0D0B&quot;/&gt;&lt;wsp:rsid wsp:val=&quot;00CB4708&quot;/&gt;&lt;wsp:rsid wsp:val=&quot;00CB5397&quot;/&gt;&lt;wsp:rsid wsp:val=&quot;00CB5EDC&quot;/&gt;&lt;wsp:rsid wsp:val=&quot;00CC03D5&quot;/&gt;&lt;wsp:rsid wsp:val=&quot;00CC05C0&quot;/&gt;&lt;wsp:rsid wsp:val=&quot;00CC1073&quot;/&gt;&lt;wsp:rsid wsp:val=&quot;00CC207A&quot;/&gt;&lt;wsp:rsid wsp:val=&quot;00CC298B&quot;/&gt;&lt;wsp:rsid wsp:val=&quot;00CC2CB4&quot;/&gt;&lt;wsp:rsid wsp:val=&quot;00CC3DF2&quot;/&gt;&lt;wsp:rsid wsp:val=&quot;00CC4F4D&quot;/&gt;&lt;wsp:rsid wsp:val=&quot;00CC5480&quot;/&gt;&lt;wsp:rsid wsp:val=&quot;00CC5C00&quot;/&gt;&lt;wsp:rsid wsp:val=&quot;00CC7079&quot;/&gt;&lt;wsp:rsid wsp:val=&quot;00CC78DD&quot;/&gt;&lt;wsp:rsid wsp:val=&quot;00CC7AB8&quot;/&gt;&lt;wsp:rsid wsp:val=&quot;00CC7EE0&quot;/&gt;&lt;wsp:rsid wsp:val=&quot;00CD038B&quot;/&gt;&lt;wsp:rsid wsp:val=&quot;00CD06E2&quot;/&gt;&lt;wsp:rsid wsp:val=&quot;00CD09A3&quot;/&gt;&lt;wsp:rsid wsp:val=&quot;00CD1A34&quot;/&gt;&lt;wsp:rsid wsp:val=&quot;00CD1C9E&quot;/&gt;&lt;wsp:rsid wsp:val=&quot;00CD218A&quot;/&gt;&lt;wsp:rsid wsp:val=&quot;00CD3045&quot;/&gt;&lt;wsp:rsid wsp:val=&quot;00CD30A4&quot;/&gt;&lt;wsp:rsid wsp:val=&quot;00CD3366&quot;/&gt;&lt;wsp:rsid wsp:val=&quot;00CD408A&quot;/&gt;&lt;wsp:rsid wsp:val=&quot;00CD4363&quot;/&gt;&lt;wsp:rsid wsp:val=&quot;00CD4B88&quot;/&gt;&lt;wsp:rsid wsp:val=&quot;00CD6063&quot;/&gt;&lt;wsp:rsid wsp:val=&quot;00CD6A75&quot;/&gt;&lt;wsp:rsid wsp:val=&quot;00CD6CA9&quot;/&gt;&lt;wsp:rsid wsp:val=&quot;00CD6DD5&quot;/&gt;&lt;wsp:rsid wsp:val=&quot;00CD6E27&quot;/&gt;&lt;wsp:rsid wsp:val=&quot;00CD729E&quot;/&gt;&lt;wsp:rsid wsp:val=&quot;00CE0B95&quot;/&gt;&lt;wsp:rsid wsp:val=&quot;00CE2AB0&quot;/&gt;&lt;wsp:rsid wsp:val=&quot;00CE2DB4&quot;/&gt;&lt;wsp:rsid wsp:val=&quot;00CE2EA3&quot;/&gt;&lt;wsp:rsid wsp:val=&quot;00CE3512&quot;/&gt;&lt;wsp:rsid wsp:val=&quot;00CE39AB&quot;/&gt;&lt;wsp:rsid wsp:val=&quot;00CE4CFF&quot;/&gt;&lt;wsp:rsid wsp:val=&quot;00CE4D84&quot;/&gt;&lt;wsp:rsid wsp:val=&quot;00CE6EAF&quot;/&gt;&lt;wsp:rsid wsp:val=&quot;00CE7B77&quot;/&gt;&lt;wsp:rsid wsp:val=&quot;00CF0052&quot;/&gt;&lt;wsp:rsid wsp:val=&quot;00CF01AC&quot;/&gt;&lt;wsp:rsid wsp:val=&quot;00CF120A&quot;/&gt;&lt;wsp:rsid wsp:val=&quot;00CF1391&quot;/&gt;&lt;wsp:rsid wsp:val=&quot;00CF1725&quot;/&gt;&lt;wsp:rsid wsp:val=&quot;00CF1AC1&quot;/&gt;&lt;wsp:rsid wsp:val=&quot;00CF3676&quot;/&gt;&lt;wsp:rsid wsp:val=&quot;00CF36BD&quot;/&gt;&lt;wsp:rsid wsp:val=&quot;00CF3781&quot;/&gt;&lt;wsp:rsid wsp:val=&quot;00CF395D&quot;/&gt;&lt;wsp:rsid wsp:val=&quot;00CF4516&quot;/&gt;&lt;wsp:rsid wsp:val=&quot;00CF484B&quot;/&gt;&lt;wsp:rsid wsp:val=&quot;00CF50BB&quot;/&gt;&lt;wsp:rsid wsp:val=&quot;00CF5806&quot;/&gt;&lt;wsp:rsid wsp:val=&quot;00CF63A1&quot;/&gt;&lt;wsp:rsid wsp:val=&quot;00CF6484&quot;/&gt;&lt;wsp:rsid wsp:val=&quot;00CF7A24&quot;/&gt;&lt;wsp:rsid wsp:val=&quot;00D022DA&quot;/&gt;&lt;wsp:rsid wsp:val=&quot;00D02E3E&quot;/&gt;&lt;wsp:rsid wsp:val=&quot;00D02FEF&quot;/&gt;&lt;wsp:rsid wsp:val=&quot;00D031CA&quot;/&gt;&lt;wsp:rsid wsp:val=&quot;00D04E92&quot;/&gt;&lt;wsp:rsid wsp:val=&quot;00D04F9C&quot;/&gt;&lt;wsp:rsid wsp:val=&quot;00D058EB&quot;/&gt;&lt;wsp:rsid wsp:val=&quot;00D05DAF&quot;/&gt;&lt;wsp:rsid wsp:val=&quot;00D061F9&quot;/&gt;&lt;wsp:rsid wsp:val=&quot;00D06497&quot;/&gt;&lt;wsp:rsid wsp:val=&quot;00D0657F&quot;/&gt;&lt;wsp:rsid wsp:val=&quot;00D102F0&quot;/&gt;&lt;wsp:rsid wsp:val=&quot;00D149EF&quot;/&gt;&lt;wsp:rsid wsp:val=&quot;00D1650F&quot;/&gt;&lt;wsp:rsid wsp:val=&quot;00D16D7A&quot;/&gt;&lt;wsp:rsid wsp:val=&quot;00D17931&quot;/&gt;&lt;wsp:rsid wsp:val=&quot;00D20101&quot;/&gt;&lt;wsp:rsid wsp:val=&quot;00D20A80&quot;/&gt;&lt;wsp:rsid wsp:val=&quot;00D20B58&quot;/&gt;&lt;wsp:rsid wsp:val=&quot;00D2392C&quot;/&gt;&lt;wsp:rsid wsp:val=&quot;00D2499C&quot;/&gt;&lt;wsp:rsid wsp:val=&quot;00D24AB7&quot;/&gt;&lt;wsp:rsid wsp:val=&quot;00D25081&quot;/&gt;&lt;wsp:rsid wsp:val=&quot;00D25C38&quot;/&gt;&lt;wsp:rsid wsp:val=&quot;00D2740A&quot;/&gt;&lt;wsp:rsid wsp:val=&quot;00D27770&quot;/&gt;&lt;wsp:rsid wsp:val=&quot;00D27C37&quot;/&gt;&lt;wsp:rsid wsp:val=&quot;00D27E59&quot;/&gt;&lt;wsp:rsid wsp:val=&quot;00D340E5&quot;/&gt;&lt;wsp:rsid wsp:val=&quot;00D35C62&quot;/&gt;&lt;wsp:rsid wsp:val=&quot;00D36755&quot;/&gt;&lt;wsp:rsid wsp:val=&quot;00D36D53&quot;/&gt;&lt;wsp:rsid wsp:val=&quot;00D4076E&quot;/&gt;&lt;wsp:rsid wsp:val=&quot;00D414B7&quot;/&gt;&lt;wsp:rsid wsp:val=&quot;00D4159D&quot;/&gt;&lt;wsp:rsid wsp:val=&quot;00D42337&quot;/&gt;&lt;wsp:rsid wsp:val=&quot;00D4272D&quot;/&gt;&lt;wsp:rsid wsp:val=&quot;00D4319E&quot;/&gt;&lt;wsp:rsid wsp:val=&quot;00D44E72&quot;/&gt;&lt;wsp:rsid wsp:val=&quot;00D4528C&quot;/&gt;&lt;wsp:rsid wsp:val=&quot;00D46074&quot;/&gt;&lt;wsp:rsid wsp:val=&quot;00D47C8F&quot;/&gt;&lt;wsp:rsid wsp:val=&quot;00D5013A&quot;/&gt;&lt;wsp:rsid wsp:val=&quot;00D51A44&quot;/&gt;&lt;wsp:rsid wsp:val=&quot;00D51F66&quot;/&gt;&lt;wsp:rsid wsp:val=&quot;00D524A5&quot;/&gt;&lt;wsp:rsid wsp:val=&quot;00D52F00&quot;/&gt;&lt;wsp:rsid wsp:val=&quot;00D52F92&quot;/&gt;&lt;wsp:rsid wsp:val=&quot;00D53FF5&quot;/&gt;&lt;wsp:rsid wsp:val=&quot;00D546AF&quot;/&gt;&lt;wsp:rsid wsp:val=&quot;00D577AA&quot;/&gt;&lt;wsp:rsid wsp:val=&quot;00D57949&quot;/&gt;&lt;wsp:rsid wsp:val=&quot;00D618BE&quot;/&gt;&lt;wsp:rsid wsp:val=&quot;00D61B3D&quot;/&gt;&lt;wsp:rsid wsp:val=&quot;00D61C1C&quot;/&gt;&lt;wsp:rsid wsp:val=&quot;00D62B3E&quot;/&gt;&lt;wsp:rsid wsp:val=&quot;00D62BB7&quot;/&gt;&lt;wsp:rsid wsp:val=&quot;00D635FF&quot;/&gt;&lt;wsp:rsid wsp:val=&quot;00D65269&quot;/&gt;&lt;wsp:rsid wsp:val=&quot;00D65806&quot;/&gt;&lt;wsp:rsid wsp:val=&quot;00D65AFF&quot;/&gt;&lt;wsp:rsid wsp:val=&quot;00D66009&quot;/&gt;&lt;wsp:rsid wsp:val=&quot;00D66268&quot;/&gt;&lt;wsp:rsid wsp:val=&quot;00D66B0B&quot;/&gt;&lt;wsp:rsid wsp:val=&quot;00D7068F&quot;/&gt;&lt;wsp:rsid wsp:val=&quot;00D71798&quot;/&gt;&lt;wsp:rsid wsp:val=&quot;00D7436B&quot;/&gt;&lt;wsp:rsid wsp:val=&quot;00D75176&quot;/&gt;&lt;wsp:rsid wsp:val=&quot;00D7604F&quot;/&gt;&lt;wsp:rsid wsp:val=&quot;00D76783&quot;/&gt;&lt;wsp:rsid wsp:val=&quot;00D769C7&quot;/&gt;&lt;wsp:rsid wsp:val=&quot;00D77DB4&quot;/&gt;&lt;wsp:rsid wsp:val=&quot;00D816A0&quot;/&gt;&lt;wsp:rsid wsp:val=&quot;00D819A2&quot;/&gt;&lt;wsp:rsid wsp:val=&quot;00D82836&quot;/&gt;&lt;wsp:rsid wsp:val=&quot;00D82AF9&quot;/&gt;&lt;wsp:rsid wsp:val=&quot;00D82B1D&quot;/&gt;&lt;wsp:rsid wsp:val=&quot;00D84C0E&quot;/&gt;&lt;wsp:rsid wsp:val=&quot;00D859E2&quot;/&gt;&lt;wsp:rsid wsp:val=&quot;00D87288&quot;/&gt;&lt;wsp:rsid wsp:val=&quot;00D87A0A&quot;/&gt;&lt;wsp:rsid wsp:val=&quot;00D90114&quot;/&gt;&lt;wsp:rsid wsp:val=&quot;00D90A48&quot;/&gt;&lt;wsp:rsid wsp:val=&quot;00D91022&quot;/&gt;&lt;wsp:rsid wsp:val=&quot;00D9134E&quot;/&gt;&lt;wsp:rsid wsp:val=&quot;00D9284E&quot;/&gt;&lt;wsp:rsid wsp:val=&quot;00D9508B&quot;/&gt;&lt;wsp:rsid wsp:val=&quot;00D96446&quot;/&gt;&lt;wsp:rsid wsp:val=&quot;00D96C15&quot;/&gt;&lt;wsp:rsid wsp:val=&quot;00D96E09&quot;/&gt;&lt;wsp:rsid wsp:val=&quot;00D97C17&quot;/&gt;&lt;wsp:rsid wsp:val=&quot;00DA00AF&quot;/&gt;&lt;wsp:rsid wsp:val=&quot;00DA060E&quot;/&gt;&lt;wsp:rsid wsp:val=&quot;00DA096A&quot;/&gt;&lt;wsp:rsid wsp:val=&quot;00DA0AF7&quot;/&gt;&lt;wsp:rsid wsp:val=&quot;00DA322A&quot;/&gt;&lt;wsp:rsid wsp:val=&quot;00DA484D&quot;/&gt;&lt;wsp:rsid wsp:val=&quot;00DA5AB5&quot;/&gt;&lt;wsp:rsid wsp:val=&quot;00DA603F&quot;/&gt;&lt;wsp:rsid wsp:val=&quot;00DA6760&quot;/&gt;&lt;wsp:rsid wsp:val=&quot;00DA73BD&quot;/&gt;&lt;wsp:rsid wsp:val=&quot;00DB03E2&quot;/&gt;&lt;wsp:rsid wsp:val=&quot;00DB11C4&quot;/&gt;&lt;wsp:rsid wsp:val=&quot;00DB1A1C&quot;/&gt;&lt;wsp:rsid wsp:val=&quot;00DB1AC4&quot;/&gt;&lt;wsp:rsid wsp:val=&quot;00DB2EBD&quot;/&gt;&lt;wsp:rsid wsp:val=&quot;00DB368E&quot;/&gt;&lt;wsp:rsid wsp:val=&quot;00DB536F&quot;/&gt;&lt;wsp:rsid wsp:val=&quot;00DB5585&quot;/&gt;&lt;wsp:rsid wsp:val=&quot;00DB55D1&quot;/&gt;&lt;wsp:rsid wsp:val=&quot;00DB62F2&quot;/&gt;&lt;wsp:rsid wsp:val=&quot;00DB6440&quot;/&gt;&lt;wsp:rsid wsp:val=&quot;00DB7A29&quot;/&gt;&lt;wsp:rsid wsp:val=&quot;00DB7E95&quot;/&gt;&lt;wsp:rsid wsp:val=&quot;00DC0A61&quot;/&gt;&lt;wsp:rsid wsp:val=&quot;00DC127E&quot;/&gt;&lt;wsp:rsid wsp:val=&quot;00DC221D&quot;/&gt;&lt;wsp:rsid wsp:val=&quot;00DC2555&quot;/&gt;&lt;wsp:rsid wsp:val=&quot;00DC2C46&quot;/&gt;&lt;wsp:rsid wsp:val=&quot;00DC3043&quot;/&gt;&lt;wsp:rsid wsp:val=&quot;00DC3129&quot;/&gt;&lt;wsp:rsid wsp:val=&quot;00DC3680&quot;/&gt;&lt;wsp:rsid wsp:val=&quot;00DC544D&quot;/&gt;&lt;wsp:rsid wsp:val=&quot;00DC6421&quot;/&gt;&lt;wsp:rsid wsp:val=&quot;00DC7409&quot;/&gt;&lt;wsp:rsid wsp:val=&quot;00DC79BE&quot;/&gt;&lt;wsp:rsid wsp:val=&quot;00DC7EE7&quot;/&gt;&lt;wsp:rsid wsp:val=&quot;00DD021E&quot;/&gt;&lt;wsp:rsid wsp:val=&quot;00DD0258&quot;/&gt;&lt;wsp:rsid wsp:val=&quot;00DD07A4&quot;/&gt;&lt;wsp:rsid wsp:val=&quot;00DD397C&quot;/&gt;&lt;wsp:rsid wsp:val=&quot;00DD50FE&quot;/&gt;&lt;wsp:rsid wsp:val=&quot;00DD6A26&quot;/&gt;&lt;wsp:rsid wsp:val=&quot;00DD702C&quot;/&gt;&lt;wsp:rsid wsp:val=&quot;00DE030D&quot;/&gt;&lt;wsp:rsid wsp:val=&quot;00DE0AC6&quot;/&gt;&lt;wsp:rsid wsp:val=&quot;00DE256D&quot;/&gt;&lt;wsp:rsid wsp:val=&quot;00DE3489&quot;/&gt;&lt;wsp:rsid wsp:val=&quot;00DE37DA&quot;/&gt;&lt;wsp:rsid wsp:val=&quot;00DE4313&quot;/&gt;&lt;wsp:rsid wsp:val=&quot;00DE547F&quot;/&gt;&lt;wsp:rsid wsp:val=&quot;00DE5BB7&quot;/&gt;&lt;wsp:rsid wsp:val=&quot;00DE5D82&quot;/&gt;&lt;wsp:rsid wsp:val=&quot;00DE70D5&quot;/&gt;&lt;wsp:rsid wsp:val=&quot;00DE7F20&quot;/&gt;&lt;wsp:rsid wsp:val=&quot;00DF0E2D&quot;/&gt;&lt;wsp:rsid wsp:val=&quot;00DF1A3C&quot;/&gt;&lt;wsp:rsid wsp:val=&quot;00DF1BC2&quot;/&gt;&lt;wsp:rsid wsp:val=&quot;00DF1D53&quot;/&gt;&lt;wsp:rsid wsp:val=&quot;00DF513B&quot;/&gt;&lt;wsp:rsid wsp:val=&quot;00DF51B7&quot;/&gt;&lt;wsp:rsid wsp:val=&quot;00DF5635&quot;/&gt;&lt;wsp:rsid wsp:val=&quot;00DF6114&quot;/&gt;&lt;wsp:rsid wsp:val=&quot;00DF62D4&quot;/&gt;&lt;wsp:rsid wsp:val=&quot;00DF728D&quot;/&gt;&lt;wsp:rsid wsp:val=&quot;00DF7B10&quot;/&gt;&lt;wsp:rsid wsp:val=&quot;00DF7C86&quot;/&gt;&lt;wsp:rsid wsp:val=&quot;00DF7FF7&quot;/&gt;&lt;wsp:rsid wsp:val=&quot;00E022C5&quot;/&gt;&lt;wsp:rsid wsp:val=&quot;00E023CC&quot;/&gt;&lt;wsp:rsid wsp:val=&quot;00E026BD&quot;/&gt;&lt;wsp:rsid wsp:val=&quot;00E02EF9&quot;/&gt;&lt;wsp:rsid wsp:val=&quot;00E032ED&quot;/&gt;&lt;wsp:rsid wsp:val=&quot;00E0542F&quot;/&gt;&lt;wsp:rsid wsp:val=&quot;00E055C2&quot;/&gt;&lt;wsp:rsid wsp:val=&quot;00E05637&quot;/&gt;&lt;wsp:rsid wsp:val=&quot;00E05756&quot;/&gt;&lt;wsp:rsid wsp:val=&quot;00E06FA1&quot;/&gt;&lt;wsp:rsid wsp:val=&quot;00E071A0&quot;/&gt;&lt;wsp:rsid wsp:val=&quot;00E0748D&quot;/&gt;&lt;wsp:rsid wsp:val=&quot;00E1096F&quot;/&gt;&lt;wsp:rsid wsp:val=&quot;00E10F91&quot;/&gt;&lt;wsp:rsid wsp:val=&quot;00E11A55&quot;/&gt;&lt;wsp:rsid wsp:val=&quot;00E140FC&quot;/&gt;&lt;wsp:rsid wsp:val=&quot;00E14692&quot;/&gt;&lt;wsp:rsid wsp:val=&quot;00E14E6C&quot;/&gt;&lt;wsp:rsid wsp:val=&quot;00E153FE&quot;/&gt;&lt;wsp:rsid wsp:val=&quot;00E162AA&quot;/&gt;&lt;wsp:rsid wsp:val=&quot;00E175B9&quot;/&gt;&lt;wsp:rsid wsp:val=&quot;00E17BC7&quot;/&gt;&lt;wsp:rsid wsp:val=&quot;00E20F6B&quot;/&gt;&lt;wsp:rsid wsp:val=&quot;00E219DF&quot;/&gt;&lt;wsp:rsid wsp:val=&quot;00E22F21&quot;/&gt;&lt;wsp:rsid wsp:val=&quot;00E23A98&quot;/&gt;&lt;wsp:rsid wsp:val=&quot;00E250B2&quot;/&gt;&lt;wsp:rsid wsp:val=&quot;00E256EB&quot;/&gt;&lt;wsp:rsid wsp:val=&quot;00E261C9&quot;/&gt;&lt;wsp:rsid wsp:val=&quot;00E2701C&quot;/&gt;&lt;wsp:rsid wsp:val=&quot;00E27657&quot;/&gt;&lt;wsp:rsid wsp:val=&quot;00E27EA6&quot;/&gt;&lt;wsp:rsid wsp:val=&quot;00E316F2&quot;/&gt;&lt;wsp:rsid wsp:val=&quot;00E31B25&quot;/&gt;&lt;wsp:rsid wsp:val=&quot;00E31C05&quot;/&gt;&lt;wsp:rsid wsp:val=&quot;00E31E44&quot;/&gt;&lt;wsp:rsid wsp:val=&quot;00E33766&quot;/&gt;&lt;wsp:rsid wsp:val=&quot;00E3450C&quot;/&gt;&lt;wsp:rsid wsp:val=&quot;00E37CDB&quot;/&gt;&lt;wsp:rsid wsp:val=&quot;00E40899&quot;/&gt;&lt;wsp:rsid wsp:val=&quot;00E41A20&quot;/&gt;&lt;wsp:rsid wsp:val=&quot;00E42B2E&quot;/&gt;&lt;wsp:rsid wsp:val=&quot;00E43F43&quot;/&gt;&lt;wsp:rsid wsp:val=&quot;00E44CD7&quot;/&gt;&lt;wsp:rsid wsp:val=&quot;00E45C48&quot;/&gt;&lt;wsp:rsid wsp:val=&quot;00E472DA&quot;/&gt;&lt;wsp:rsid wsp:val=&quot;00E47DD6&quot;/&gt;&lt;wsp:rsid wsp:val=&quot;00E505FD&quot;/&gt;&lt;wsp:rsid wsp:val=&quot;00E51B7B&quot;/&gt;&lt;wsp:rsid wsp:val=&quot;00E53760&quot;/&gt;&lt;wsp:rsid wsp:val=&quot;00E53AD7&quot;/&gt;&lt;wsp:rsid wsp:val=&quot;00E55C6B&quot;/&gt;&lt;wsp:rsid wsp:val=&quot;00E568D0&quot;/&gt;&lt;wsp:rsid wsp:val=&quot;00E56986&quot;/&gt;&lt;wsp:rsid wsp:val=&quot;00E56C97&quot;/&gt;&lt;wsp:rsid wsp:val=&quot;00E57B25&quot;/&gt;&lt;wsp:rsid wsp:val=&quot;00E57BEA&quot;/&gt;&lt;wsp:rsid wsp:val=&quot;00E57CCB&quot;/&gt;&lt;wsp:rsid wsp:val=&quot;00E608D6&quot;/&gt;&lt;wsp:rsid wsp:val=&quot;00E63005&quot;/&gt;&lt;wsp:rsid wsp:val=&quot;00E6321D&quot;/&gt;&lt;wsp:rsid wsp:val=&quot;00E64510&quot;/&gt;&lt;wsp:rsid wsp:val=&quot;00E66C24&quot;/&gt;&lt;wsp:rsid wsp:val=&quot;00E66C79&quot;/&gt;&lt;wsp:rsid wsp:val=&quot;00E670EE&quot;/&gt;&lt;wsp:rsid wsp:val=&quot;00E671AC&quot;/&gt;&lt;wsp:rsid wsp:val=&quot;00E67450&quot;/&gt;&lt;wsp:rsid wsp:val=&quot;00E6792F&quot;/&gt;&lt;wsp:rsid wsp:val=&quot;00E704E1&quot;/&gt;&lt;wsp:rsid wsp:val=&quot;00E7244A&quot;/&gt;&lt;wsp:rsid wsp:val=&quot;00E72B58&quot;/&gt;&lt;wsp:rsid wsp:val=&quot;00E73EDA&quot;/&gt;&lt;wsp:rsid wsp:val=&quot;00E74E0B&quot;/&gt;&lt;wsp:rsid wsp:val=&quot;00E775F5&quot;/&gt;&lt;wsp:rsid wsp:val=&quot;00E80607&quot;/&gt;&lt;wsp:rsid wsp:val=&quot;00E81165&quot;/&gt;&lt;wsp:rsid wsp:val=&quot;00E82A20&quot;/&gt;&lt;wsp:rsid wsp:val=&quot;00E8348C&quot;/&gt;&lt;wsp:rsid wsp:val=&quot;00E839D7&quot;/&gt;&lt;wsp:rsid wsp:val=&quot;00E8455A&quot;/&gt;&lt;wsp:rsid wsp:val=&quot;00E845BC&quot;/&gt;&lt;wsp:rsid wsp:val=&quot;00E84E78&quot;/&gt;&lt;wsp:rsid wsp:val=&quot;00E85750&quot;/&gt;&lt;wsp:rsid wsp:val=&quot;00E86311&quot;/&gt;&lt;wsp:rsid wsp:val=&quot;00E86A05&quot;/&gt;&lt;wsp:rsid wsp:val=&quot;00E8767C&quot;/&gt;&lt;wsp:rsid wsp:val=&quot;00E87EF3&quot;/&gt;&lt;wsp:rsid wsp:val=&quot;00E903CB&quot;/&gt;&lt;wsp:rsid wsp:val=&quot;00E910F7&quot;/&gt;&lt;wsp:rsid wsp:val=&quot;00E9178C&quot;/&gt;&lt;wsp:rsid wsp:val=&quot;00E91F25&quot;/&gt;&lt;wsp:rsid wsp:val=&quot;00E922C3&quot;/&gt;&lt;wsp:rsid wsp:val=&quot;00E923CC&quot;/&gt;&lt;wsp:rsid wsp:val=&quot;00E9251C&quot;/&gt;&lt;wsp:rsid wsp:val=&quot;00E9363A&quot;/&gt;&lt;wsp:rsid wsp:val=&quot;00E941AF&quot;/&gt;&lt;wsp:rsid wsp:val=&quot;00E95E8B&quot;/&gt;&lt;wsp:rsid wsp:val=&quot;00E962FC&quot;/&gt;&lt;wsp:rsid wsp:val=&quot;00E96D4A&quot;/&gt;&lt;wsp:rsid wsp:val=&quot;00E9729F&quot;/&gt;&lt;wsp:rsid wsp:val=&quot;00EA23E5&quot;/&gt;&lt;wsp:rsid wsp:val=&quot;00EA2F5F&quot;/&gt;&lt;wsp:rsid wsp:val=&quot;00EA4843&quot;/&gt;&lt;wsp:rsid wsp:val=&quot;00EA5F14&quot;/&gt;&lt;wsp:rsid wsp:val=&quot;00EA6661&quot;/&gt;&lt;wsp:rsid wsp:val=&quot;00EA668B&quot;/&gt;&lt;wsp:rsid wsp:val=&quot;00EA66C2&quot;/&gt;&lt;wsp:rsid wsp:val=&quot;00EA68D8&quot;/&gt;&lt;wsp:rsid wsp:val=&quot;00EB0F02&quot;/&gt;&lt;wsp:rsid wsp:val=&quot;00EB1393&quot;/&gt;&lt;wsp:rsid wsp:val=&quot;00EB15AC&quot;/&gt;&lt;wsp:rsid wsp:val=&quot;00EB30CD&quot;/&gt;&lt;wsp:rsid wsp:val=&quot;00EB4230&quot;/&gt;&lt;wsp:rsid wsp:val=&quot;00EB44C8&quot;/&gt;&lt;wsp:rsid wsp:val=&quot;00EB6249&quot;/&gt;&lt;wsp:rsid wsp:val=&quot;00EB7B47&quot;/&gt;&lt;wsp:rsid wsp:val=&quot;00EC12B5&quot;/&gt;&lt;wsp:rsid wsp:val=&quot;00EC1442&quot;/&gt;&lt;wsp:rsid wsp:val=&quot;00EC173D&quot;/&gt;&lt;wsp:rsid wsp:val=&quot;00EC333C&quot;/&gt;&lt;wsp:rsid wsp:val=&quot;00EC3BA8&quot;/&gt;&lt;wsp:rsid wsp:val=&quot;00EC413F&quot;/&gt;&lt;wsp:rsid wsp:val=&quot;00EC4E93&quot;/&gt;&lt;wsp:rsid wsp:val=&quot;00EC5307&quot;/&gt;&lt;wsp:rsid wsp:val=&quot;00EC5A97&quot;/&gt;&lt;wsp:rsid wsp:val=&quot;00EC650B&quot;/&gt;&lt;wsp:rsid wsp:val=&quot;00EC67E0&quot;/&gt;&lt;wsp:rsid wsp:val=&quot;00EC6C5B&quot;/&gt;&lt;wsp:rsid wsp:val=&quot;00EC6D18&quot;/&gt;&lt;wsp:rsid wsp:val=&quot;00EC77A3&quot;/&gt;&lt;wsp:rsid wsp:val=&quot;00ED03F1&quot;/&gt;&lt;wsp:rsid wsp:val=&quot;00ED0A46&quot;/&gt;&lt;wsp:rsid wsp:val=&quot;00ED117F&quot;/&gt;&lt;wsp:rsid wsp:val=&quot;00ED1ED0&quot;/&gt;&lt;wsp:rsid wsp:val=&quot;00ED2170&quot;/&gt;&lt;wsp:rsid wsp:val=&quot;00ED236E&quot;/&gt;&lt;wsp:rsid wsp:val=&quot;00ED364E&quot;/&gt;&lt;wsp:rsid wsp:val=&quot;00ED4CFD&quot;/&gt;&lt;wsp:rsid wsp:val=&quot;00ED7892&quot;/&gt;&lt;wsp:rsid wsp:val=&quot;00ED7A87&quot;/&gt;&lt;wsp:rsid wsp:val=&quot;00EE2053&quot;/&gt;&lt;wsp:rsid wsp:val=&quot;00EE66A9&quot;/&gt;&lt;wsp:rsid wsp:val=&quot;00EE7426&quot;/&gt;&lt;wsp:rsid wsp:val=&quot;00EF0C75&quot;/&gt;&lt;wsp:rsid wsp:val=&quot;00EF2A4C&quot;/&gt;&lt;wsp:rsid wsp:val=&quot;00EF4CB4&quot;/&gt;&lt;wsp:rsid wsp:val=&quot;00EF5833&quot;/&gt;&lt;wsp:rsid wsp:val=&quot;00EF6C42&quot;/&gt;&lt;wsp:rsid wsp:val=&quot;00EF6D50&quot;/&gt;&lt;wsp:rsid wsp:val=&quot;00EF78DB&quot;/&gt;&lt;wsp:rsid wsp:val=&quot;00F00C24&quot;/&gt;&lt;wsp:rsid wsp:val=&quot;00F02072&quot;/&gt;&lt;wsp:rsid wsp:val=&quot;00F0254A&quot;/&gt;&lt;wsp:rsid wsp:val=&quot;00F02CD7&quot;/&gt;&lt;wsp:rsid wsp:val=&quot;00F03AAE&quot;/&gt;&lt;wsp:rsid wsp:val=&quot;00F03ED9&quot;/&gt;&lt;wsp:rsid wsp:val=&quot;00F043A0&quot;/&gt;&lt;wsp:rsid wsp:val=&quot;00F0520B&quot;/&gt;&lt;wsp:rsid wsp:val=&quot;00F0544D&quot;/&gt;&lt;wsp:rsid wsp:val=&quot;00F066F2&quot;/&gt;&lt;wsp:rsid wsp:val=&quot;00F07081&quot;/&gt;&lt;wsp:rsid wsp:val=&quot;00F115B4&quot;/&gt;&lt;wsp:rsid wsp:val=&quot;00F12E5A&quot;/&gt;&lt;wsp:rsid wsp:val=&quot;00F14159&quot;/&gt;&lt;wsp:rsid wsp:val=&quot;00F14DBF&quot;/&gt;&lt;wsp:rsid wsp:val=&quot;00F15219&quot;/&gt;&lt;wsp:rsid wsp:val=&quot;00F15BAA&quot;/&gt;&lt;wsp:rsid wsp:val=&quot;00F17A8A&quot;/&gt;&lt;wsp:rsid wsp:val=&quot;00F2005C&quot;/&gt;&lt;wsp:rsid wsp:val=&quot;00F206AC&quot;/&gt;&lt;wsp:rsid wsp:val=&quot;00F211AA&quot;/&gt;&lt;wsp:rsid wsp:val=&quot;00F26238&quot;/&gt;&lt;wsp:rsid wsp:val=&quot;00F30BAB&quot;/&gt;&lt;wsp:rsid wsp:val=&quot;00F30CB3&quot;/&gt;&lt;wsp:rsid wsp:val=&quot;00F31106&quot;/&gt;&lt;wsp:rsid wsp:val=&quot;00F31D6E&quot;/&gt;&lt;wsp:rsid wsp:val=&quot;00F32AAE&quot;/&gt;&lt;wsp:rsid wsp:val=&quot;00F3348C&quot;/&gt;&lt;wsp:rsid wsp:val=&quot;00F34D27&quot;/&gt;&lt;wsp:rsid wsp:val=&quot;00F35895&quot;/&gt;&lt;wsp:rsid wsp:val=&quot;00F36964&quot;/&gt;&lt;wsp:rsid wsp:val=&quot;00F3798A&quot;/&gt;&lt;wsp:rsid wsp:val=&quot;00F40D1F&quot;/&gt;&lt;wsp:rsid wsp:val=&quot;00F40D2E&quot;/&gt;&lt;wsp:rsid wsp:val=&quot;00F4172F&quot;/&gt;&lt;wsp:rsid wsp:val=&quot;00F428EC&quot;/&gt;&lt;wsp:rsid wsp:val=&quot;00F434EC&quot;/&gt;&lt;wsp:rsid wsp:val=&quot;00F43E65&quot;/&gt;&lt;wsp:rsid wsp:val=&quot;00F43ECD&quot;/&gt;&lt;wsp:rsid wsp:val=&quot;00F45248&quot;/&gt;&lt;wsp:rsid wsp:val=&quot;00F45A19&quot;/&gt;&lt;wsp:rsid wsp:val=&quot;00F46ED2&quot;/&gt;&lt;wsp:rsid wsp:val=&quot;00F4797E&quot;/&gt;&lt;wsp:rsid wsp:val=&quot;00F5056E&quot;/&gt;&lt;wsp:rsid wsp:val=&quot;00F50BBB&quot;/&gt;&lt;wsp:rsid wsp:val=&quot;00F512EB&quot;/&gt;&lt;wsp:rsid wsp:val=&quot;00F533BF&quot;/&gt;&lt;wsp:rsid wsp:val=&quot;00F53C34&quot;/&gt;&lt;wsp:rsid wsp:val=&quot;00F53F34&quot;/&gt;&lt;wsp:rsid wsp:val=&quot;00F54779&quot;/&gt;&lt;wsp:rsid wsp:val=&quot;00F54858&quot;/&gt;&lt;wsp:rsid wsp:val=&quot;00F561C3&quot;/&gt;&lt;wsp:rsid wsp:val=&quot;00F56958&quot;/&gt;&lt;wsp:rsid wsp:val=&quot;00F56B63&quot;/&gt;&lt;wsp:rsid wsp:val=&quot;00F570A6&quot;/&gt;&lt;wsp:rsid wsp:val=&quot;00F61529&quot;/&gt;&lt;wsp:rsid wsp:val=&quot;00F629C4&quot;/&gt;&lt;wsp:rsid wsp:val=&quot;00F62CB3&quot;/&gt;&lt;wsp:rsid wsp:val=&quot;00F62D8A&quot;/&gt;&lt;wsp:rsid wsp:val=&quot;00F63629&quot;/&gt;&lt;wsp:rsid wsp:val=&quot;00F647BD&quot;/&gt;&lt;wsp:rsid wsp:val=&quot;00F64B09&quot;/&gt;&lt;wsp:rsid wsp:val=&quot;00F64E08&quot;/&gt;&lt;wsp:rsid wsp:val=&quot;00F657B3&quot;/&gt;&lt;wsp:rsid wsp:val=&quot;00F658C7&quot;/&gt;&lt;wsp:rsid wsp:val=&quot;00F7016F&quot;/&gt;&lt;wsp:rsid wsp:val=&quot;00F701B0&quot;/&gt;&lt;wsp:rsid wsp:val=&quot;00F70BAC&quot;/&gt;&lt;wsp:rsid wsp:val=&quot;00F71CAA&quot;/&gt;&lt;wsp:rsid wsp:val=&quot;00F721E6&quot;/&gt;&lt;wsp:rsid wsp:val=&quot;00F73A05&quot;/&gt;&lt;wsp:rsid wsp:val=&quot;00F73E66&quot;/&gt;&lt;wsp:rsid wsp:val=&quot;00F760F3&quot;/&gt;&lt;wsp:rsid wsp:val=&quot;00F771E5&quot;/&gt;&lt;wsp:rsid wsp:val=&quot;00F80610&quot;/&gt;&lt;wsp:rsid wsp:val=&quot;00F81728&quot;/&gt;&lt;wsp:rsid wsp:val=&quot;00F82845&quot;/&gt;&lt;wsp:rsid wsp:val=&quot;00F83D6D&quot;/&gt;&lt;wsp:rsid wsp:val=&quot;00F847F7&quot;/&gt;&lt;wsp:rsid wsp:val=&quot;00F84E66&quot;/&gt;&lt;wsp:rsid wsp:val=&quot;00F8504A&quot;/&gt;&lt;wsp:rsid wsp:val=&quot;00F85317&quot;/&gt;&lt;wsp:rsid wsp:val=&quot;00F85F69&quot;/&gt;&lt;wsp:rsid wsp:val=&quot;00F87386&quot;/&gt;&lt;wsp:rsid wsp:val=&quot;00F87892&quot;/&gt;&lt;wsp:rsid wsp:val=&quot;00F87D71&quot;/&gt;&lt;wsp:rsid wsp:val=&quot;00F90427&quot;/&gt;&lt;wsp:rsid wsp:val=&quot;00F91D42&quot;/&gt;&lt;wsp:rsid wsp:val=&quot;00F91E78&quot;/&gt;&lt;wsp:rsid wsp:val=&quot;00F938AB&quot;/&gt;&lt;wsp:rsid wsp:val=&quot;00F9482B&quot;/&gt;&lt;wsp:rsid wsp:val=&quot;00F94DA9&quot;/&gt;&lt;wsp:rsid wsp:val=&quot;00F95301&quot;/&gt;&lt;wsp:rsid wsp:val=&quot;00F95761&quot;/&gt;&lt;wsp:rsid wsp:val=&quot;00F97515&quot;/&gt;&lt;wsp:rsid wsp:val=&quot;00F97C6C&quot;/&gt;&lt;wsp:rsid wsp:val=&quot;00FA0A58&quot;/&gt;&lt;wsp:rsid wsp:val=&quot;00FA0E12&quot;/&gt;&lt;wsp:rsid wsp:val=&quot;00FA170B&quot;/&gt;&lt;wsp:rsid wsp:val=&quot;00FA2033&quot;/&gt;&lt;wsp:rsid wsp:val=&quot;00FA23CC&quot;/&gt;&lt;wsp:rsid wsp:val=&quot;00FA4842&quot;/&gt;&lt;wsp:rsid wsp:val=&quot;00FA4890&quot;/&gt;&lt;wsp:rsid wsp:val=&quot;00FA52E7&quot;/&gt;&lt;wsp:rsid wsp:val=&quot;00FA6899&quot;/&gt;&lt;wsp:rsid wsp:val=&quot;00FB048B&quot;/&gt;&lt;wsp:rsid wsp:val=&quot;00FB053B&quot;/&gt;&lt;wsp:rsid wsp:val=&quot;00FB05C1&quot;/&gt;&lt;wsp:rsid wsp:val=&quot;00FB21F2&quot;/&gt;&lt;wsp:rsid wsp:val=&quot;00FB2213&quot;/&gt;&lt;wsp:rsid wsp:val=&quot;00FB23C6&quot;/&gt;&lt;wsp:rsid wsp:val=&quot;00FB265D&quot;/&gt;&lt;wsp:rsid wsp:val=&quot;00FB28A6&quot;/&gt;&lt;wsp:rsid wsp:val=&quot;00FB3619&quot;/&gt;&lt;wsp:rsid wsp:val=&quot;00FB4572&quot;/&gt;&lt;wsp:rsid wsp:val=&quot;00FB49D7&quot;/&gt;&lt;wsp:rsid wsp:val=&quot;00FB4E33&quot;/&gt;&lt;wsp:rsid wsp:val=&quot;00FC1904&quot;/&gt;&lt;wsp:rsid wsp:val=&quot;00FC5359&quot;/&gt;&lt;wsp:rsid wsp:val=&quot;00FC55E9&quot;/&gt;&lt;wsp:rsid wsp:val=&quot;00FC5D52&quot;/&gt;&lt;wsp:rsid wsp:val=&quot;00FC5EF7&quot;/&gt;&lt;wsp:rsid wsp:val=&quot;00FC6152&quot;/&gt;&lt;wsp:rsid wsp:val=&quot;00FC6C3B&quot;/&gt;&lt;wsp:rsid wsp:val=&quot;00FD14DA&quot;/&gt;&lt;wsp:rsid wsp:val=&quot;00FD18AF&quot;/&gt;&lt;wsp:rsid wsp:val=&quot;00FD39DA&quot;/&gt;&lt;wsp:rsid wsp:val=&quot;00FD5675&quot;/&gt;&lt;wsp:rsid wsp:val=&quot;00FD612D&quot;/&gt;&lt;wsp:rsid wsp:val=&quot;00FD7E49&quot;/&gt;&lt;wsp:rsid wsp:val=&quot;00FE0A6E&quot;/&gt;&lt;wsp:rsid wsp:val=&quot;00FE101A&quot;/&gt;&lt;wsp:rsid wsp:val=&quot;00FE1A6F&quot;/&gt;&lt;wsp:rsid wsp:val=&quot;00FE1CF8&quot;/&gt;&lt;wsp:rsid wsp:val=&quot;00FE1EEB&quot;/&gt;&lt;wsp:rsid wsp:val=&quot;00FE29B7&quot;/&gt;&lt;wsp:rsid wsp:val=&quot;00FE43D7&quot;/&gt;&lt;wsp:rsid wsp:val=&quot;00FE4E18&quot;/&gt;&lt;wsp:rsid wsp:val=&quot;00FE5919&quot;/&gt;&lt;wsp:rsid wsp:val=&quot;00FE5CD3&quot;/&gt;&lt;wsp:rsid wsp:val=&quot;00FE65DB&quot;/&gt;&lt;wsp:rsid wsp:val=&quot;00FE6B26&quot;/&gt;&lt;wsp:rsid wsp:val=&quot;00FE6BA8&quot;/&gt;&lt;wsp:rsid wsp:val=&quot;00FE7CE8&quot;/&gt;&lt;wsp:rsid wsp:val=&quot;00FF1A0E&quot;/&gt;&lt;wsp:rsid wsp:val=&quot;00FF251F&quot;/&gt;&lt;wsp:rsid wsp:val=&quot;00FF3326&quot;/&gt;&lt;wsp:rsid wsp:val=&quot;00FF33CF&quot;/&gt;&lt;wsp:rsid wsp:val=&quot;00FF3A0A&quot;/&gt;&lt;wsp:rsid wsp:val=&quot;00FF3AB7&quot;/&gt;&lt;wsp:rsid wsp:val=&quot;00FF4187&quot;/&gt;&lt;wsp:rsid wsp:val=&quot;00FF4286&quot;/&gt;&lt;wsp:rsid wsp:val=&quot;00FF4AAE&quot;/&gt;&lt;wsp:rsid wsp:val=&quot;00FF512C&quot;/&gt;&lt;wsp:rsid wsp:val=&quot;00FF53EB&quot;/&gt;&lt;wsp:rsid wsp:val=&quot;00FF5D00&quot;/&gt;&lt;wsp:rsid wsp:val=&quot;00FF5F05&quot;/&gt;&lt;wsp:rsid wsp:val=&quot;00FF5F1D&quot;/&gt;&lt;wsp:rsid wsp:val=&quot;00FF663C&quot;/&gt;&lt;wsp:rsid wsp:val=&quot;00FF7309&quot;/&gt;&lt;wsp:rsid wsp:val=&quot;030931FD&quot;/&gt;&lt;wsp:rsid wsp:val=&quot;037974F2&quot;/&gt;&lt;wsp:rsid wsp:val=&quot;051E25B2&quot;/&gt;&lt;wsp:rsid wsp:val=&quot;0EB14497&quot;/&gt;&lt;wsp:rsid wsp:val=&quot;0F236E73&quot;/&gt;&lt;wsp:rsid wsp:val=&quot;10E723F2&quot;/&gt;&lt;wsp:rsid wsp:val=&quot;13AE5449&quot;/&gt;&lt;wsp:rsid wsp:val=&quot;177C760C&quot;/&gt;&lt;wsp:rsid wsp:val=&quot;1BF9747E&quot;/&gt;&lt;wsp:rsid wsp:val=&quot;1D1F573D&quot;/&gt;&lt;wsp:rsid wsp:val=&quot;23952182&quot;/&gt;&lt;wsp:rsid wsp:val=&quot;25714529&quot;/&gt;&lt;wsp:rsid wsp:val=&quot;280F7A39&quot;/&gt;&lt;wsp:rsid wsp:val=&quot;2AAD2F10&quot;/&gt;&lt;wsp:rsid wsp:val=&quot;2FEC4ED7&quot;/&gt;&lt;wsp:rsid wsp:val=&quot;325E7BE3&quot;/&gt;&lt;wsp:rsid wsp:val=&quot;38CF3B11&quot;/&gt;&lt;wsp:rsid wsp:val=&quot;397D1296&quot;/&gt;&lt;wsp:rsid wsp:val=&quot;3CCB6FD9&quot;/&gt;&lt;wsp:rsid wsp:val=&quot;46696E2A&quot;/&gt;&lt;wsp:rsid wsp:val=&quot;48CF77AC&quot;/&gt;&lt;wsp:rsid wsp:val=&quot;4ED71F51&quot;/&gt;&lt;wsp:rsid wsp:val=&quot;51E63A25&quot;/&gt;&lt;wsp:rsid wsp:val=&quot;580469B3&quot;/&gt;&lt;wsp:rsid wsp:val=&quot;581D7A74&quot;/&gt;&lt;wsp:rsid wsp:val=&quot;5D7A3AAC&quot;/&gt;&lt;wsp:rsid wsp:val=&quot;614B5652&quot;/&gt;&lt;wsp:rsid wsp:val=&quot;64333201&quot;/&gt;&lt;wsp:rsid wsp:val=&quot;644B5969&quot;/&gt;&lt;wsp:rsid wsp:val=&quot;68442DFB&quot;/&gt;&lt;wsp:rsid wsp:val=&quot;70952446&quot;/&gt;&lt;wsp:rsid wsp:val=&quot;7150715F&quot;/&gt;&lt;wsp:rsid wsp:val=&quot;73ED07EB&quot;/&gt;&lt;wsp:rsid wsp:val=&quot;76CF3FCD&quot;/&gt;&lt;wsp:rsid wsp:val=&quot;7D6A5228&quot;/&gt;&lt;wsp:rsid wsp:val=&quot;7ED92098&quot;/&gt;&lt;wsp:rsid wsp:val=&quot;7F224485&quot;/&gt;&lt;/wsp:rsids&gt;&lt;/w:docPr&gt;&lt;w:body&gt;&lt;wx:sect&gt;&lt;w:p wsp:rsidR=&quot;00000000&quot; wsp:rsidRDefault=&quot;00A06206&quot; wsp:rsidP=&quot;00A06206&quot;&gt;&lt;w:pPr&gt;&lt;w:ind w:first-line=&quot;560&quot;/&gt;&lt;/w:pPr&gt;&lt;m:oMathPara&gt;&lt;m:oMath&gt;&lt;m:sSub&gt;&lt;m:sSubPr&gt;&lt;m:ctrlPr&gt;&lt;w:rPr&gt;&lt;w:rFonts w:ascii=&quot;Cambria Math&quot; w:h-ansi=&quot;Cambria Math&quot;/&gt;&lt;wx:font wx:val=&quot;Cambria Math&quot;/&gt;&lt;w:i/&gt;&lt;w:color w:val=&quot;000000&quot;/&gt;&lt;w:sz-cs w:val=&quot;28&quot;/&gt;&lt;/w:rPr&gt;&lt;/m:ctrlPr&gt;&lt;/m:sSubPr&gt;&lt;m:e&gt;&lt;m:r&gt;&lt;m:rPr&gt;&lt;m:scr m:val=&quot;double-struck&quot;/&gt;&lt;/m:rPr&gt;&lt;w:rPr&gt;&lt;w:rFonts w:ascii=&quot;Cambria Math&quot; w:h-ansi=&quot;Cambria Math&quot;/&gt;&lt;wx:font wx:val=&quot;Cambria Math&quot;/&gt;&lt;w:i/&gt;&lt;w:color w:val=&quot;000000&quot;/&gt;&lt;w:sz-cs w:val=&quot;28&quot;/&gt;&lt;/w:rPr&gt;&lt;m:t&gt;E&lt;/m:t&gt;&lt;/m:r&gt;&lt;/m:e&gt;&lt;m:sub&gt;&lt;m:r&gt;&lt;w:rPr&gt;&lt;w:rFonts w:ascii=&quot;Cambria Math&quot; w:h-ansi=&quot;Cambria Math&quot;/&gt;&lt;wx:font wx:val=&quot;Cambria Math&quot;/&gt;&lt;w:i/&gt;&lt;w:color w:val=&quot;000000&quot;/&gt;&lt;w:sz-cs w:val=&quot;28&quot;/&gt;&lt;/w:rPr&gt;&lt;m:t&gt;A&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74" chromakey="#FFFFFF" o:title=""/>
            <o:lock v:ext="edit" aspectratio="t"/>
            <w10:wrap type="none"/>
            <w10:anchorlock/>
          </v:shape>
        </w:pict>
      </w:r>
      <w:r>
        <w:rPr>
          <w:color w:val="000000"/>
          <w:szCs w:val="28"/>
        </w:rPr>
        <w:fldChar w:fldCharType="end"/>
      </w:r>
      <w:r>
        <w:rPr>
          <w:color w:val="000000"/>
          <w:szCs w:val="28"/>
        </w:rPr>
        <w:t>则是模型A的期望胜率。通过这种机制，Elo评分体系能够根据模型之间的相对性能优劣进行动态调整，从而得到一个基于成对比较评分的大语言模型排名。</w:t>
      </w:r>
    </w:p>
    <w:p>
      <w:pPr>
        <w:pStyle w:val="112"/>
        <w:ind w:firstLine="562"/>
        <w:rPr>
          <w:b/>
        </w:rPr>
      </w:pPr>
      <w:r>
        <w:rPr>
          <w:b/>
        </w:rPr>
        <w:t>2、音频大模型评价指标</w:t>
      </w:r>
    </w:p>
    <w:p>
      <w:pPr>
        <w:ind w:firstLine="560"/>
      </w:pPr>
      <w:r>
        <w:t>常用于评价音频大模型的主要指标包括以下几个方面：</w:t>
      </w:r>
    </w:p>
    <w:p>
      <w:pPr>
        <w:pStyle w:val="144"/>
        <w:numPr>
          <w:ilvl w:val="0"/>
          <w:numId w:val="32"/>
        </w:numPr>
        <w:ind w:left="1127" w:firstLineChars="0"/>
        <w:rPr>
          <w:color w:val="000000"/>
        </w:rPr>
      </w:pPr>
      <w:r>
        <w:rPr>
          <w:b/>
          <w:bCs/>
          <w:color w:val="000000"/>
        </w:rPr>
        <w:t>特征区分度</w:t>
      </w:r>
      <w:r>
        <w:rPr>
          <w:color w:val="000000"/>
        </w:rPr>
        <w:t>。音频大模型需要具备较强的特征区分能力，能够识别不同语音特征如重音、语调等，充分体现语音的丰富性和多样性。</w:t>
      </w:r>
    </w:p>
    <w:p>
      <w:pPr>
        <w:pStyle w:val="144"/>
        <w:numPr>
          <w:ilvl w:val="0"/>
          <w:numId w:val="32"/>
        </w:numPr>
        <w:ind w:left="1127" w:firstLineChars="0"/>
        <w:rPr>
          <w:color w:val="000000"/>
        </w:rPr>
      </w:pPr>
      <w:r>
        <w:rPr>
          <w:b/>
          <w:bCs/>
          <w:color w:val="000000"/>
        </w:rPr>
        <w:t>词错误率（WER）</w:t>
      </w:r>
      <w:r>
        <w:rPr>
          <w:color w:val="000000"/>
        </w:rPr>
        <w:t>是语音识别的“事实上的”指标。它在词级别上计算替换、插入和删除错误，即错误是逐词标注的。</w:t>
      </w:r>
    </w:p>
    <w:p>
      <w:pPr>
        <w:ind w:firstLine="560"/>
        <w:jc w:val="center"/>
      </w:pPr>
      <w:r>
        <w:drawing>
          <wp:inline distT="0" distB="0" distL="114300" distR="114300">
            <wp:extent cx="1549400" cy="643255"/>
            <wp:effectExtent l="0" t="0" r="12700" b="0"/>
            <wp:docPr id="22"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0"/>
                    <pic:cNvPicPr>
                      <a:picLocks noChangeAspect="1"/>
                    </pic:cNvPicPr>
                  </pic:nvPicPr>
                  <pic:blipFill>
                    <a:blip r:embed="rId75">
                      <a:clrChange>
                        <a:clrFrom>
                          <a:srgbClr val="FFFFFF"/>
                        </a:clrFrom>
                        <a:clrTo>
                          <a:srgbClr val="FFFFFF">
                            <a:alpha val="0"/>
                          </a:srgbClr>
                        </a:clrTo>
                      </a:clrChange>
                    </a:blip>
                    <a:stretch>
                      <a:fillRect/>
                    </a:stretch>
                  </pic:blipFill>
                  <pic:spPr>
                    <a:xfrm>
                      <a:off x="0" y="0"/>
                      <a:ext cx="1549400" cy="643255"/>
                    </a:xfrm>
                    <a:prstGeom prst="rect">
                      <a:avLst/>
                    </a:prstGeom>
                    <a:noFill/>
                    <a:ln>
                      <a:noFill/>
                    </a:ln>
                  </pic:spPr>
                </pic:pic>
              </a:graphicData>
            </a:graphic>
          </wp:inline>
        </w:drawing>
      </w:r>
    </w:p>
    <w:p>
      <w:pPr>
        <w:pStyle w:val="144"/>
        <w:ind w:left="560" w:firstLine="0" w:firstLineChars="0"/>
        <w:rPr>
          <w:color w:val="000000"/>
        </w:rPr>
      </w:pPr>
      <w:r>
        <w:rPr>
          <w:color w:val="000000"/>
        </w:rPr>
        <w:t>由于WER是错误与单词数（N）的比率。</w:t>
      </w:r>
    </w:p>
    <w:p>
      <w:pPr>
        <w:pStyle w:val="144"/>
        <w:numPr>
          <w:ilvl w:val="0"/>
          <w:numId w:val="32"/>
        </w:numPr>
        <w:ind w:left="1127" w:firstLineChars="0"/>
        <w:rPr>
          <w:color w:val="000000"/>
        </w:rPr>
      </w:pPr>
      <w:r>
        <w:rPr>
          <w:b/>
          <w:bCs/>
          <w:color w:val="000000"/>
        </w:rPr>
        <w:t>词准确率WAcc</w:t>
      </w:r>
      <w:r>
        <w:rPr>
          <w:color w:val="000000"/>
        </w:rPr>
        <w:t>也是在词级别上测量的，是将WER重新表述为准确率指标，而不是错误率指标。</w:t>
      </w:r>
    </w:p>
    <w:p>
      <w:pPr>
        <w:ind w:firstLine="560"/>
        <w:jc w:val="center"/>
      </w:pPr>
      <m:oMathPara>
        <m:oMath>
          <m:r>
            <m:rPr/>
            <w:rPr>
              <w:rFonts w:ascii="Cambria Math" w:hAnsi="Cambria Math"/>
            </w:rPr>
            <m:t>WAcc</m:t>
          </m:r>
          <m:r>
            <m:rPr>
              <m:sty m:val="p"/>
            </m:rPr>
            <w:rPr>
              <w:rFonts w:ascii="Cambria Math" w:hAnsi="Cambria Math"/>
            </w:rPr>
            <m:t>=1−</m:t>
          </m:r>
          <m:r>
            <m:rPr/>
            <w:rPr>
              <w:rFonts w:ascii="Cambria Math" w:hAnsi="Cambria Math"/>
            </w:rPr>
            <m:t>WER</m:t>
          </m:r>
        </m:oMath>
      </m:oMathPara>
    </w:p>
    <w:p>
      <w:pPr>
        <w:pStyle w:val="144"/>
        <w:numPr>
          <w:ilvl w:val="0"/>
          <w:numId w:val="32"/>
        </w:numPr>
        <w:ind w:left="1127" w:firstLineChars="0"/>
        <w:rPr>
          <w:color w:val="000000"/>
        </w:rPr>
      </w:pPr>
      <w:r>
        <w:rPr>
          <w:b/>
          <w:bCs/>
          <w:color w:val="000000"/>
        </w:rPr>
        <w:t>字符错误率（CER）</w:t>
      </w:r>
      <w:r>
        <w:rPr>
          <w:color w:val="000000"/>
        </w:rPr>
        <w:t>与词错误率类似，不同点是在字符级别上评估系统。</w:t>
      </w:r>
    </w:p>
    <w:p>
      <w:pPr>
        <w:ind w:firstLine="560"/>
        <w:jc w:val="center"/>
      </w:pPr>
      <w:r>
        <w:drawing>
          <wp:inline distT="0" distB="0" distL="114300" distR="114300">
            <wp:extent cx="1464945" cy="643255"/>
            <wp:effectExtent l="0" t="0" r="1905" b="0"/>
            <wp:docPr id="23"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2"/>
                    <pic:cNvPicPr>
                      <a:picLocks noChangeAspect="1"/>
                    </pic:cNvPicPr>
                  </pic:nvPicPr>
                  <pic:blipFill>
                    <a:blip r:embed="rId76">
                      <a:clrChange>
                        <a:clrFrom>
                          <a:srgbClr val="FFFFFF"/>
                        </a:clrFrom>
                        <a:clrTo>
                          <a:srgbClr val="FFFFFF">
                            <a:alpha val="0"/>
                          </a:srgbClr>
                        </a:clrTo>
                      </a:clrChange>
                    </a:blip>
                    <a:stretch>
                      <a:fillRect/>
                    </a:stretch>
                  </pic:blipFill>
                  <pic:spPr>
                    <a:xfrm>
                      <a:off x="0" y="0"/>
                      <a:ext cx="1464945" cy="643255"/>
                    </a:xfrm>
                    <a:prstGeom prst="rect">
                      <a:avLst/>
                    </a:prstGeom>
                    <a:noFill/>
                    <a:ln>
                      <a:noFill/>
                    </a:ln>
                  </pic:spPr>
                </pic:pic>
              </a:graphicData>
            </a:graphic>
          </wp:inline>
        </w:drawing>
      </w:r>
    </w:p>
    <w:p>
      <w:pPr>
        <w:pStyle w:val="144"/>
        <w:ind w:left="560" w:firstLine="0" w:firstLineChars="0"/>
        <w:rPr>
          <w:color w:val="000000"/>
        </w:rPr>
      </w:pPr>
      <w:r>
        <w:rPr>
          <w:color w:val="000000"/>
        </w:rPr>
        <w:t>一般来说，WER比CER更多地用于评估语音系统，因为WER要求系统对预测的上下文有更深入的理解。但是在汉语中，没有“单词（word）”的概念，因此在中文评测中一般使用CER。</w:t>
      </w:r>
    </w:p>
    <w:p>
      <w:pPr>
        <w:pStyle w:val="112"/>
        <w:ind w:firstLine="562"/>
        <w:rPr>
          <w:b/>
        </w:rPr>
      </w:pPr>
      <w:r>
        <w:rPr>
          <w:b/>
        </w:rPr>
        <w:t>3、通用视觉大模型评价指标</w:t>
      </w:r>
    </w:p>
    <w:p>
      <w:pPr>
        <w:ind w:firstLine="420" w:firstLineChars="150"/>
        <w:rPr>
          <w:color w:val="000000"/>
        </w:rPr>
      </w:pPr>
      <w:r>
        <w:rPr>
          <w:color w:val="000000"/>
        </w:rPr>
        <w:t>对于评估通用视觉大模型的性能，常用的评价指标包括：</w:t>
      </w:r>
    </w:p>
    <w:p>
      <w:pPr>
        <w:numPr>
          <w:ilvl w:val="0"/>
          <w:numId w:val="34"/>
        </w:numPr>
        <w:ind w:left="420" w:leftChars="0" w:firstLine="420" w:firstLineChars="150"/>
        <w:rPr>
          <w:color w:val="000000"/>
        </w:rPr>
      </w:pPr>
      <w:r>
        <w:rPr>
          <w:rFonts w:hint="default"/>
          <w:color w:val="000000"/>
        </w:rPr>
        <w:t>图像分类与属性识别</w:t>
      </w:r>
    </w:p>
    <w:p>
      <w:pPr>
        <w:widowControl w:val="0"/>
        <w:numPr>
          <w:ilvl w:val="0"/>
          <w:numId w:val="35"/>
        </w:numPr>
        <w:adjustRightInd w:val="0"/>
        <w:snapToGrid w:val="0"/>
        <w:spacing w:line="360" w:lineRule="auto"/>
        <w:ind w:left="1260" w:leftChars="0" w:hanging="420" w:firstLineChars="0"/>
        <w:jc w:val="both"/>
        <w:rPr>
          <w:color w:val="000000"/>
        </w:rPr>
      </w:pPr>
      <w:r>
        <w:rPr>
          <w:rFonts w:hint="default"/>
          <w:color w:val="000000"/>
        </w:rPr>
        <w:t>Accuracy / Top-K Accuracy</w:t>
      </w:r>
    </w:p>
    <w:p>
      <w:pPr>
        <w:widowControl w:val="0"/>
        <w:numPr>
          <w:ilvl w:val="0"/>
          <w:numId w:val="35"/>
        </w:numPr>
        <w:adjustRightInd w:val="0"/>
        <w:snapToGrid w:val="0"/>
        <w:spacing w:line="360" w:lineRule="auto"/>
        <w:ind w:left="1260" w:leftChars="0" w:hanging="420" w:firstLineChars="0"/>
        <w:jc w:val="both"/>
        <w:rPr>
          <w:color w:val="000000"/>
        </w:rPr>
      </w:pPr>
      <w:r>
        <w:rPr>
          <w:rFonts w:hint="default"/>
          <w:color w:val="000000"/>
        </w:rPr>
        <w:t>Precision / Recall / F1-score</w:t>
      </w:r>
    </w:p>
    <w:p>
      <w:pPr>
        <w:numPr>
          <w:ilvl w:val="0"/>
          <w:numId w:val="34"/>
        </w:numPr>
        <w:ind w:left="420" w:leftChars="0" w:firstLine="420" w:firstLineChars="150"/>
        <w:rPr>
          <w:color w:val="000000"/>
        </w:rPr>
      </w:pPr>
      <w:r>
        <w:rPr>
          <w:rFonts w:hint="default"/>
          <w:color w:val="000000"/>
        </w:rPr>
        <w:t>目标检测</w:t>
      </w:r>
    </w:p>
    <w:p>
      <w:pPr>
        <w:widowControl w:val="0"/>
        <w:numPr>
          <w:ilvl w:val="0"/>
          <w:numId w:val="36"/>
        </w:numPr>
        <w:adjustRightInd w:val="0"/>
        <w:snapToGrid w:val="0"/>
        <w:spacing w:line="360" w:lineRule="auto"/>
        <w:ind w:left="1260" w:leftChars="0" w:hanging="420" w:firstLineChars="0"/>
        <w:jc w:val="both"/>
        <w:rPr>
          <w:color w:val="000000"/>
        </w:rPr>
      </w:pPr>
      <w:r>
        <w:rPr>
          <w:rFonts w:hint="default"/>
          <w:color w:val="000000"/>
        </w:rPr>
        <w:t>mAP（mean Average Precision）</w:t>
      </w:r>
    </w:p>
    <w:p>
      <w:pPr>
        <w:numPr>
          <w:ilvl w:val="0"/>
          <w:numId w:val="34"/>
        </w:numPr>
        <w:ind w:left="420" w:leftChars="0" w:firstLine="420" w:firstLineChars="150"/>
        <w:rPr>
          <w:color w:val="000000"/>
        </w:rPr>
      </w:pPr>
      <w:r>
        <w:rPr>
          <w:rFonts w:hint="default"/>
          <w:color w:val="000000"/>
        </w:rPr>
        <w:t>图像分割</w:t>
      </w:r>
    </w:p>
    <w:p>
      <w:pPr>
        <w:widowControl w:val="0"/>
        <w:numPr>
          <w:ilvl w:val="0"/>
          <w:numId w:val="37"/>
        </w:numPr>
        <w:adjustRightInd w:val="0"/>
        <w:snapToGrid w:val="0"/>
        <w:spacing w:line="360" w:lineRule="auto"/>
        <w:ind w:left="1260" w:leftChars="0" w:hanging="420" w:firstLineChars="0"/>
        <w:jc w:val="both"/>
        <w:rPr>
          <w:rFonts w:hint="default"/>
          <w:color w:val="000000"/>
        </w:rPr>
      </w:pPr>
      <w:r>
        <w:rPr>
          <w:rFonts w:hint="default"/>
          <w:color w:val="000000"/>
        </w:rPr>
        <w:t>mIoU</w:t>
      </w:r>
    </w:p>
    <w:p>
      <w:pPr>
        <w:widowControl w:val="0"/>
        <w:numPr>
          <w:ilvl w:val="0"/>
          <w:numId w:val="38"/>
        </w:numPr>
        <w:adjustRightInd w:val="0"/>
        <w:snapToGrid w:val="0"/>
        <w:spacing w:line="360" w:lineRule="auto"/>
        <w:ind w:left="0" w:leftChars="0" w:firstLine="560" w:firstLineChars="200"/>
        <w:jc w:val="both"/>
        <w:rPr>
          <w:rFonts w:hint="default"/>
          <w:color w:val="000000"/>
          <w:lang w:val="en-US" w:eastAsia="zh-CN"/>
        </w:rPr>
      </w:pPr>
    </w:p>
    <w:p>
      <w:pPr>
        <w:widowControl w:val="0"/>
        <w:numPr>
          <w:ilvl w:val="0"/>
          <w:numId w:val="37"/>
        </w:numPr>
        <w:adjustRightInd w:val="0"/>
        <w:snapToGrid w:val="0"/>
        <w:spacing w:line="360" w:lineRule="auto"/>
        <w:ind w:left="1260" w:leftChars="0" w:hanging="420" w:firstLineChars="0"/>
        <w:jc w:val="both"/>
        <w:rPr>
          <w:rFonts w:hint="default"/>
          <w:color w:val="000000"/>
        </w:rPr>
      </w:pPr>
    </w:p>
    <w:p>
      <w:pPr>
        <w:numPr>
          <w:ilvl w:val="0"/>
          <w:numId w:val="34"/>
        </w:numPr>
        <w:ind w:left="420" w:leftChars="0" w:firstLine="420" w:firstLineChars="150"/>
        <w:rPr>
          <w:rFonts w:hint="default"/>
          <w:color w:val="000000"/>
          <w:lang w:val="en-US" w:eastAsia="zh-CN"/>
        </w:rPr>
      </w:pPr>
      <w:r>
        <w:rPr>
          <w:rFonts w:hint="eastAsia"/>
          <w:color w:val="000000"/>
          <w:lang w:val="en-US" w:eastAsia="zh-CN"/>
        </w:rPr>
        <w:t>图像检索</w:t>
      </w:r>
    </w:p>
    <w:p>
      <w:pPr>
        <w:widowControl w:val="0"/>
        <w:numPr>
          <w:ilvl w:val="0"/>
          <w:numId w:val="39"/>
        </w:numPr>
        <w:adjustRightInd w:val="0"/>
        <w:snapToGrid w:val="0"/>
        <w:spacing w:line="360" w:lineRule="auto"/>
        <w:ind w:left="1260" w:leftChars="0" w:hanging="420" w:firstLineChars="0"/>
        <w:jc w:val="both"/>
        <w:rPr>
          <w:rFonts w:hint="default"/>
          <w:color w:val="000000"/>
          <w:lang w:val="en-US" w:eastAsia="zh-CN"/>
        </w:rPr>
      </w:pPr>
      <w:r>
        <w:rPr>
          <w:rFonts w:hint="default"/>
          <w:color w:val="000000"/>
          <w:lang w:val="en-US" w:eastAsia="zh-CN"/>
        </w:rPr>
        <w:t>Recall@K（R@1 / R@5 / R@10）</w:t>
      </w:r>
    </w:p>
    <w:p>
      <w:pPr>
        <w:widowControl w:val="0"/>
        <w:numPr>
          <w:ilvl w:val="0"/>
          <w:numId w:val="39"/>
        </w:numPr>
        <w:adjustRightInd w:val="0"/>
        <w:snapToGrid w:val="0"/>
        <w:spacing w:line="360" w:lineRule="auto"/>
        <w:ind w:left="1260" w:leftChars="0" w:hanging="420" w:firstLineChars="0"/>
        <w:jc w:val="both"/>
        <w:rPr>
          <w:rFonts w:hint="default"/>
          <w:color w:val="000000"/>
          <w:lang w:val="en-US" w:eastAsia="zh-CN"/>
        </w:rPr>
      </w:pPr>
      <w:r>
        <w:rPr>
          <w:rFonts w:hint="eastAsia"/>
          <w:color w:val="000000"/>
          <w:lang w:val="en-US" w:eastAsia="zh-CN"/>
        </w:rPr>
        <w:t>mAP</w:t>
      </w:r>
    </w:p>
    <w:p>
      <w:pPr>
        <w:pStyle w:val="112"/>
        <w:ind w:firstLine="562"/>
        <w:rPr>
          <w:b/>
        </w:rPr>
      </w:pPr>
      <w:r>
        <w:rPr>
          <w:b/>
        </w:rPr>
        <w:t>4、多模态大模型评价指标</w:t>
      </w:r>
    </w:p>
    <w:p>
      <w:pPr>
        <w:pStyle w:val="112"/>
        <w:ind w:firstLine="560"/>
      </w:pPr>
      <w:r>
        <w:t>设计合理的评价指标对于推动多模态大模型的发展至关重要。一方面，它可以帮助研究人员发现模型的不足之处，从而提出改进策略。另一方面，也能为用户提供多模态大模型能力的参考依据。</w:t>
      </w:r>
    </w:p>
    <w:p>
      <w:pPr>
        <w:pStyle w:val="112"/>
        <w:ind w:firstLine="560"/>
        <w:rPr>
          <w:rFonts w:hint="eastAsia"/>
          <w:color w:val="000000"/>
          <w:lang w:val="en-US" w:eastAsia="zh-CN"/>
        </w:rPr>
      </w:pPr>
      <w:r>
        <w:t>评估多模态大模型的常见指标包括：</w:t>
      </w:r>
    </w:p>
    <w:p>
      <w:pPr>
        <w:pStyle w:val="112"/>
        <w:ind w:firstLine="560"/>
        <w:rPr>
          <w:rFonts w:hint="eastAsia"/>
          <w:color w:val="000000"/>
          <w:lang w:val="en-US" w:eastAsia="zh-CN"/>
        </w:rPr>
      </w:pPr>
    </w:p>
    <w:p>
      <w:pPr>
        <w:pStyle w:val="112"/>
        <w:ind w:firstLine="560"/>
        <w:rPr>
          <w:rFonts w:hint="eastAsia"/>
          <w:color w:val="000000"/>
          <w:lang w:val="en-US" w:eastAsia="zh-CN"/>
        </w:rPr>
      </w:pPr>
    </w:p>
    <w:p>
      <w:pPr>
        <w:pStyle w:val="112"/>
        <w:ind w:firstLine="560"/>
        <w:rPr>
          <w:rFonts w:hint="eastAsia"/>
          <w:color w:val="000000"/>
          <w:lang w:val="en-US" w:eastAsia="zh-CN"/>
        </w:rPr>
      </w:pPr>
    </w:p>
    <w:p>
      <w:pPr>
        <w:pStyle w:val="112"/>
        <w:ind w:firstLine="560"/>
        <w:rPr>
          <w:rFonts w:hint="default"/>
          <w:color w:val="000000"/>
          <w:lang w:eastAsia="zh-CN"/>
        </w:rPr>
      </w:pPr>
      <w:r>
        <w:rPr>
          <w:rFonts w:hint="default"/>
          <w:color w:val="000000"/>
          <w:lang w:eastAsia="zh-CN"/>
        </w:rPr>
        <w:t>(1)</w:t>
      </w:r>
    </w:p>
    <w:p>
      <w:pPr>
        <w:numPr>
          <w:ilvl w:val="0"/>
          <w:numId w:val="40"/>
        </w:numPr>
        <w:ind w:left="420" w:leftChars="0" w:firstLine="420" w:firstLineChars="150"/>
        <w:rPr>
          <w:rFonts w:hint="default"/>
        </w:rPr>
      </w:pPr>
      <w:r>
        <w:rPr>
          <w:rFonts w:hint="default"/>
          <w:color w:val="000000"/>
          <w:lang w:eastAsia="zh-CN"/>
        </w:rPr>
        <w:t>图文</w:t>
      </w:r>
      <w:r>
        <w:rPr>
          <w:rFonts w:hint="default"/>
        </w:rPr>
        <w:t>检索</w:t>
      </w:r>
    </w:p>
    <w:p>
      <w:pPr>
        <w:widowControl w:val="0"/>
        <w:numPr>
          <w:ilvl w:val="0"/>
          <w:numId w:val="39"/>
        </w:numPr>
        <w:adjustRightInd w:val="0"/>
        <w:snapToGrid w:val="0"/>
        <w:spacing w:line="360" w:lineRule="auto"/>
        <w:ind w:left="1260" w:leftChars="0" w:hanging="420" w:firstLineChars="0"/>
        <w:jc w:val="both"/>
        <w:rPr>
          <w:rFonts w:hint="default"/>
          <w:color w:val="000000"/>
          <w:lang w:val="en-US" w:eastAsia="zh-CN"/>
        </w:rPr>
      </w:pPr>
      <w:r>
        <w:rPr>
          <w:rFonts w:hint="default"/>
          <w:color w:val="000000"/>
          <w:lang w:val="en-US" w:eastAsia="zh-CN"/>
        </w:rPr>
        <w:t>Recall@K（R@1 / R@5 / R@10）</w:t>
      </w:r>
    </w:p>
    <w:p>
      <w:pPr>
        <w:widowControl w:val="0"/>
        <w:numPr>
          <w:ilvl w:val="0"/>
          <w:numId w:val="39"/>
        </w:numPr>
        <w:adjustRightInd w:val="0"/>
        <w:snapToGrid w:val="0"/>
        <w:spacing w:line="360" w:lineRule="auto"/>
        <w:ind w:left="1260" w:leftChars="0" w:hanging="420" w:firstLineChars="0"/>
        <w:jc w:val="both"/>
        <w:rPr>
          <w:rFonts w:hint="default"/>
        </w:rPr>
      </w:pPr>
      <w:r>
        <w:rPr>
          <w:rFonts w:hint="eastAsia"/>
          <w:color w:val="000000"/>
          <w:lang w:val="en-US" w:eastAsia="zh-CN"/>
        </w:rPr>
        <w:t>mAP</w:t>
      </w:r>
    </w:p>
    <w:p>
      <w:pPr>
        <w:numPr>
          <w:ilvl w:val="0"/>
          <w:numId w:val="40"/>
        </w:numPr>
        <w:ind w:left="420" w:leftChars="0" w:firstLine="420" w:firstLineChars="150"/>
        <w:rPr>
          <w:rFonts w:hint="default"/>
        </w:rPr>
      </w:pPr>
      <w:r>
        <w:rPr>
          <w:rFonts w:hint="default"/>
        </w:rPr>
        <w:t>视觉问答</w:t>
      </w:r>
    </w:p>
    <w:p>
      <w:pPr>
        <w:numPr>
          <w:ilvl w:val="0"/>
          <w:numId w:val="41"/>
        </w:numPr>
        <w:ind w:left="1260" w:leftChars="0" w:hanging="420" w:firstLineChars="0"/>
        <w:rPr>
          <w:rFonts w:hint="default"/>
        </w:rPr>
      </w:pPr>
      <w:r>
        <w:rPr>
          <w:rFonts w:hint="default"/>
        </w:rPr>
        <w:t>VQA Accuracy</w:t>
      </w:r>
    </w:p>
    <w:p>
      <w:pPr>
        <w:numPr>
          <w:ilvl w:val="0"/>
          <w:numId w:val="41"/>
        </w:numPr>
        <w:ind w:left="1260" w:leftChars="0" w:hanging="420" w:firstLineChars="0"/>
        <w:rPr>
          <w:rFonts w:hint="default"/>
        </w:rPr>
      </w:pPr>
      <w:r>
        <w:rPr>
          <w:rFonts w:hint="default"/>
        </w:rPr>
        <w:t>Soft Accuracy</w:t>
      </w:r>
    </w:p>
    <w:p>
      <w:pPr>
        <w:numPr>
          <w:ilvl w:val="0"/>
          <w:numId w:val="40"/>
        </w:numPr>
        <w:ind w:left="420" w:leftChars="0" w:firstLine="420" w:firstLineChars="150"/>
        <w:rPr>
          <w:rFonts w:hint="default"/>
        </w:rPr>
      </w:pPr>
      <w:r>
        <w:rPr>
          <w:rFonts w:hint="default"/>
        </w:rPr>
        <w:t>多模态推理</w:t>
      </w:r>
    </w:p>
    <w:p>
      <w:pPr>
        <w:widowControl w:val="0"/>
        <w:numPr>
          <w:ilvl w:val="0"/>
          <w:numId w:val="42"/>
        </w:numPr>
        <w:adjustRightInd w:val="0"/>
        <w:snapToGrid w:val="0"/>
        <w:spacing w:line="360" w:lineRule="auto"/>
        <w:ind w:left="1260" w:leftChars="0" w:hanging="420" w:firstLineChars="0"/>
        <w:jc w:val="both"/>
        <w:rPr>
          <w:rFonts w:hint="default"/>
        </w:rPr>
      </w:pPr>
      <w:r>
        <w:rPr>
          <w:rFonts w:hint="default"/>
        </w:rPr>
        <w:t>Accuracy / EM / F1</w:t>
      </w:r>
    </w:p>
    <w:p>
      <w:pPr>
        <w:widowControl w:val="0"/>
        <w:numPr>
          <w:ilvl w:val="0"/>
          <w:numId w:val="42"/>
        </w:numPr>
        <w:adjustRightInd w:val="0"/>
        <w:snapToGrid w:val="0"/>
        <w:spacing w:line="360" w:lineRule="auto"/>
        <w:ind w:left="1260" w:leftChars="0" w:hanging="420" w:firstLineChars="0"/>
        <w:jc w:val="both"/>
        <w:rPr>
          <w:rFonts w:hint="default"/>
        </w:rPr>
      </w:pPr>
      <w:r>
        <w:rPr>
          <w:rFonts w:hint="default"/>
        </w:rPr>
        <w:t>Step Consistency</w:t>
      </w:r>
    </w:p>
    <w:p>
      <w:pPr>
        <w:numPr>
          <w:ilvl w:val="0"/>
          <w:numId w:val="40"/>
        </w:numPr>
        <w:ind w:left="420" w:leftChars="0" w:firstLine="420" w:firstLineChars="150"/>
        <w:rPr>
          <w:rFonts w:hint="default"/>
        </w:rPr>
      </w:pPr>
      <w:r>
        <w:rPr>
          <w:rFonts w:hint="default"/>
        </w:rPr>
        <w:t>图像描述</w:t>
      </w:r>
    </w:p>
    <w:p>
      <w:pPr>
        <w:numPr>
          <w:ilvl w:val="0"/>
          <w:numId w:val="43"/>
        </w:numPr>
        <w:ind w:left="1260" w:leftChars="0" w:hanging="420" w:firstLineChars="0"/>
        <w:rPr>
          <w:rFonts w:hint="default"/>
        </w:rPr>
      </w:pPr>
      <w:r>
        <w:rPr>
          <w:rFonts w:hint="default"/>
        </w:rPr>
        <w:t>BLEU</w:t>
      </w:r>
    </w:p>
    <w:p>
      <w:pPr>
        <w:numPr>
          <w:ilvl w:val="0"/>
          <w:numId w:val="43"/>
        </w:numPr>
        <w:ind w:left="1260" w:leftChars="0" w:hanging="420" w:firstLineChars="0"/>
        <w:rPr>
          <w:rFonts w:hint="default"/>
        </w:rPr>
      </w:pPr>
      <w:r>
        <w:rPr>
          <w:rFonts w:hint="default"/>
        </w:rPr>
        <w:t>ROUGE</w:t>
      </w:r>
    </w:p>
    <w:p>
      <w:pPr>
        <w:numPr>
          <w:ilvl w:val="0"/>
          <w:numId w:val="43"/>
        </w:numPr>
        <w:ind w:left="1260" w:leftChars="0" w:hanging="420" w:firstLineChars="0"/>
        <w:rPr>
          <w:rFonts w:hint="default"/>
        </w:rPr>
      </w:pPr>
      <w:r>
        <w:rPr>
          <w:rFonts w:hint="default"/>
        </w:rPr>
        <w:t>CIDEr</w:t>
      </w:r>
    </w:p>
    <w:p>
      <w:pPr>
        <w:numPr>
          <w:ilvl w:val="0"/>
          <w:numId w:val="43"/>
        </w:numPr>
        <w:ind w:left="1260" w:leftChars="0" w:hanging="420" w:firstLineChars="0"/>
        <w:rPr>
          <w:rFonts w:hint="default"/>
        </w:rPr>
      </w:pPr>
      <w:r>
        <w:rPr>
          <w:rFonts w:hint="default"/>
        </w:rPr>
        <w:t>SPICE</w:t>
      </w:r>
    </w:p>
    <w:p>
      <w:pPr>
        <w:numPr>
          <w:ilvl w:val="0"/>
          <w:numId w:val="40"/>
        </w:numPr>
        <w:ind w:left="420" w:leftChars="0" w:firstLine="420" w:firstLineChars="150"/>
        <w:rPr>
          <w:rFonts w:hint="default"/>
        </w:rPr>
      </w:pPr>
      <w:r>
        <w:rPr>
          <w:rFonts w:hint="default"/>
        </w:rPr>
        <w:t>视觉对话</w:t>
      </w:r>
    </w:p>
    <w:p>
      <w:pPr>
        <w:numPr>
          <w:ilvl w:val="0"/>
          <w:numId w:val="44"/>
        </w:numPr>
        <w:ind w:left="1260" w:leftChars="0" w:hanging="420" w:firstLineChars="0"/>
        <w:rPr>
          <w:rFonts w:hint="default"/>
        </w:rPr>
      </w:pPr>
      <w:r>
        <w:rPr>
          <w:rFonts w:hint="default"/>
        </w:rPr>
        <w:t>MRR</w:t>
      </w:r>
    </w:p>
    <w:p>
      <w:pPr>
        <w:numPr>
          <w:ilvl w:val="0"/>
          <w:numId w:val="44"/>
        </w:numPr>
        <w:ind w:left="1260" w:leftChars="0" w:hanging="420" w:firstLineChars="0"/>
        <w:rPr>
          <w:rFonts w:hint="default"/>
        </w:rPr>
      </w:pPr>
      <w:r>
        <w:rPr>
          <w:rFonts w:hint="default"/>
        </w:rPr>
        <w:t>Recall@K</w:t>
      </w:r>
    </w:p>
    <w:p>
      <w:pPr>
        <w:numPr>
          <w:ilvl w:val="0"/>
          <w:numId w:val="44"/>
        </w:numPr>
        <w:ind w:left="1260" w:leftChars="0" w:hanging="420" w:firstLineChars="0"/>
        <w:rPr>
          <w:rFonts w:hint="default"/>
        </w:rPr>
      </w:pPr>
      <w:r>
        <w:rPr>
          <w:rFonts w:hint="default"/>
        </w:rPr>
        <w:t>NDCG</w:t>
      </w:r>
    </w:p>
    <w:p>
      <w:pPr>
        <w:numPr>
          <w:ilvl w:val="0"/>
          <w:numId w:val="40"/>
        </w:numPr>
        <w:ind w:left="420" w:leftChars="0" w:firstLine="420" w:firstLineChars="150"/>
        <w:rPr>
          <w:rFonts w:hint="default"/>
        </w:rPr>
      </w:pPr>
      <w:r>
        <w:rPr>
          <w:rFonts w:hint="eastAsia"/>
          <w:lang w:eastAsia="zh-CN"/>
        </w:rPr>
        <w:t>其他</w:t>
      </w:r>
    </w:p>
    <w:p>
      <w:pPr>
        <w:widowControl w:val="0"/>
        <w:numPr>
          <w:ilvl w:val="0"/>
          <w:numId w:val="45"/>
        </w:numPr>
        <w:adjustRightInd w:val="0"/>
        <w:snapToGrid w:val="0"/>
        <w:spacing w:line="360" w:lineRule="auto"/>
        <w:ind w:left="1260" w:leftChars="0" w:hanging="420" w:firstLineChars="0"/>
        <w:jc w:val="both"/>
        <w:rPr>
          <w:rFonts w:hint="default"/>
        </w:rPr>
      </w:pPr>
      <w:r>
        <w:rPr>
          <w:rFonts w:hint="default"/>
        </w:rPr>
        <w:t>流畅度</w:t>
      </w:r>
    </w:p>
    <w:p>
      <w:pPr>
        <w:widowControl w:val="0"/>
        <w:numPr>
          <w:ilvl w:val="0"/>
          <w:numId w:val="45"/>
        </w:numPr>
        <w:adjustRightInd w:val="0"/>
        <w:snapToGrid w:val="0"/>
        <w:spacing w:line="360" w:lineRule="auto"/>
        <w:ind w:left="1260" w:leftChars="0" w:hanging="420" w:firstLineChars="0"/>
        <w:jc w:val="both"/>
        <w:rPr>
          <w:rFonts w:hint="eastAsia"/>
          <w:lang w:eastAsia="zh-CN"/>
        </w:rPr>
      </w:pPr>
      <w:r>
        <w:rPr>
          <w:rFonts w:hint="default"/>
        </w:rPr>
        <w:t>忠实</w:t>
      </w:r>
      <w:r>
        <w:rPr>
          <w:rFonts w:hint="eastAsia"/>
          <w:lang w:eastAsia="zh-CN"/>
        </w:rPr>
        <w:t>度</w:t>
      </w:r>
    </w:p>
    <w:p>
      <w:pPr>
        <w:widowControl w:val="0"/>
        <w:numPr>
          <w:ilvl w:val="0"/>
          <w:numId w:val="45"/>
        </w:numPr>
        <w:adjustRightInd w:val="0"/>
        <w:snapToGrid w:val="0"/>
        <w:spacing w:line="360" w:lineRule="auto"/>
        <w:ind w:left="1260" w:leftChars="0" w:hanging="420" w:firstLineChars="0"/>
        <w:jc w:val="both"/>
        <w:rPr>
          <w:rFonts w:hint="eastAsia"/>
          <w:lang w:eastAsia="zh-CN"/>
        </w:rPr>
      </w:pPr>
      <w:r>
        <w:rPr>
          <w:rFonts w:hint="eastAsia"/>
          <w:lang w:eastAsia="zh-CN"/>
        </w:rPr>
        <w:t>幻觉率</w:t>
      </w:r>
    </w:p>
    <w:p/>
    <w:p>
      <w:pPr>
        <w:pStyle w:val="607"/>
        <w:bidi w:val="0"/>
        <w:ind w:left="0" w:leftChars="0" w:firstLine="0" w:firstLineChars="0"/>
      </w:pPr>
      <w:r>
        <w:t>安防应用能力评估</w:t>
      </w:r>
    </w:p>
    <w:p>
      <w:pPr>
        <w:pStyle w:val="112"/>
        <w:ind w:firstLine="562"/>
        <w:rPr>
          <w:b/>
        </w:rPr>
      </w:pPr>
      <w:r>
        <w:rPr>
          <w:b/>
        </w:rPr>
        <w:t>1、全要素解析能力</w:t>
      </w:r>
    </w:p>
    <w:p>
      <w:pPr>
        <w:ind w:firstLine="560"/>
      </w:pPr>
      <w:r>
        <w:t>全要素解析能力评估指标主要包括检测框的交并比，总体结果的精度、召回、平均精度均值、准确率，分割目标的像素准确率，跟踪任务的平均跟踪精度、跟踪成功率、多目标跟踪精度等。</w:t>
      </w:r>
    </w:p>
    <w:p>
      <w:pPr>
        <w:pStyle w:val="112"/>
        <w:ind w:firstLine="562"/>
        <w:rPr>
          <w:b/>
        </w:rPr>
      </w:pPr>
      <w:r>
        <w:rPr>
          <w:b/>
        </w:rPr>
        <w:t>2、行为事件监测能力</w:t>
      </w:r>
    </w:p>
    <w:p>
      <w:pPr>
        <w:ind w:firstLine="560"/>
      </w:pPr>
      <w:r>
        <w:t>行为事件监测能力评估指标主要包括行为事件监测精度、召回、准确率。</w:t>
      </w:r>
    </w:p>
    <w:p>
      <w:pPr>
        <w:pStyle w:val="112"/>
        <w:ind w:firstLine="562"/>
        <w:rPr>
          <w:b/>
        </w:rPr>
      </w:pPr>
      <w:r>
        <w:rPr>
          <w:rFonts w:hint="eastAsia"/>
          <w:b/>
          <w:lang w:val="en-US" w:eastAsia="zh-CN"/>
        </w:rPr>
        <w:t>3</w:t>
      </w:r>
      <w:r>
        <w:rPr>
          <w:b/>
        </w:rPr>
        <w:t>、情景理解能力</w:t>
      </w:r>
    </w:p>
    <w:p>
      <w:pPr>
        <w:pStyle w:val="112"/>
        <w:ind w:firstLine="560"/>
      </w:pPr>
      <w:r>
        <w:t>基于多模态的情景理解能力评估指标主要包括BLEU、互信息、模态对齐度、多模态一致性、</w:t>
      </w:r>
      <w:r>
        <w:rPr>
          <w:color w:val="000000"/>
        </w:rPr>
        <w:t>人工评估。</w:t>
      </w:r>
    </w:p>
    <w:p>
      <w:pPr>
        <w:pStyle w:val="112"/>
        <w:ind w:firstLine="562"/>
        <w:rPr>
          <w:b/>
        </w:rPr>
      </w:pPr>
      <w:r>
        <w:rPr>
          <w:rFonts w:hint="eastAsia"/>
          <w:b/>
          <w:lang w:val="en-US" w:eastAsia="zh-CN"/>
        </w:rPr>
        <w:t>4</w:t>
      </w:r>
      <w:r>
        <w:rPr>
          <w:b/>
        </w:rPr>
        <w:t>、线索分析研判能力</w:t>
      </w:r>
    </w:p>
    <w:p>
      <w:pPr>
        <w:pStyle w:val="112"/>
        <w:ind w:firstLine="560"/>
      </w:pPr>
      <w:r>
        <w:t>线索分析研判能力评估指标主要包括线索覆盖率、线索新颖度、线索关联性、线索处理时间、线索重复率、线索深度、线索利用率。</w:t>
      </w:r>
    </w:p>
    <w:p>
      <w:pPr>
        <w:pStyle w:val="112"/>
        <w:ind w:firstLine="562"/>
        <w:rPr>
          <w:b/>
        </w:rPr>
      </w:pPr>
      <w:r>
        <w:rPr>
          <w:rFonts w:hint="eastAsia"/>
          <w:b/>
          <w:lang w:val="en-US" w:eastAsia="zh-CN"/>
        </w:rPr>
        <w:t>5</w:t>
      </w:r>
      <w:r>
        <w:rPr>
          <w:b/>
        </w:rPr>
        <w:t>、图像重建能力</w:t>
      </w:r>
    </w:p>
    <w:p>
      <w:r>
        <w:t>图像重建能力评估指标主要包括图像质量、结构相似性指数、图文一致性、复杂度适应性、人工评估等。</w:t>
      </w:r>
    </w:p>
    <w:p>
      <w:pPr>
        <w:pStyle w:val="607"/>
        <w:bidi w:val="0"/>
        <w:ind w:left="0" w:leftChars="0" w:firstLine="0" w:firstLineChars="0"/>
      </w:pPr>
      <w:r>
        <w:t>安全性评估</w:t>
      </w:r>
    </w:p>
    <w:p>
      <w:pPr>
        <w:ind w:firstLine="562"/>
        <w:rPr>
          <w:rFonts w:eastAsia="宋体"/>
          <w:b/>
          <w:bCs/>
          <w:sz w:val="27"/>
        </w:rPr>
      </w:pPr>
      <w:r>
        <w:rPr>
          <w:b/>
          <w:bCs/>
        </w:rPr>
        <w:t>1、建立</w:t>
      </w:r>
      <w:r>
        <w:rPr>
          <w:b/>
          <w:bCs/>
          <w:lang w:bidi="ar"/>
        </w:rPr>
        <w:t>评测</w:t>
      </w:r>
      <w:r>
        <w:rPr>
          <w:b/>
          <w:bCs/>
        </w:rPr>
        <w:t>基准数据集</w:t>
      </w:r>
    </w:p>
    <w:p>
      <w:pPr>
        <w:pStyle w:val="112"/>
        <w:ind w:firstLine="560"/>
        <w:rPr>
          <w:lang w:bidi="ar"/>
        </w:rPr>
      </w:pPr>
      <w:r>
        <w:rPr>
          <w:lang w:bidi="ar"/>
        </w:rPr>
        <w:t>构建大规模的评测数据集来评估模型安全性，例如JailBreakV-28K、MM-SafetyBench等。这些数据集包含各种有害、违规和攻击性的图像和文本数据，用于检测模型输出的安全性。</w:t>
      </w:r>
    </w:p>
    <w:p>
      <w:pPr>
        <w:pStyle w:val="112"/>
        <w:ind w:firstLine="560"/>
        <w:rPr>
          <w:lang w:bidi="ar"/>
        </w:rPr>
      </w:pPr>
      <w:r>
        <w:rPr>
          <w:lang w:bidi="ar"/>
        </w:rPr>
        <w:t>目前学术界针对大语言模型的提示词攻击和越狱方法，如HOUYI攻击方法、jailbreak方法、部分肯定回答诱导方式等，结合这些研究总结一系列可用于包装原始问题的扩充模板，使用模板对原始问题进行包装之后，题目诱导性增强，隐蔽性极大提高，能有效绕过现有的一些外置安全检测，大大提高了模型的回复率。通过我们的模板扩充技术，原始题库的规模可实现数倍增长，使用扩充后的题库对模型进行安全检测，能更全面的测试出模型甄别隐蔽危险内容的能力。</w:t>
      </w:r>
    </w:p>
    <w:p>
      <w:pPr>
        <w:ind w:firstLine="562"/>
        <w:rPr>
          <w:b/>
          <w:bCs/>
        </w:rPr>
      </w:pPr>
      <w:r>
        <w:rPr>
          <w:b/>
          <w:bCs/>
          <w:lang w:bidi="ar"/>
        </w:rPr>
        <w:t>2、设计</w:t>
      </w:r>
      <w:r>
        <w:rPr>
          <w:b/>
          <w:bCs/>
        </w:rPr>
        <w:t>评测指标</w:t>
      </w:r>
    </w:p>
    <w:p>
      <w:pPr>
        <w:pStyle w:val="112"/>
        <w:ind w:firstLine="560"/>
        <w:rPr>
          <w:lang w:bidi="ar"/>
        </w:rPr>
      </w:pPr>
      <w:r>
        <w:rPr>
          <w:lang w:bidi="ar"/>
        </w:rPr>
        <w:t>除了定性分析外，还需要设计量化的评测指标。常见的指标有安全预测准确率、攻击成功率、对抗性示例生成质量等。通过对比不同模型在这些指标上的表现，可以评估其安全水平。</w:t>
      </w:r>
    </w:p>
    <w:p>
      <w:pPr>
        <w:ind w:firstLine="562"/>
        <w:rPr>
          <w:b/>
          <w:bCs/>
        </w:rPr>
      </w:pPr>
      <w:r>
        <w:rPr>
          <w:b/>
          <w:bCs/>
        </w:rPr>
        <w:t>3、模拟攻击情景</w:t>
      </w:r>
    </w:p>
    <w:p>
      <w:pPr>
        <w:ind w:firstLine="560"/>
        <w:rPr>
          <w:lang w:bidi="ar"/>
        </w:rPr>
      </w:pPr>
      <w:r>
        <w:rPr>
          <w:lang w:bidi="ar"/>
        </w:rPr>
        <w:t>另一种评估方式是模拟攻击者的行为，测试模型在面临有害输入时的鲁棒性。例如通过红队测试、对抗性攻击等方式生成恶意输入，观察模型的响应和防御能力。</w:t>
      </w:r>
    </w:p>
    <w:p>
      <w:pPr>
        <w:ind w:firstLine="562"/>
        <w:rPr>
          <w:b/>
          <w:bCs/>
        </w:rPr>
      </w:pPr>
      <w:r>
        <w:rPr>
          <w:b/>
          <w:bCs/>
        </w:rPr>
        <w:t>4、审核输出内容</w:t>
      </w:r>
    </w:p>
    <w:p>
      <w:pPr>
        <w:ind w:firstLine="560"/>
      </w:pPr>
      <w:r>
        <w:rPr>
          <w:lang w:bidi="ar"/>
        </w:rPr>
        <w:t>除了输入的安全性，还需要评估模型输出内容的安全性，避免生成有害、暴力、歧视等不当内容。可以通过构建规则库或使用语义分析等技术来审核模型输出。</w:t>
      </w:r>
    </w:p>
    <w:p>
      <w:pPr>
        <w:pStyle w:val="607"/>
        <w:bidi w:val="0"/>
        <w:ind w:left="0" w:leftChars="0" w:firstLine="0" w:firstLineChars="0"/>
      </w:pPr>
      <w:r>
        <w:t>可解释性评估</w:t>
      </w:r>
    </w:p>
    <w:p>
      <w:pPr>
        <w:ind w:firstLine="562"/>
        <w:rPr>
          <w:rStyle w:val="85"/>
          <w:b w:val="0"/>
          <w:bCs w:val="0"/>
        </w:rPr>
      </w:pPr>
      <w:r>
        <w:rPr>
          <w:rStyle w:val="85"/>
        </w:rPr>
        <w:t>1、局部</w:t>
      </w:r>
      <w:r>
        <w:rPr>
          <w:b/>
          <w:bCs/>
        </w:rPr>
        <w:t>解释</w:t>
      </w:r>
    </w:p>
    <w:p>
      <w:pPr>
        <w:pStyle w:val="112"/>
        <w:ind w:firstLine="560"/>
      </w:pPr>
      <w:r>
        <w:t>局部解释对单个样本预测进行解释。其解释方法包括特征归因（feature attribution）、基于注意力机制的解释（attention-based）、基于样本的解释（example-based）、基于自然语言的解释（natural language explanation）</w:t>
      </w:r>
    </w:p>
    <w:p>
      <w:pPr>
        <w:ind w:firstLine="562"/>
        <w:rPr>
          <w:rStyle w:val="85"/>
        </w:rPr>
      </w:pPr>
      <w:r>
        <w:rPr>
          <w:rStyle w:val="85"/>
        </w:rPr>
        <w:t>2、全局解释</w:t>
      </w:r>
    </w:p>
    <w:p>
      <w:pPr>
        <w:ind w:firstLine="560"/>
      </w:pPr>
      <w:r>
        <w:t>全局解释旨在从模型构成的层面包括如神经元，隐藏层和更大的组块，为大模型的工作机制提供更高阶的解释。主要探究在不同网络构成部分学习到的语义知识。</w:t>
      </w:r>
    </w:p>
    <w:p>
      <w:pPr>
        <w:ind w:firstLine="562"/>
        <w:rPr>
          <w:rStyle w:val="85"/>
        </w:rPr>
      </w:pPr>
      <w:r>
        <w:rPr>
          <w:rStyle w:val="85"/>
        </w:rPr>
        <w:t>3、基于Prompting范式的模型解释</w:t>
      </w:r>
    </w:p>
    <w:p>
      <w:pPr>
        <w:pStyle w:val="112"/>
        <w:ind w:firstLine="560"/>
        <w:rPr>
          <w:rFonts w:hint="default"/>
          <w:lang w:eastAsia="zh-CN"/>
        </w:rPr>
      </w:pPr>
      <w:r>
        <w:t>基于Prompting范式的模型解释，需要对基础模型和助手模型分别解释以区别两种模型的能力，并探究模型学习的路径。探究的问题主要包括为模型提供解释对few-shot learning的益处；理解few-shot learning和思维链能力的来源等。</w:t>
      </w:r>
    </w:p>
    <w:p>
      <w:pPr>
        <w:pStyle w:val="107"/>
        <w:bidi w:val="0"/>
        <w:ind w:left="0" w:leftChars="0" w:firstLine="0" w:firstLineChars="0"/>
        <w:rPr>
          <w:rFonts w:hint="default"/>
          <w:lang w:eastAsia="zh-CN"/>
        </w:rPr>
      </w:pPr>
      <w:r>
        <w:rPr>
          <w:rFonts w:hint="default"/>
          <w:lang w:eastAsia="zh-CN"/>
        </w:rPr>
        <w:t>测评资源管理模块</w:t>
      </w:r>
    </w:p>
    <w:p>
      <w:pPr>
        <w:rPr>
          <w:rFonts w:hint="default"/>
          <w:lang w:eastAsia="zh-CN"/>
        </w:rPr>
      </w:pPr>
      <w:r>
        <w:rPr>
          <w:rFonts w:hint="default"/>
          <w:lang w:eastAsia="zh-CN"/>
        </w:rPr>
        <w:t>该模块负责统一管理测评任务与计算资源，完成任务创建、队列调度与服务器分配等工作。通过资源感知调度机制（如基于 GPU 数量、显存容量、CPU 负载等指标），合理分配测评任务至指定服务器或算力节点，避免资源冲突与闲置。同时支持任务优先级设置、并发控制与失败重试机制，保障测评流程高效、稳定运行。</w:t>
      </w:r>
    </w:p>
    <w:p>
      <w:pPr>
        <w:pStyle w:val="107"/>
        <w:bidi w:val="0"/>
        <w:ind w:left="0" w:leftChars="0" w:firstLine="0" w:firstLineChars="0"/>
        <w:rPr>
          <w:rFonts w:hint="default"/>
          <w:lang w:eastAsia="zh-CN"/>
        </w:rPr>
      </w:pPr>
      <w:r>
        <w:rPr>
          <w:rFonts w:hint="default"/>
          <w:lang w:eastAsia="zh-CN"/>
        </w:rPr>
        <w:t>测评前端UI系统</w:t>
      </w:r>
    </w:p>
    <w:p>
      <w:pPr>
        <w:rPr>
          <w:rFonts w:hint="default"/>
          <w:lang w:eastAsia="zh-CN"/>
        </w:rPr>
      </w:pPr>
      <w:r>
        <w:rPr>
          <w:rFonts w:hint="default"/>
          <w:lang w:eastAsia="zh-CN"/>
        </w:rPr>
        <w:t>前端 UI 系统为用户提供可视化操作与监控界面，用于创建测评任务、配置参数、选择模型版本与测试数据集，并实时查看任务运行状态。系统展示关键指标曲线、日志信息与资源使用情况，支持任务暂停、终止与结果下载等操作，提升测评流程的透明度与可操作性。</w:t>
      </w:r>
    </w:p>
    <w:p>
      <w:pPr>
        <w:pStyle w:val="107"/>
        <w:bidi w:val="0"/>
        <w:ind w:left="0" w:leftChars="0" w:firstLine="0" w:firstLineChars="0"/>
        <w:rPr>
          <w:rFonts w:hint="default"/>
          <w:lang w:eastAsia="zh-CN"/>
        </w:rPr>
      </w:pPr>
      <w:r>
        <w:rPr>
          <w:rFonts w:hint="default"/>
          <w:lang w:eastAsia="zh-CN"/>
        </w:rPr>
        <w:t>测评后台服务系统</w:t>
      </w:r>
    </w:p>
    <w:p>
      <w:pPr>
        <w:rPr>
          <w:rFonts w:hint="default"/>
          <w:lang w:eastAsia="zh-CN"/>
        </w:rPr>
      </w:pPr>
      <w:r>
        <w:rPr>
          <w:rFonts w:hint="default"/>
          <w:lang w:eastAsia="zh-CN"/>
        </w:rPr>
        <w:t>后台服务系统负责承载测评逻辑与任务执行流程，是前端与底层算力之间的中枢层。该模块处理任务接收、参数校验、调度指令下发、运行状态更新、日志记录与异常处理等核心流程，同时对测评数据与结果进行持久化存储，确保系统具备高可靠性与可追溯性。</w:t>
      </w:r>
    </w:p>
    <w:p>
      <w:pPr>
        <w:pStyle w:val="107"/>
        <w:bidi w:val="0"/>
        <w:ind w:left="0" w:leftChars="0" w:firstLine="0" w:firstLineChars="0"/>
        <w:rPr>
          <w:rFonts w:hint="default"/>
          <w:lang w:eastAsia="zh-CN"/>
        </w:rPr>
      </w:pPr>
      <w:r>
        <w:rPr>
          <w:rFonts w:hint="default"/>
          <w:lang w:eastAsia="zh-CN"/>
        </w:rPr>
        <w:t>评估统计模块</w:t>
      </w:r>
    </w:p>
    <w:p>
      <w:pPr>
        <w:rPr>
          <w:rFonts w:hint="default"/>
          <w:lang w:eastAsia="zh-CN"/>
        </w:rPr>
      </w:pPr>
      <w:r>
        <w:rPr>
          <w:rFonts w:hint="default"/>
          <w:lang w:eastAsia="zh-CN"/>
        </w:rPr>
        <w:t>评估统计模块对各类测评任务生成的结果进行统一汇总与量化分析，计算精度指标、效率指标与稳定性指标等核心数据，并支持多模型版本对比分析。模块可生成结构化报表与可视化统计图，用于评估模型性能差异与优化效果，为模型迭代与上线决策提供数据支撑。</w:t>
      </w:r>
    </w:p>
    <w:p>
      <w:pPr>
        <w:pStyle w:val="107"/>
        <w:bidi w:val="0"/>
        <w:ind w:left="0" w:leftChars="0" w:firstLine="0" w:firstLineChars="0"/>
        <w:rPr>
          <w:rFonts w:hint="default"/>
          <w:lang w:eastAsia="zh-CN"/>
        </w:rPr>
      </w:pPr>
      <w:r>
        <w:rPr>
          <w:rFonts w:hint="default"/>
          <w:lang w:eastAsia="zh-CN"/>
        </w:rPr>
        <w:t>系统安装调试</w:t>
      </w:r>
    </w:p>
    <w:p>
      <w:pPr>
        <w:rPr>
          <w:rFonts w:hint="default"/>
          <w:lang w:eastAsia="zh-CN"/>
        </w:rPr>
      </w:pPr>
      <w:r>
        <w:rPr>
          <w:rFonts w:hint="default"/>
          <w:lang w:eastAsia="zh-CN"/>
        </w:rPr>
        <w:t>系统安装调试模块负责测评系统整体部署与环境配置，包括依赖安装、算力驱动适配、服务部署、网络配置与安全策略设置等工作。通过标准化安装流程与自动化脚本，确保系统在不同服务器环境中稳定运行，并支持问题排查与性能调优，为测评平台长期稳定运维提供基础保障。</w:t>
      </w:r>
    </w:p>
    <w:p/>
    <w:p>
      <w:pPr>
        <w:pStyle w:val="109"/>
      </w:pPr>
      <w:r>
        <w:rPr>
          <w:rFonts w:hint="eastAsia"/>
        </w:rPr>
        <w:t>设备方案</w:t>
      </w:r>
    </w:p>
    <w:p>
      <w:pPr>
        <w:pStyle w:val="107"/>
      </w:pPr>
      <w:r>
        <w:rPr>
          <w:rFonts w:hint="eastAsia"/>
        </w:rPr>
        <w:t>选型原则</w:t>
      </w:r>
    </w:p>
    <w:p>
      <w:pPr>
        <w:pStyle w:val="107"/>
      </w:pPr>
      <w:r>
        <w:rPr>
          <w:rFonts w:hint="eastAsia"/>
        </w:rPr>
        <w:t>主要设备配置清单</w:t>
      </w:r>
    </w:p>
    <w:p>
      <w:pPr>
        <w:ind w:firstLine="560"/>
      </w:pPr>
    </w:p>
    <w:p>
      <w:pPr>
        <w:pStyle w:val="108"/>
      </w:pPr>
      <w:r>
        <w:t>安防行业人工智能共性服务平台</w:t>
      </w:r>
      <w:r>
        <w:rPr>
          <w:rFonts w:hint="eastAsia"/>
        </w:rPr>
        <w:t>建设</w:t>
      </w:r>
      <w:r>
        <w:t>方案</w:t>
      </w:r>
      <w:r>
        <w:rPr>
          <w:rFonts w:hint="eastAsia"/>
        </w:rPr>
        <w:t>（杨咏臻、韩琳、刘庆伟、马立军）</w:t>
      </w:r>
    </w:p>
    <w:p>
      <w:pPr>
        <w:pStyle w:val="109"/>
      </w:pPr>
      <w:r>
        <w:rPr>
          <w:rFonts w:hint="eastAsia"/>
        </w:rPr>
        <w:t>总体框架</w:t>
      </w:r>
    </w:p>
    <w:p>
      <w:pPr>
        <w:pStyle w:val="109"/>
      </w:pPr>
      <w:r>
        <w:rPr>
          <w:rFonts w:hint="eastAsia"/>
        </w:rPr>
        <w:t>算力资源服务子平台</w:t>
      </w:r>
    </w:p>
    <w:p>
      <w:pPr>
        <w:pStyle w:val="107"/>
      </w:pPr>
      <w:r>
        <w:rPr>
          <w:rFonts w:hint="eastAsia"/>
        </w:rPr>
        <w:t>算力资源服务子平台架构</w:t>
      </w:r>
    </w:p>
    <w:p>
      <w:pPr>
        <w:pStyle w:val="107"/>
      </w:pPr>
      <w:r>
        <w:rPr>
          <w:rFonts w:hint="eastAsia"/>
        </w:rPr>
        <w:t>算力资源服务子平台技术方案</w:t>
      </w:r>
    </w:p>
    <w:p>
      <w:pPr>
        <w:pStyle w:val="107"/>
      </w:pPr>
      <w:r>
        <w:rPr>
          <w:rFonts w:hint="eastAsia"/>
        </w:rPr>
        <w:t>算力资源服务子平台技术指标</w:t>
      </w:r>
    </w:p>
    <w:p>
      <w:pPr>
        <w:pStyle w:val="107"/>
      </w:pPr>
      <w:r>
        <w:rPr>
          <w:rFonts w:hint="eastAsia"/>
        </w:rPr>
        <w:t>算力资源服务子平台设备方案</w:t>
      </w:r>
    </w:p>
    <w:p>
      <w:pPr>
        <w:pStyle w:val="109"/>
      </w:pPr>
      <w:r>
        <w:rPr>
          <w:rFonts w:hint="eastAsia"/>
        </w:rPr>
        <w:t>语料数据服务子平台</w:t>
      </w:r>
    </w:p>
    <w:p>
      <w:pPr>
        <w:pStyle w:val="107"/>
      </w:pPr>
      <w:r>
        <w:rPr>
          <w:rFonts w:hint="eastAsia"/>
        </w:rPr>
        <w:t>语料数据服务子平台架构</w:t>
      </w:r>
    </w:p>
    <w:p>
      <w:pPr>
        <w:pStyle w:val="107"/>
      </w:pPr>
      <w:r>
        <w:rPr>
          <w:rFonts w:hint="eastAsia"/>
        </w:rPr>
        <w:t>语料数据服务子平台技术方案</w:t>
      </w:r>
    </w:p>
    <w:p>
      <w:pPr>
        <w:pStyle w:val="107"/>
      </w:pPr>
      <w:r>
        <w:rPr>
          <w:rFonts w:hint="eastAsia"/>
        </w:rPr>
        <w:t>语料数据服务子平台技术指标</w:t>
      </w:r>
    </w:p>
    <w:p>
      <w:pPr>
        <w:pStyle w:val="107"/>
      </w:pPr>
      <w:r>
        <w:rPr>
          <w:rFonts w:hint="eastAsia"/>
        </w:rPr>
        <w:t>语料数据服务子平台设备方案</w:t>
      </w:r>
    </w:p>
    <w:p>
      <w:pPr>
        <w:pStyle w:val="109"/>
      </w:pPr>
      <w:r>
        <w:rPr>
          <w:rFonts w:hint="eastAsia"/>
        </w:rPr>
        <w:t>模型服务子平台</w:t>
      </w:r>
    </w:p>
    <w:p>
      <w:pPr>
        <w:pStyle w:val="107"/>
      </w:pPr>
      <w:r>
        <w:rPr>
          <w:rFonts w:hint="eastAsia"/>
        </w:rPr>
        <w:t>模型服务子平台架构</w:t>
      </w:r>
    </w:p>
    <w:p>
      <w:pPr>
        <w:pStyle w:val="107"/>
      </w:pPr>
      <w:r>
        <w:rPr>
          <w:rFonts w:hint="eastAsia"/>
        </w:rPr>
        <w:t>模型服务子平台技术方案</w:t>
      </w:r>
    </w:p>
    <w:p>
      <w:pPr>
        <w:ind w:firstLine="560"/>
      </w:pPr>
      <w:r>
        <w:rPr>
          <w:rFonts w:hint="eastAsia"/>
        </w:rPr>
        <w:t>技术方案跟预算目录对应</w:t>
      </w:r>
    </w:p>
    <w:p>
      <w:pPr>
        <w:pStyle w:val="107"/>
      </w:pPr>
      <w:r>
        <w:rPr>
          <w:rFonts w:hint="eastAsia"/>
        </w:rPr>
        <w:t>模型服务子平台技术指标</w:t>
      </w:r>
    </w:p>
    <w:p>
      <w:pPr>
        <w:pStyle w:val="107"/>
      </w:pPr>
      <w:r>
        <w:rPr>
          <w:rFonts w:hint="eastAsia"/>
        </w:rPr>
        <w:t>模型服务子平台设备方案</w:t>
      </w:r>
    </w:p>
    <w:p>
      <w:pPr>
        <w:pStyle w:val="109"/>
      </w:pPr>
      <w:r>
        <w:rPr>
          <w:rFonts w:hint="eastAsia"/>
        </w:rPr>
        <w:t>应用开发服务子平台</w:t>
      </w:r>
    </w:p>
    <w:p>
      <w:pPr>
        <w:pStyle w:val="107"/>
      </w:pPr>
      <w:r>
        <w:rPr>
          <w:rFonts w:hint="eastAsia"/>
        </w:rPr>
        <w:t>应用开发服务子平台架构</w:t>
      </w:r>
    </w:p>
    <w:p>
      <w:pPr>
        <w:pStyle w:val="107"/>
      </w:pPr>
      <w:r>
        <w:rPr>
          <w:rFonts w:hint="eastAsia"/>
        </w:rPr>
        <w:t>应用开发服务子平台技术方案</w:t>
      </w:r>
    </w:p>
    <w:p>
      <w:pPr>
        <w:ind w:firstLine="280" w:firstLineChars="100"/>
      </w:pPr>
      <w:r>
        <w:rPr>
          <w:rFonts w:hint="eastAsia"/>
        </w:rPr>
        <w:t>技术方案跟预算目录对应</w:t>
      </w:r>
    </w:p>
    <w:p>
      <w:pPr>
        <w:pStyle w:val="107"/>
      </w:pPr>
      <w:r>
        <w:rPr>
          <w:rFonts w:hint="eastAsia"/>
        </w:rPr>
        <w:t>应用开发服务子平台技术指标</w:t>
      </w:r>
    </w:p>
    <w:p>
      <w:pPr>
        <w:pStyle w:val="107"/>
      </w:pPr>
      <w:r>
        <w:rPr>
          <w:rFonts w:hint="eastAsia"/>
        </w:rPr>
        <w:t>应用开发服务子平台设备方案</w:t>
      </w:r>
    </w:p>
    <w:p>
      <w:pPr>
        <w:ind w:firstLine="560"/>
      </w:pPr>
    </w:p>
    <w:p>
      <w:pPr>
        <w:pStyle w:val="108"/>
      </w:pPr>
      <w:r>
        <w:t>安全和运维</w:t>
      </w:r>
      <w:r>
        <w:rPr>
          <w:rFonts w:hint="eastAsia"/>
        </w:rPr>
        <w:t>体系</w:t>
      </w:r>
      <w:r>
        <w:t>建设方案</w:t>
      </w:r>
      <w:r>
        <w:rPr>
          <w:rFonts w:hint="eastAsia"/>
        </w:rPr>
        <w:t>（小郭、杨咏臻、李健诚）</w:t>
      </w:r>
    </w:p>
    <w:p>
      <w:pPr>
        <w:pStyle w:val="109"/>
      </w:pPr>
      <w:r>
        <w:rPr>
          <w:rFonts w:hint="eastAsia"/>
        </w:rPr>
        <w:t>安全体系建设</w:t>
      </w:r>
    </w:p>
    <w:p>
      <w:pPr>
        <w:pStyle w:val="107"/>
      </w:pPr>
      <w:r>
        <w:rPr>
          <w:rFonts w:hint="eastAsia"/>
        </w:rPr>
        <w:t>总体框架</w:t>
      </w:r>
    </w:p>
    <w:p>
      <w:pPr>
        <w:ind w:firstLine="560"/>
      </w:pPr>
      <w:r>
        <w:rPr>
          <w:rFonts w:hint="eastAsia"/>
        </w:rPr>
        <w:t>等保（大模型含进去）+密码</w:t>
      </w:r>
    </w:p>
    <w:p>
      <w:pPr>
        <w:pStyle w:val="107"/>
      </w:pPr>
      <w:r>
        <w:rPr>
          <w:rFonts w:hint="eastAsia"/>
        </w:rPr>
        <w:t>等保体系建设</w:t>
      </w:r>
    </w:p>
    <w:p>
      <w:pPr>
        <w:pStyle w:val="106"/>
      </w:pPr>
      <w:r>
        <w:rPr>
          <w:rFonts w:hint="eastAsia"/>
        </w:rPr>
        <w:t>等保技术体系建设</w:t>
      </w:r>
      <w:r>
        <w:rPr>
          <w:rFonts w:hint="eastAsia"/>
        </w:rPr>
        <w:tab/>
      </w:r>
    </w:p>
    <w:p>
      <w:pPr>
        <w:pStyle w:val="9"/>
        <w:ind w:firstLine="560"/>
      </w:pPr>
      <w:r>
        <w:rPr>
          <w:rFonts w:hint="eastAsia"/>
        </w:rPr>
        <w:t>安全物理环境</w:t>
      </w:r>
    </w:p>
    <w:p>
      <w:pPr>
        <w:pStyle w:val="9"/>
        <w:numPr>
          <w:ilvl w:val="6"/>
          <w:numId w:val="0"/>
        </w:numPr>
        <w:tabs>
          <w:tab w:val="left" w:pos="2100"/>
        </w:tabs>
        <w:ind w:left="2100" w:firstLine="560"/>
        <w:rPr>
          <w:color w:val="C00000"/>
        </w:rPr>
      </w:pPr>
      <w:r>
        <w:rPr>
          <w:rFonts w:hint="eastAsia"/>
          <w:color w:val="C00000"/>
        </w:rPr>
        <w:t>安全通信环境</w:t>
      </w:r>
    </w:p>
    <w:p>
      <w:pPr>
        <w:pStyle w:val="9"/>
        <w:numPr>
          <w:ilvl w:val="6"/>
          <w:numId w:val="0"/>
        </w:numPr>
        <w:tabs>
          <w:tab w:val="left" w:pos="2100"/>
        </w:tabs>
        <w:ind w:left="2100" w:firstLine="560"/>
        <w:rPr>
          <w:color w:val="C00000"/>
        </w:rPr>
      </w:pPr>
      <w:r>
        <w:rPr>
          <w:rFonts w:hint="eastAsia"/>
          <w:color w:val="C00000"/>
        </w:rPr>
        <w:t>安全区域边界</w:t>
      </w:r>
    </w:p>
    <w:p>
      <w:pPr>
        <w:pStyle w:val="9"/>
        <w:numPr>
          <w:ilvl w:val="6"/>
          <w:numId w:val="0"/>
        </w:numPr>
        <w:tabs>
          <w:tab w:val="left" w:pos="2100"/>
        </w:tabs>
        <w:ind w:left="2100" w:firstLine="560"/>
        <w:rPr>
          <w:color w:val="C00000"/>
        </w:rPr>
      </w:pPr>
      <w:r>
        <w:rPr>
          <w:rFonts w:hint="eastAsia"/>
          <w:color w:val="C00000"/>
        </w:rPr>
        <w:t>安全计算环境（数据和云放在这里）</w:t>
      </w:r>
    </w:p>
    <w:p>
      <w:pPr>
        <w:pStyle w:val="9"/>
        <w:numPr>
          <w:ilvl w:val="6"/>
          <w:numId w:val="0"/>
        </w:numPr>
        <w:tabs>
          <w:tab w:val="left" w:pos="2100"/>
        </w:tabs>
        <w:ind w:left="2100" w:firstLine="560"/>
        <w:rPr>
          <w:color w:val="C00000"/>
        </w:rPr>
      </w:pPr>
      <w:r>
        <w:rPr>
          <w:rFonts w:hint="eastAsia"/>
          <w:color w:val="C00000"/>
        </w:rPr>
        <w:t>安全管理中心</w:t>
      </w:r>
    </w:p>
    <w:p>
      <w:pPr>
        <w:pStyle w:val="106"/>
      </w:pPr>
      <w:r>
        <w:rPr>
          <w:rFonts w:hint="eastAsia"/>
        </w:rPr>
        <w:t>等保管理体系建设</w:t>
      </w:r>
    </w:p>
    <w:p>
      <w:pPr>
        <w:pStyle w:val="9"/>
        <w:numPr>
          <w:ilvl w:val="6"/>
          <w:numId w:val="0"/>
        </w:numPr>
        <w:tabs>
          <w:tab w:val="left" w:pos="2100"/>
        </w:tabs>
        <w:ind w:left="2100" w:firstLine="560"/>
        <w:rPr>
          <w:color w:val="C00000"/>
        </w:rPr>
      </w:pPr>
      <w:r>
        <w:rPr>
          <w:rFonts w:hint="eastAsia"/>
          <w:color w:val="C00000"/>
        </w:rPr>
        <w:t>安全管理制度</w:t>
      </w:r>
    </w:p>
    <w:p>
      <w:pPr>
        <w:pStyle w:val="9"/>
        <w:numPr>
          <w:ilvl w:val="6"/>
          <w:numId w:val="0"/>
        </w:numPr>
        <w:tabs>
          <w:tab w:val="left" w:pos="2100"/>
        </w:tabs>
        <w:ind w:left="2100" w:firstLine="560"/>
        <w:rPr>
          <w:color w:val="C00000"/>
        </w:rPr>
      </w:pPr>
      <w:r>
        <w:rPr>
          <w:rFonts w:hint="eastAsia"/>
          <w:color w:val="C00000"/>
        </w:rPr>
        <w:t>安全管理机构</w:t>
      </w:r>
    </w:p>
    <w:p>
      <w:pPr>
        <w:pStyle w:val="9"/>
        <w:numPr>
          <w:ilvl w:val="6"/>
          <w:numId w:val="0"/>
        </w:numPr>
        <w:tabs>
          <w:tab w:val="left" w:pos="2100"/>
        </w:tabs>
        <w:ind w:left="2100" w:firstLine="560"/>
        <w:rPr>
          <w:color w:val="C00000"/>
        </w:rPr>
      </w:pPr>
      <w:r>
        <w:rPr>
          <w:rFonts w:hint="eastAsia"/>
          <w:color w:val="C00000"/>
        </w:rPr>
        <w:t>安全管理人员</w:t>
      </w:r>
    </w:p>
    <w:p>
      <w:pPr>
        <w:pStyle w:val="9"/>
        <w:numPr>
          <w:ilvl w:val="6"/>
          <w:numId w:val="0"/>
        </w:numPr>
        <w:tabs>
          <w:tab w:val="left" w:pos="2100"/>
        </w:tabs>
        <w:ind w:left="2100" w:firstLine="560"/>
        <w:rPr>
          <w:color w:val="C00000"/>
        </w:rPr>
      </w:pPr>
      <w:r>
        <w:rPr>
          <w:rFonts w:hint="eastAsia"/>
          <w:color w:val="C00000"/>
        </w:rPr>
        <w:t>安全建设管理</w:t>
      </w:r>
    </w:p>
    <w:p>
      <w:pPr>
        <w:pStyle w:val="9"/>
        <w:numPr>
          <w:ilvl w:val="6"/>
          <w:numId w:val="0"/>
        </w:numPr>
        <w:tabs>
          <w:tab w:val="left" w:pos="2100"/>
        </w:tabs>
        <w:ind w:left="2100" w:firstLine="560"/>
        <w:rPr>
          <w:color w:val="C00000"/>
        </w:rPr>
      </w:pPr>
      <w:r>
        <w:rPr>
          <w:rFonts w:hint="eastAsia"/>
          <w:color w:val="C00000"/>
        </w:rPr>
        <w:t>安全运维管理</w:t>
      </w:r>
    </w:p>
    <w:p>
      <w:pPr>
        <w:ind w:firstLine="560"/>
      </w:pPr>
    </w:p>
    <w:p>
      <w:pPr>
        <w:pStyle w:val="107"/>
      </w:pPr>
      <w:r>
        <w:rPr>
          <w:rFonts w:hint="eastAsia"/>
        </w:rPr>
        <w:t>密码能力建设（新补充）</w:t>
      </w:r>
    </w:p>
    <w:p>
      <w:pPr>
        <w:ind w:firstLine="560"/>
        <w:rPr>
          <w:highlight w:val="yellow"/>
        </w:rPr>
      </w:pPr>
    </w:p>
    <w:p>
      <w:pPr>
        <w:pStyle w:val="107"/>
      </w:pPr>
      <w:r>
        <w:rPr>
          <w:rFonts w:hint="eastAsia"/>
        </w:rPr>
        <w:t>设备方案</w:t>
      </w:r>
    </w:p>
    <w:p>
      <w:pPr>
        <w:pStyle w:val="106"/>
      </w:pPr>
      <w:r>
        <w:rPr>
          <w:rFonts w:hint="eastAsia"/>
        </w:rPr>
        <w:t>选型原则</w:t>
      </w:r>
    </w:p>
    <w:p>
      <w:pPr>
        <w:pStyle w:val="106"/>
      </w:pPr>
      <w:r>
        <w:rPr>
          <w:rFonts w:hint="eastAsia"/>
        </w:rPr>
        <w:t>主要设备配置清单</w:t>
      </w:r>
    </w:p>
    <w:p>
      <w:pPr>
        <w:ind w:firstLine="560"/>
      </w:pPr>
    </w:p>
    <w:p>
      <w:pPr>
        <w:pStyle w:val="109"/>
      </w:pPr>
      <w:r>
        <w:rPr>
          <w:rFonts w:hint="eastAsia"/>
        </w:rPr>
        <w:t>运维平台建设</w:t>
      </w:r>
    </w:p>
    <w:p>
      <w:pPr>
        <w:pStyle w:val="107"/>
      </w:pPr>
      <w:r>
        <w:rPr>
          <w:rFonts w:hint="eastAsia"/>
        </w:rPr>
        <w:t>运维平台架构</w:t>
      </w:r>
    </w:p>
    <w:p>
      <w:pPr>
        <w:pStyle w:val="107"/>
      </w:pPr>
      <w:r>
        <w:rPr>
          <w:rFonts w:hint="eastAsia"/>
        </w:rPr>
        <w:t>运维平台技术方案</w:t>
      </w:r>
    </w:p>
    <w:p>
      <w:pPr>
        <w:ind w:firstLine="280" w:firstLineChars="100"/>
        <w:rPr>
          <w:color w:val="C00000"/>
        </w:rPr>
      </w:pPr>
      <w:r>
        <w:rPr>
          <w:rFonts w:hint="eastAsia"/>
          <w:color w:val="C00000"/>
        </w:rPr>
        <w:t>技术方案跟预算目录对应</w:t>
      </w:r>
    </w:p>
    <w:p>
      <w:pPr>
        <w:pStyle w:val="107"/>
      </w:pPr>
      <w:r>
        <w:rPr>
          <w:rFonts w:hint="eastAsia"/>
        </w:rPr>
        <w:t>运维平台技术指标</w:t>
      </w:r>
    </w:p>
    <w:p>
      <w:pPr>
        <w:pStyle w:val="107"/>
      </w:pPr>
      <w:r>
        <w:rPr>
          <w:rFonts w:hint="eastAsia"/>
        </w:rPr>
        <w:t>运维平台设备方案</w:t>
      </w:r>
    </w:p>
    <w:p>
      <w:pPr>
        <w:ind w:firstLine="560"/>
      </w:pPr>
    </w:p>
    <w:p>
      <w:pPr>
        <w:ind w:firstLine="560"/>
      </w:pPr>
    </w:p>
    <w:p>
      <w:pPr>
        <w:pStyle w:val="142"/>
      </w:pPr>
      <w:r>
        <w:rPr>
          <w:rFonts w:hint="eastAsia"/>
        </w:rPr>
        <w:t>运行先导能力建设方案（刘庆伟）</w:t>
      </w:r>
    </w:p>
    <w:p>
      <w:pPr>
        <w:pStyle w:val="108"/>
      </w:pPr>
      <w:bookmarkStart w:id="61" w:name="_Toc44832109"/>
      <w:r>
        <w:rPr>
          <w:rFonts w:hint="eastAsia"/>
        </w:rPr>
        <w:t>运行先导能力概述（刘庆伟、张港一）</w:t>
      </w:r>
    </w:p>
    <w:p>
      <w:pPr>
        <w:pStyle w:val="109"/>
      </w:pPr>
      <w:r>
        <w:rPr>
          <w:rFonts w:hint="eastAsia"/>
        </w:rPr>
        <w:t>运行先导能力构成</w:t>
      </w:r>
    </w:p>
    <w:p>
      <w:pPr>
        <w:pStyle w:val="109"/>
      </w:pPr>
      <w:r>
        <w:rPr>
          <w:rFonts w:hint="eastAsia"/>
        </w:rPr>
        <w:t>运行先导能力指标</w:t>
      </w:r>
    </w:p>
    <w:p>
      <w:pPr>
        <w:pStyle w:val="108"/>
      </w:pPr>
      <w:r>
        <w:rPr>
          <w:rFonts w:hint="eastAsia"/>
        </w:rPr>
        <w:t>运行服务平台建设</w:t>
      </w:r>
      <w:r>
        <w:t>方案</w:t>
      </w:r>
    </w:p>
    <w:p>
      <w:pPr>
        <w:pStyle w:val="109"/>
      </w:pPr>
      <w:r>
        <w:rPr>
          <w:rFonts w:hint="eastAsia"/>
        </w:rPr>
        <w:t>运行服务平台总体框架</w:t>
      </w:r>
    </w:p>
    <w:p>
      <w:pPr>
        <w:pStyle w:val="109"/>
      </w:pPr>
      <w:r>
        <w:rPr>
          <w:rFonts w:hint="eastAsia"/>
        </w:rPr>
        <w:t>运行服务平台技术方案</w:t>
      </w:r>
    </w:p>
    <w:p>
      <w:pPr>
        <w:pStyle w:val="109"/>
      </w:pPr>
      <w:r>
        <w:rPr>
          <w:rFonts w:hint="eastAsia"/>
        </w:rPr>
        <w:t>运行服务平台设备方案</w:t>
      </w:r>
    </w:p>
    <w:p>
      <w:pPr>
        <w:pStyle w:val="108"/>
      </w:pPr>
      <w:r>
        <w:rPr>
          <w:rFonts w:hint="eastAsia"/>
        </w:rPr>
        <w:t>综合管理平台建设</w:t>
      </w:r>
      <w:r>
        <w:t>方案</w:t>
      </w:r>
      <w:r>
        <w:rPr>
          <w:rFonts w:hint="eastAsia"/>
        </w:rPr>
        <w:t>（杨咏臻、马立军）</w:t>
      </w:r>
    </w:p>
    <w:p>
      <w:pPr>
        <w:pStyle w:val="109"/>
      </w:pPr>
      <w:r>
        <w:rPr>
          <w:rFonts w:hint="eastAsia"/>
        </w:rPr>
        <w:t>综合管理平台总体框架</w:t>
      </w:r>
    </w:p>
    <w:p>
      <w:pPr>
        <w:pStyle w:val="109"/>
      </w:pPr>
      <w:r>
        <w:rPr>
          <w:rFonts w:hint="eastAsia"/>
        </w:rPr>
        <w:t>综合管理平台技术方案</w:t>
      </w:r>
    </w:p>
    <w:p>
      <w:pPr>
        <w:pStyle w:val="109"/>
      </w:pPr>
      <w:r>
        <w:rPr>
          <w:rFonts w:hint="eastAsia"/>
        </w:rPr>
        <w:t>综合管理平台设备方案</w:t>
      </w:r>
    </w:p>
    <w:p>
      <w:pPr>
        <w:pStyle w:val="108"/>
      </w:pPr>
      <w:r>
        <w:rPr>
          <w:rFonts w:hint="eastAsia"/>
        </w:rPr>
        <w:t>场景应用示范技术</w:t>
      </w:r>
      <w:r>
        <w:t>方案</w:t>
      </w:r>
      <w:r>
        <w:rPr>
          <w:rFonts w:hint="eastAsia"/>
        </w:rPr>
        <w:t>（刘庆伟）</w:t>
      </w:r>
    </w:p>
    <w:p>
      <w:pPr>
        <w:pStyle w:val="109"/>
      </w:pPr>
      <w:r>
        <w:t>智慧图侦</w:t>
      </w:r>
    </w:p>
    <w:p>
      <w:pPr>
        <w:pStyle w:val="109"/>
      </w:pPr>
      <w:r>
        <w:rPr>
          <w:rFonts w:hint="eastAsia"/>
        </w:rPr>
        <w:t>智慧交管</w:t>
      </w:r>
    </w:p>
    <w:p>
      <w:pPr>
        <w:pStyle w:val="109"/>
      </w:pPr>
      <w:r>
        <w:t>平安社区</w:t>
      </w:r>
    </w:p>
    <w:p>
      <w:pPr>
        <w:pStyle w:val="109"/>
      </w:pPr>
      <w:r>
        <w:rPr>
          <w:rFonts w:hint="eastAsia"/>
        </w:rPr>
        <w:t>城市安全AI赋能中心</w:t>
      </w:r>
    </w:p>
    <w:p>
      <w:pPr>
        <w:ind w:firstLine="560"/>
      </w:pPr>
    </w:p>
    <w:bookmarkEnd w:id="61"/>
    <w:p>
      <w:pPr>
        <w:pStyle w:val="142"/>
      </w:pPr>
      <w:bookmarkStart w:id="62" w:name="_Toc204251359"/>
      <w:bookmarkStart w:id="63" w:name="_Toc204251351"/>
      <w:bookmarkStart w:id="64" w:name="_Toc44832120"/>
      <w:r>
        <w:t>标准规范</w:t>
      </w:r>
      <w:bookmarkEnd w:id="62"/>
      <w:r>
        <w:rPr>
          <w:rFonts w:hint="eastAsia"/>
        </w:rPr>
        <w:t>及测评（刘庆伟）</w:t>
      </w:r>
    </w:p>
    <w:p>
      <w:pPr>
        <w:pStyle w:val="108"/>
      </w:pPr>
      <w:bookmarkStart w:id="65" w:name="_Toc40378691"/>
      <w:bookmarkStart w:id="66" w:name="_Toc204251360"/>
      <w:r>
        <w:t>标准规范建设原则</w:t>
      </w:r>
      <w:bookmarkEnd w:id="65"/>
      <w:bookmarkEnd w:id="66"/>
    </w:p>
    <w:p>
      <w:pPr>
        <w:ind w:firstLine="560"/>
      </w:pPr>
    </w:p>
    <w:p>
      <w:pPr>
        <w:pStyle w:val="108"/>
      </w:pPr>
      <w:bookmarkStart w:id="67" w:name="_Toc204251361"/>
      <w:bookmarkStart w:id="68" w:name="_Toc40378692"/>
      <w:r>
        <w:t>标准规范编制流程</w:t>
      </w:r>
      <w:bookmarkEnd w:id="67"/>
      <w:bookmarkEnd w:id="68"/>
    </w:p>
    <w:p>
      <w:pPr>
        <w:ind w:firstLine="560"/>
      </w:pPr>
    </w:p>
    <w:p>
      <w:pPr>
        <w:pStyle w:val="108"/>
      </w:pPr>
      <w:bookmarkStart w:id="69" w:name="_Toc48840545"/>
      <w:bookmarkStart w:id="70" w:name="_Toc40378693"/>
      <w:bookmarkStart w:id="71" w:name="_Toc204251362"/>
      <w:r>
        <w:t>标准规范建设内容</w:t>
      </w:r>
      <w:bookmarkEnd w:id="69"/>
      <w:bookmarkEnd w:id="70"/>
      <w:bookmarkEnd w:id="71"/>
    </w:p>
    <w:p>
      <w:pPr>
        <w:ind w:firstLine="560"/>
        <w:jc w:val="left"/>
      </w:pPr>
    </w:p>
    <w:p>
      <w:pPr>
        <w:pStyle w:val="108"/>
      </w:pPr>
      <w:bookmarkStart w:id="72" w:name="_Toc204251363"/>
      <w:bookmarkStart w:id="73" w:name="_Toc40378694"/>
      <w:r>
        <w:t>内部规范建设内容</w:t>
      </w:r>
      <w:bookmarkEnd w:id="72"/>
    </w:p>
    <w:p>
      <w:pPr>
        <w:ind w:firstLine="560"/>
      </w:pPr>
    </w:p>
    <w:p>
      <w:pPr>
        <w:pStyle w:val="108"/>
      </w:pPr>
      <w:bookmarkStart w:id="74" w:name="_Toc204251364"/>
      <w:r>
        <w:t>管理制度建设内容</w:t>
      </w:r>
      <w:bookmarkEnd w:id="73"/>
      <w:bookmarkEnd w:id="74"/>
    </w:p>
    <w:p>
      <w:pPr>
        <w:ind w:firstLine="560"/>
      </w:pPr>
    </w:p>
    <w:p>
      <w:pPr>
        <w:pStyle w:val="108"/>
      </w:pPr>
      <w:r>
        <w:rPr>
          <w:rFonts w:hint="eastAsia"/>
        </w:rPr>
        <w:t>测评服务建设内容</w:t>
      </w:r>
    </w:p>
    <w:p>
      <w:pPr>
        <w:pStyle w:val="142"/>
      </w:pPr>
      <w:r>
        <w:t>机房及配套工程设计</w:t>
      </w:r>
      <w:bookmarkEnd w:id="63"/>
      <w:bookmarkEnd w:id="64"/>
      <w:r>
        <w:rPr>
          <w:rFonts w:hint="eastAsia"/>
        </w:rPr>
        <w:t>（覃波、林川祥）</w:t>
      </w:r>
    </w:p>
    <w:p>
      <w:pPr>
        <w:pStyle w:val="108"/>
      </w:pPr>
      <w:bookmarkStart w:id="75" w:name="_Toc204251352"/>
      <w:r>
        <w:t>机房</w:t>
      </w:r>
      <w:bookmarkEnd w:id="75"/>
      <w:r>
        <w:rPr>
          <w:rFonts w:hint="eastAsia"/>
        </w:rPr>
        <w:t>使用需求</w:t>
      </w:r>
    </w:p>
    <w:p>
      <w:pPr>
        <w:ind w:firstLine="560"/>
      </w:pPr>
    </w:p>
    <w:p>
      <w:pPr>
        <w:pStyle w:val="108"/>
      </w:pPr>
      <w:bookmarkStart w:id="76" w:name="_Toc204251353"/>
      <w:r>
        <w:t>机房配套</w:t>
      </w:r>
      <w:r>
        <w:rPr>
          <w:rFonts w:hint="eastAsia"/>
        </w:rPr>
        <w:t>要</w:t>
      </w:r>
      <w:r>
        <w:t>求</w:t>
      </w:r>
      <w:bookmarkEnd w:id="76"/>
      <w:r>
        <w:rPr>
          <w:rFonts w:hint="eastAsia"/>
        </w:rPr>
        <w:t>（供参考）</w:t>
      </w:r>
    </w:p>
    <w:p>
      <w:pPr>
        <w:ind w:firstLine="560"/>
      </w:pPr>
      <w:r>
        <w:t>本项目采用租用机房的方式承载所建设备。为了保证设备所放置机房的分区域、高可用、强安全等相关需求，机房选址需满足如下原则：</w:t>
      </w:r>
    </w:p>
    <w:p>
      <w:pPr>
        <w:ind w:firstLine="560"/>
      </w:pPr>
      <w:r>
        <w:t>应有利于IDC业务的发展，并满足可靠性和可用性的要求。</w:t>
      </w:r>
    </w:p>
    <w:p>
      <w:pPr>
        <w:ind w:firstLine="560"/>
      </w:pPr>
      <w:r>
        <w:t>（1）应选在地质条件良好，不发生洪水、内涝、飓风等灾难的地点。数据中心不应选在已知地震带内。</w:t>
      </w:r>
    </w:p>
    <w:p>
      <w:pPr>
        <w:ind w:firstLine="560"/>
      </w:pPr>
      <w:r>
        <w:t>（2）应选在没有强污染源、强放射源、强振动源、火灾易发点等安全隐患的地点。</w:t>
      </w:r>
    </w:p>
    <w:p>
      <w:pPr>
        <w:ind w:firstLine="560"/>
      </w:pPr>
      <w:r>
        <w:t>（3）宜选在远离上空有航线，附近有电气化铁路、高压电站、发射电台等的场所，</w:t>
      </w:r>
    </w:p>
    <w:p>
      <w:pPr>
        <w:ind w:firstLine="560"/>
      </w:pPr>
      <w:r>
        <w:t>（4）应避免位于公共交通主干道边及闹市区，周围无重大军事目标，增加IDC中心的物理安全性。</w:t>
      </w:r>
    </w:p>
    <w:p>
      <w:pPr>
        <w:ind w:firstLine="560"/>
      </w:pPr>
      <w:r>
        <w:t>（5）应考虑有足够和稳定的电力供应；电力容量要充足，外电引入投资要考虑经济合理。</w:t>
      </w:r>
    </w:p>
    <w:p>
      <w:pPr>
        <w:ind w:firstLine="560"/>
      </w:pPr>
      <w:r>
        <w:t>（6）宜选择独立的建筑物建设，应有效的隔离数据中心与周围的建筑。当周围建筑发生火灾或其它紧急情况时，不会影响到数据中心的正常运行。</w:t>
      </w:r>
    </w:p>
    <w:p>
      <w:pPr>
        <w:ind w:firstLine="560"/>
      </w:pPr>
      <w:r>
        <w:t>（7）应有充足的水源供应，保证空调及消防用水。</w:t>
      </w:r>
    </w:p>
    <w:p>
      <w:pPr>
        <w:ind w:firstLine="560"/>
      </w:pPr>
      <w:r>
        <w:t>（8）应优先考虑基础电信运营商网络核心骨干节点，数据中心应直连基础运营商骨干网络。</w:t>
      </w:r>
    </w:p>
    <w:p>
      <w:pPr>
        <w:ind w:firstLine="560"/>
      </w:pPr>
      <w:r>
        <w:t>对所选机房的建设标准和相关配套设施的需求如下：</w:t>
      </w:r>
    </w:p>
    <w:p>
      <w:pPr>
        <w:pStyle w:val="109"/>
      </w:pPr>
      <w:r>
        <w:t>机房建设标准</w:t>
      </w:r>
    </w:p>
    <w:p>
      <w:pPr>
        <w:ind w:firstLine="560"/>
      </w:pPr>
      <w:r>
        <w:t>机房设计及建设依据：</w:t>
      </w:r>
    </w:p>
    <w:p>
      <w:pPr>
        <w:ind w:firstLine="560"/>
      </w:pPr>
      <w:r>
        <w:t>（1）《数据中心设计规范》（GB50174-2017）</w:t>
      </w:r>
    </w:p>
    <w:p>
      <w:pPr>
        <w:ind w:firstLine="560"/>
      </w:pPr>
      <w:r>
        <w:t>（2）《数据中心基础设施施工及验收规范》（GB50462-2015）</w:t>
      </w:r>
    </w:p>
    <w:p>
      <w:pPr>
        <w:ind w:firstLine="560"/>
      </w:pPr>
      <w:r>
        <w:t>（3）《计算机场地通用规范》（GB/T 2887-2011）</w:t>
      </w:r>
    </w:p>
    <w:p>
      <w:pPr>
        <w:ind w:firstLine="560"/>
      </w:pPr>
      <w:r>
        <w:t>（4）《建筑设计防火规范》（GB50016-2014）</w:t>
      </w:r>
    </w:p>
    <w:p>
      <w:pPr>
        <w:ind w:firstLine="560"/>
      </w:pPr>
      <w:r>
        <w:t>（5）《供配电系统设计规范》（GB50052-2009）</w:t>
      </w:r>
    </w:p>
    <w:p>
      <w:pPr>
        <w:ind w:firstLine="560"/>
      </w:pPr>
      <w:r>
        <w:t>（6）《低压配电设计规范》（GB50054-2011）</w:t>
      </w:r>
    </w:p>
    <w:p>
      <w:pPr>
        <w:ind w:firstLine="560"/>
      </w:pPr>
      <w:r>
        <w:t>（7）《建筑物防雷设计规范》（GB50057-2010）</w:t>
      </w:r>
    </w:p>
    <w:p>
      <w:pPr>
        <w:ind w:firstLine="560"/>
      </w:pPr>
      <w:r>
        <w:t>（8）《建筑物电子信息系统防雷技术规范》（GB50343-2012）</w:t>
      </w:r>
    </w:p>
    <w:p>
      <w:pPr>
        <w:ind w:firstLine="560"/>
      </w:pPr>
      <w:r>
        <w:t>（9）《火灾自动报警系统设计规范》（GB50116-2013）</w:t>
      </w:r>
    </w:p>
    <w:p>
      <w:pPr>
        <w:ind w:firstLine="560"/>
      </w:pPr>
      <w:r>
        <w:t>（10）《综合布线系统工程设计规范》（GB 50311-2016）</w:t>
      </w:r>
    </w:p>
    <w:p>
      <w:pPr>
        <w:ind w:firstLine="560"/>
      </w:pPr>
      <w:r>
        <w:t>（11）《信息安全技术信息系统物理安全技术要求》（GB/T 21052—2007）</w:t>
      </w:r>
    </w:p>
    <w:p>
      <w:pPr>
        <w:ind w:firstLine="560"/>
      </w:pPr>
      <w:r>
        <w:t>（12）《信息系统灾难恢复规范》（GB/T 20988-2007）</w:t>
      </w:r>
    </w:p>
    <w:p>
      <w:pPr>
        <w:pStyle w:val="109"/>
      </w:pPr>
      <w:r>
        <w:t>机房要求</w:t>
      </w:r>
    </w:p>
    <w:p>
      <w:pPr>
        <w:widowControl/>
        <w:ind w:firstLine="560"/>
        <w:jc w:val="left"/>
      </w:pPr>
      <w:r>
        <w:t>（1）供电可靠性高</w:t>
      </w:r>
    </w:p>
    <w:p>
      <w:pPr>
        <w:widowControl/>
        <w:ind w:firstLine="560"/>
        <w:jc w:val="left"/>
      </w:pPr>
      <w:r>
        <w:t>供电系统通过双供电（一类市电、双路供电）、双UPS（2N配置、30分钟后备蓄电池）、高压柴油发电机系统（8小时储油+供油协议、N+1台柴油发电机、每季度带载测试），确保年供电可靠性达99.99%。</w:t>
      </w:r>
    </w:p>
    <w:p>
      <w:pPr>
        <w:widowControl/>
        <w:ind w:firstLine="560"/>
        <w:jc w:val="left"/>
      </w:pPr>
      <w:r>
        <w:t xml:space="preserve">（2）优质的互联网接入能力 </w:t>
      </w:r>
    </w:p>
    <w:p>
      <w:pPr>
        <w:widowControl/>
        <w:ind w:firstLine="560"/>
        <w:jc w:val="left"/>
      </w:pPr>
      <w:r>
        <w:t>直连通信网络骨干网，顶级网络品质，且通过全冗余设计、高级别的安全防护，确保网络年可靠性达99.99%。</w:t>
      </w:r>
    </w:p>
    <w:p>
      <w:pPr>
        <w:pStyle w:val="109"/>
      </w:pPr>
      <w:r>
        <w:t>IDC机房及机柜</w:t>
      </w:r>
    </w:p>
    <w:p>
      <w:pPr>
        <w:widowControl/>
        <w:ind w:firstLine="560"/>
        <w:jc w:val="left"/>
      </w:pPr>
      <w:r>
        <w:t>按照国家标准《数据中心设计规范》（GB50174-2017）A级机房标准设计和建设，符合国际标准《数据中心电信基础设施标准》（ANSI/TIA/EAI 942）Tier 3级以上（含Tier 3级）标准，是用于机房使用的专属建筑，相应指标均达到A级标准，机房设计使用年限50年。</w:t>
      </w:r>
    </w:p>
    <w:p>
      <w:pPr>
        <w:widowControl/>
        <w:ind w:firstLine="560"/>
        <w:jc w:val="left"/>
      </w:pPr>
      <w:r>
        <w:t>通信机房具备核心设备区、监控室、库房，客户操作区、客户接待区、客户参观展示区、会议室、客户办公区、客户休息区等。辅助区域包括运行监控、业务参观区域、门厅、值班室、更衣间。抗震设防类别：乙级，抗震设防烈度：8度。</w:t>
      </w:r>
    </w:p>
    <w:p>
      <w:pPr>
        <w:widowControl/>
        <w:ind w:firstLine="560"/>
        <w:jc w:val="left"/>
      </w:pPr>
      <w:r>
        <w:t>标准机柜参数为高2000mm、宽600mm，深1200mm，材质为冷轧钢板，厚度不小于1.5mm，可提供46U标准空间，每个机柜独立带锁。每个机柜提供双路UPS不间断供电，均纵向安装了主备两路PDU，分别来自不同的UPS。机柜内每路PDU配置18路共计36路输出，并可根据客户需求进行调整。</w:t>
      </w:r>
    </w:p>
    <w:p>
      <w:pPr>
        <w:pStyle w:val="109"/>
      </w:pPr>
      <w:r>
        <w:t>机房物理安全</w:t>
      </w:r>
    </w:p>
    <w:p>
      <w:pPr>
        <w:widowControl/>
        <w:ind w:firstLine="560"/>
        <w:jc w:val="left"/>
      </w:pPr>
      <w:r>
        <w:t>（1）周边环境</w:t>
      </w:r>
    </w:p>
    <w:p>
      <w:pPr>
        <w:widowControl/>
        <w:ind w:firstLine="560"/>
        <w:jc w:val="left"/>
      </w:pPr>
      <w:r>
        <w:t>数据中心，为电子信息系统机房专用的建筑物，独立数据中心园区。地质上属于非地震断裂带，地基坚固，水文、地质、气象等自然条件良好。机房本身及周围没有强污染源、强放射源、强振动源、火灾易发点等安全隐患的地点；机房应避免位于河流、湖泊、火车站、公共交通枢纽、加油站及闹市区附近，周围无重大军事目标，确保数据中心的物理安全性。</w:t>
      </w:r>
    </w:p>
    <w:p>
      <w:pPr>
        <w:widowControl/>
        <w:ind w:firstLine="560"/>
        <w:jc w:val="left"/>
      </w:pPr>
      <w:r>
        <w:t>（2）门禁及入侵报警系统、出入口控制系统</w:t>
      </w:r>
    </w:p>
    <w:p>
      <w:pPr>
        <w:widowControl/>
        <w:ind w:firstLine="560"/>
        <w:jc w:val="left"/>
      </w:pPr>
      <w:r>
        <w:t>数据中心配备有统一、先进的综合安防系统，并提供7×24小时安保措施。整个园区的视频监控系统、门禁系统、防入侵系统、出入口控制系统最终由综合安防系统这个统一的平台进行联动控制，实现对各子系统进行集中监视和管理，可以及时、准确、全面地反映各子系统运行状态。以各子系统的状态参数为基础，实现各子系统之间的相关联动。</w:t>
      </w:r>
    </w:p>
    <w:p>
      <w:pPr>
        <w:widowControl/>
        <w:ind w:firstLine="560"/>
        <w:jc w:val="left"/>
      </w:pPr>
      <w:r>
        <w:t>门禁系统管理园区人员出入，员工和外来人员可以通过刷卡，开启楼宇大门或内部工作区间门。管理人员可通过安装在计算机上的门禁管理软件进行人员权限设置、分析及查询门禁出入记录，实时监控各个门的进出情况，统计报表等。门禁设备主要布置在园区出入口、机楼出入口、各楼层机房门口、走廊门口、楼梯门口等处。门禁记录保存时间不少于1年，并可随时提供查阅。</w:t>
      </w:r>
    </w:p>
    <w:p>
      <w:pPr>
        <w:widowControl/>
        <w:ind w:firstLine="560"/>
        <w:jc w:val="left"/>
      </w:pPr>
      <w:r>
        <w:t>当值守人员发现异常情况或系统警报拉响，联动监控系统做出以下联动动作：某摄像机切换到某监视器；某摄像机切换到某预制位；启动录像。门禁门开、关、锁定、解除锁定，可应用于重点办公室或者重点区域的报警防护工作，比如财务室等，发生报警时，可联动锁定整层楼的若干个门禁同时锁定，授权卡也无法打开，只能由平台软件或门禁管理软件解除锁定，运营支撑中心分区分域示意如</w:t>
      </w:r>
      <w:r>
        <w:fldChar w:fldCharType="begin"/>
      </w:r>
      <w:r>
        <w:instrText xml:space="preserve"> REF _Ref68898066 \h  \* MERGEFORMAT </w:instrText>
      </w:r>
      <w:r>
        <w:fldChar w:fldCharType="separate"/>
      </w:r>
      <w:r>
        <w:rPr>
          <w:color w:val="000000"/>
        </w:rPr>
        <w:t>图6</w:t>
      </w:r>
      <w:r>
        <w:rPr>
          <w:color w:val="000000"/>
        </w:rPr>
        <w:noBreakHyphen/>
      </w:r>
      <w:r>
        <w:rPr>
          <w:color w:val="000000"/>
        </w:rPr>
        <w:t>232</w:t>
      </w:r>
      <w:r>
        <w:fldChar w:fldCharType="end"/>
      </w:r>
      <w:r>
        <w:t>所示。</w:t>
      </w:r>
    </w:p>
    <w:p>
      <w:pPr>
        <w:ind w:firstLine="560"/>
      </w:pPr>
      <w:r>
        <w:drawing>
          <wp:inline distT="0" distB="0" distL="0" distR="0">
            <wp:extent cx="5091430" cy="4107815"/>
            <wp:effectExtent l="0" t="0" r="0" b="698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5091430" cy="4107815"/>
                    </a:xfrm>
                    <a:prstGeom prst="rect">
                      <a:avLst/>
                    </a:prstGeom>
                    <a:noFill/>
                    <a:ln>
                      <a:noFill/>
                    </a:ln>
                  </pic:spPr>
                </pic:pic>
              </a:graphicData>
            </a:graphic>
          </wp:inline>
        </w:drawing>
      </w:r>
    </w:p>
    <w:p>
      <w:pPr>
        <w:ind w:firstLine="420"/>
        <w:jc w:val="center"/>
      </w:pPr>
      <w:bookmarkStart w:id="77" w:name="_Ref68898066"/>
      <w:r>
        <w:rPr>
          <w:color w:val="000000"/>
          <w:sz w:val="21"/>
        </w:rPr>
        <w:t>图</w:t>
      </w:r>
      <w:r>
        <w:rPr>
          <w:color w:val="000000"/>
          <w:sz w:val="21"/>
        </w:rPr>
        <w:fldChar w:fldCharType="begin"/>
      </w:r>
      <w:r>
        <w:rPr>
          <w:color w:val="000000"/>
          <w:sz w:val="21"/>
        </w:rPr>
        <w:instrText xml:space="preserve"> STYLEREF 1 \s </w:instrText>
      </w:r>
      <w:r>
        <w:rPr>
          <w:color w:val="000000"/>
          <w:sz w:val="21"/>
        </w:rPr>
        <w:fldChar w:fldCharType="separate"/>
      </w:r>
      <w:r>
        <w:rPr>
          <w:color w:val="000000"/>
          <w:sz w:val="21"/>
        </w:rPr>
        <w:t>6</w:t>
      </w:r>
      <w:r>
        <w:rPr>
          <w:color w:val="000000"/>
          <w:sz w:val="21"/>
        </w:rPr>
        <w:fldChar w:fldCharType="end"/>
      </w:r>
      <w:r>
        <w:rPr>
          <w:color w:val="000000"/>
          <w:sz w:val="21"/>
        </w:rPr>
        <w:noBreakHyphen/>
      </w:r>
      <w:r>
        <w:rPr>
          <w:color w:val="000000"/>
          <w:sz w:val="21"/>
        </w:rPr>
        <w:fldChar w:fldCharType="begin"/>
      </w:r>
      <w:r>
        <w:rPr>
          <w:color w:val="000000"/>
          <w:sz w:val="21"/>
        </w:rPr>
        <w:instrText xml:space="preserve"> SEQ 图 \* ARABIC \s 1 </w:instrText>
      </w:r>
      <w:r>
        <w:rPr>
          <w:color w:val="000000"/>
          <w:sz w:val="21"/>
        </w:rPr>
        <w:fldChar w:fldCharType="separate"/>
      </w:r>
      <w:r>
        <w:rPr>
          <w:color w:val="000000"/>
          <w:sz w:val="21"/>
        </w:rPr>
        <w:t>232</w:t>
      </w:r>
      <w:r>
        <w:rPr>
          <w:color w:val="000000"/>
          <w:sz w:val="21"/>
        </w:rPr>
        <w:fldChar w:fldCharType="end"/>
      </w:r>
      <w:bookmarkEnd w:id="77"/>
      <w:r>
        <w:rPr>
          <w:sz w:val="21"/>
        </w:rPr>
        <w:t>分区分域示意图</w:t>
      </w:r>
    </w:p>
    <w:p>
      <w:pPr>
        <w:widowControl/>
        <w:ind w:firstLine="560"/>
        <w:jc w:val="left"/>
      </w:pPr>
      <w:r>
        <w:t>（3）视频监控系统</w:t>
      </w:r>
    </w:p>
    <w:p>
      <w:pPr>
        <w:widowControl/>
        <w:ind w:firstLine="560"/>
        <w:jc w:val="left"/>
      </w:pPr>
      <w:r>
        <w:t>整个园区的视频监控系统、门禁系统、防入侵系统、出入口控制系统最终由综合安防系统这个统一的平台进行联动控制，实现对各子系统进行集中监视和管理，可以及时、准确、全面地反映各子系统运行状态。以各子系统的状态参数为基础，实现各子系统之间的相关联动。</w:t>
      </w:r>
    </w:p>
    <w:p>
      <w:pPr>
        <w:widowControl/>
        <w:ind w:firstLine="560"/>
        <w:jc w:val="left"/>
      </w:pPr>
      <w:r>
        <w:t>视频监控系统监控的地点主要分布在园区的出入口及周界、主要通道、电梯厅、电梯轿厢、机房出入口及机房内每个列间等区域，可以实现图像监控、画面切换、云台控制、图像存储、录像类型等强大功能，确保监控无死角，系统采用存储服务器实现对所有视频录像进行行海量存储，存储时间超过90天，视频监控系统示意图如</w:t>
      </w:r>
      <w:r>
        <w:fldChar w:fldCharType="begin"/>
      </w:r>
      <w:r>
        <w:instrText xml:space="preserve"> REF _Ref68898081 \h  \* MERGEFORMAT </w:instrText>
      </w:r>
      <w:r>
        <w:fldChar w:fldCharType="separate"/>
      </w:r>
      <w:r>
        <w:t>图6</w:t>
      </w:r>
      <w:r>
        <w:noBreakHyphen/>
      </w:r>
      <w:r>
        <w:t>233</w:t>
      </w:r>
      <w:r>
        <w:fldChar w:fldCharType="end"/>
      </w:r>
      <w:r>
        <w:t>所示。</w:t>
      </w:r>
    </w:p>
    <w:p>
      <w:pPr>
        <w:ind w:firstLine="560"/>
      </w:pPr>
      <w:r>
        <w:drawing>
          <wp:inline distT="0" distB="0" distL="0" distR="0">
            <wp:extent cx="4184015" cy="2909570"/>
            <wp:effectExtent l="0" t="0" r="6985" b="508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4184015" cy="2909570"/>
                    </a:xfrm>
                    <a:prstGeom prst="rect">
                      <a:avLst/>
                    </a:prstGeom>
                    <a:noFill/>
                    <a:ln>
                      <a:noFill/>
                    </a:ln>
                  </pic:spPr>
                </pic:pic>
              </a:graphicData>
            </a:graphic>
          </wp:inline>
        </w:drawing>
      </w:r>
    </w:p>
    <w:p>
      <w:pPr>
        <w:ind w:firstLine="420"/>
        <w:jc w:val="center"/>
      </w:pPr>
      <w:bookmarkStart w:id="78" w:name="_Ref68898081"/>
      <w:r>
        <w:rPr>
          <w:color w:val="000000"/>
          <w:sz w:val="21"/>
        </w:rPr>
        <w:t>图</w:t>
      </w:r>
      <w:r>
        <w:rPr>
          <w:color w:val="000000"/>
          <w:sz w:val="21"/>
        </w:rPr>
        <w:fldChar w:fldCharType="begin"/>
      </w:r>
      <w:r>
        <w:rPr>
          <w:color w:val="000000"/>
          <w:sz w:val="21"/>
        </w:rPr>
        <w:instrText xml:space="preserve"> STYLEREF 1 \s </w:instrText>
      </w:r>
      <w:r>
        <w:rPr>
          <w:color w:val="000000"/>
          <w:sz w:val="21"/>
        </w:rPr>
        <w:fldChar w:fldCharType="separate"/>
      </w:r>
      <w:r>
        <w:rPr>
          <w:color w:val="000000"/>
          <w:sz w:val="21"/>
        </w:rPr>
        <w:t>6</w:t>
      </w:r>
      <w:r>
        <w:rPr>
          <w:color w:val="000000"/>
          <w:sz w:val="21"/>
        </w:rPr>
        <w:fldChar w:fldCharType="end"/>
      </w:r>
      <w:r>
        <w:rPr>
          <w:color w:val="000000"/>
          <w:sz w:val="21"/>
        </w:rPr>
        <w:noBreakHyphen/>
      </w:r>
      <w:r>
        <w:rPr>
          <w:color w:val="000000"/>
          <w:sz w:val="21"/>
        </w:rPr>
        <w:fldChar w:fldCharType="begin"/>
      </w:r>
      <w:r>
        <w:rPr>
          <w:color w:val="000000"/>
          <w:sz w:val="21"/>
        </w:rPr>
        <w:instrText xml:space="preserve"> SEQ 图 \* ARABIC \s 1 </w:instrText>
      </w:r>
      <w:r>
        <w:rPr>
          <w:color w:val="000000"/>
          <w:sz w:val="21"/>
        </w:rPr>
        <w:fldChar w:fldCharType="separate"/>
      </w:r>
      <w:r>
        <w:rPr>
          <w:color w:val="000000"/>
          <w:sz w:val="21"/>
        </w:rPr>
        <w:t>233</w:t>
      </w:r>
      <w:r>
        <w:rPr>
          <w:color w:val="000000"/>
          <w:sz w:val="21"/>
        </w:rPr>
        <w:fldChar w:fldCharType="end"/>
      </w:r>
      <w:bookmarkEnd w:id="78"/>
      <w:r>
        <w:rPr>
          <w:sz w:val="21"/>
        </w:rPr>
        <w:t>视频监控系统示意图</w:t>
      </w:r>
    </w:p>
    <w:p>
      <w:pPr>
        <w:widowControl/>
        <w:ind w:firstLine="560"/>
        <w:jc w:val="left"/>
      </w:pPr>
      <w:r>
        <w:t>（4）安全保密制度</w:t>
      </w:r>
    </w:p>
    <w:p>
      <w:pPr>
        <w:ind w:firstLine="560"/>
      </w:pPr>
      <w:r>
        <w:t>除基本的运维管理制度外，数据中心也制定了严格的保密制度，确保数据和信息安全，具体如下：</w:t>
      </w:r>
    </w:p>
    <w:p>
      <w:pPr>
        <w:widowControl/>
        <w:ind w:firstLine="840" w:firstLineChars="300"/>
        <w:jc w:val="left"/>
      </w:pPr>
      <w:r>
        <w:t>1）IDC运维团队应熟悉并严格执行安全保密要求，IDC运行维护涉及到的各类文件、记录、介质等要认真存放，不得丢失，不得向外泄露。机房内重要文件、数据的销毁，应全部送入碎纸机，不得随意丢失；</w:t>
      </w:r>
    </w:p>
    <w:p>
      <w:pPr>
        <w:widowControl/>
        <w:ind w:firstLine="840" w:firstLineChars="300"/>
        <w:jc w:val="left"/>
      </w:pPr>
      <w:r>
        <w:t>2）IDC的客户资料属于高度商业机密，IDC运维团队不得随意向无关人员透露任何信息，尤其是政府、行业的重要大客户，要特别重视他们的信息保密；</w:t>
      </w:r>
    </w:p>
    <w:p>
      <w:pPr>
        <w:widowControl/>
        <w:ind w:firstLine="840" w:firstLineChars="300"/>
        <w:jc w:val="left"/>
      </w:pPr>
      <w:r>
        <w:t>3）IDC运维团队不得向客户随意打听系统的应用情况、相关资料内容等，没有得到客户或政府安全部门允许，不能私自对任何客户的设备进行操作检查；</w:t>
      </w:r>
    </w:p>
    <w:p>
      <w:pPr>
        <w:widowControl/>
        <w:ind w:firstLine="840" w:firstLineChars="300"/>
        <w:jc w:val="left"/>
      </w:pPr>
      <w:r>
        <w:t>4）IDC运维团队不得向客户透露其他客户在IDC的业务使用情况；</w:t>
      </w:r>
    </w:p>
    <w:p>
      <w:pPr>
        <w:widowControl/>
        <w:ind w:firstLine="840" w:firstLineChars="300"/>
        <w:jc w:val="left"/>
      </w:pPr>
      <w:r>
        <w:t>5）IDC客户必须按要求提供必要的使用资料，并承诺不利用IDC从事违法活动；</w:t>
      </w:r>
    </w:p>
    <w:p>
      <w:pPr>
        <w:widowControl/>
        <w:ind w:firstLine="840" w:firstLineChars="300"/>
        <w:jc w:val="left"/>
      </w:pPr>
      <w:r>
        <w:t>6）客户在IDC对其业务系统进行维护活动时，不能对其他客户业务系统的设备进行操作，严禁借机窃取商业秘密的活动；</w:t>
      </w:r>
    </w:p>
    <w:p>
      <w:pPr>
        <w:widowControl/>
        <w:ind w:firstLine="840" w:firstLineChars="300"/>
        <w:jc w:val="left"/>
      </w:pPr>
      <w:r>
        <w:t>7）IDC运维组组长必须经常对IDC运维团队进行安全保密教育，定期检查安全保密规定的执行情况，发现问题及时改进。</w:t>
      </w:r>
    </w:p>
    <w:p>
      <w:pPr>
        <w:pStyle w:val="109"/>
      </w:pPr>
      <w:r>
        <w:t>供电系统</w:t>
      </w:r>
    </w:p>
    <w:p>
      <w:pPr>
        <w:ind w:firstLine="560"/>
      </w:pPr>
      <w:r>
        <w:t>（1）外市电引入方案及供电系统结构</w:t>
      </w:r>
    </w:p>
    <w:p>
      <w:pPr>
        <w:ind w:firstLine="560"/>
      </w:pPr>
      <w:r>
        <w:t>数据中心园区供电来至于国家电网的2个变电站的多路供电线路。数据中心设计采用两座独立环网110KV变电站为园区提供双10KV市电供电。</w:t>
      </w:r>
    </w:p>
    <w:p>
      <w:pPr>
        <w:ind w:firstLine="560"/>
      </w:pPr>
      <w:r>
        <w:t>（2）UPS及蓄电池</w:t>
      </w:r>
    </w:p>
    <w:p>
      <w:pPr>
        <w:ind w:firstLine="560"/>
      </w:pPr>
      <w:r>
        <w:t>每个机房模块供电采用2N及2(N+1）设计，即每个机房模块供电来至独立的多套UPS系统供电，确保机房内每台双电源IT设备供电来至不同的两路供电。</w:t>
      </w:r>
    </w:p>
    <w:p>
      <w:pPr>
        <w:ind w:firstLine="560"/>
      </w:pPr>
      <w:r>
        <w:t>UPS配套设备放置于与其他功能区域物理隔离的专属功能区域，专职人员负载其维护管理。</w:t>
      </w:r>
    </w:p>
    <w:p>
      <w:pPr>
        <w:ind w:firstLine="560"/>
      </w:pPr>
      <w:r>
        <w:t>UPS系统使用400KVA高稳定性工频UPS。电池组配置电池监测系统，实时监测每只电池运行状况，如有问题，及时准确找出维护，避免事故发生。机房不间断电源系统采用双总线系统，对机柜的供电均来自两套不同的UPS供电路径，冗余方式为2N模式。机房供电系统由维护团队进行维护，维护团队24×7值班，对电力系统进行4小时/次的巡检。当供电系统出现异常或故障，维护团队在10～15分钟内响应，单路市电故障时30秒通过低压联络恢复供电，双路市电故障时300秒油机供电合闸输出恢复供电。</w:t>
      </w:r>
    </w:p>
    <w:p>
      <w:pPr>
        <w:ind w:firstLine="560"/>
      </w:pPr>
      <w:r>
        <w:t>（3）备用柴油发电机系统</w:t>
      </w:r>
    </w:p>
    <w:p>
      <w:pPr>
        <w:ind w:firstLine="560"/>
      </w:pPr>
      <w:r>
        <w:t>数据中心柴油发电机组设备放置于与其他功能区域物理隔离的专属功能区域，专职人员负责其维护管理。</w:t>
      </w:r>
    </w:p>
    <w:p>
      <w:pPr>
        <w:ind w:firstLine="560"/>
      </w:pPr>
      <w:r>
        <w:t>数据中心机房油机按照N结构配置，总功率52000KW，启动时间30秒。柴油发电机设计冗余结构，并机输出，在一级中压配电系统中使用中压（油机）输入柜控制油机电输入和切换。机房为每台柴油发电机配备了一个1立方米的日常用储油容器，为每套冗余并机系统独立配置一个50立方米的室外地埋储油容器，总储油量200立方米，可支持机房满负载8小时运行时间。机房和供油商签有供油协议，供油商可在4小时内到场提供持续供油服务。</w:t>
      </w:r>
    </w:p>
    <w:p>
      <w:pPr>
        <w:ind w:firstLine="560"/>
      </w:pPr>
      <w:r>
        <w:t>（4）机柜电力方案</w:t>
      </w:r>
    </w:p>
    <w:p>
      <w:pPr>
        <w:ind w:firstLine="560"/>
      </w:pPr>
      <w:r>
        <w:t>每个机房模块供电采用2N及2(N+1）设计，即每个机房模块供电来至独立的多套UPS系统供电，确保机房内每台双电源IT设备供电来自不同的两路供电。每条回路均可独立支持所有负载，充分保证客户设备和业务的安全性和连续性。</w:t>
      </w:r>
    </w:p>
    <w:p>
      <w:pPr>
        <w:ind w:firstLine="560"/>
      </w:pPr>
      <w:r>
        <w:t>UPS配套设备放置于与其他功能区域物理隔离的专属功能区域，专职人员负载其维护管理。</w:t>
      </w:r>
    </w:p>
    <w:p>
      <w:pPr>
        <w:ind w:firstLine="560"/>
      </w:pPr>
      <w:r>
        <w:t>UPS供电系统设计灵活可靠，UPS系统维护而不影响对机柜的供电，可以根据客户需求进行配置。UPS电池共800Ah×50组、1000Ah×83组、每组192节电池，电池可支持机房满载系统运行30分钟。电池组配置电池监测系统，实时监测每只电池运行状况，如有问题，及时准确找出维护，避免事故发生。</w:t>
      </w:r>
    </w:p>
    <w:p>
      <w:pPr>
        <w:ind w:firstLine="560"/>
      </w:pPr>
      <w:r>
        <w:t>机房不间断电源系统采用双总线系统，对机柜的供电均来自两套不同的UPS供电路径，冗余方式为2N模式。机房供电系统由运维团队进行维护，维护团队24×7值班，对电力系统进行4小时/次的巡检。当供电系统出现异常或故障，维护团队可在5分钟内响应，单路市电故障时30秒通过低压联络恢复供电，双路市电故障时300秒油机供电合闸输出恢复供电。</w:t>
      </w:r>
    </w:p>
    <w:p>
      <w:pPr>
        <w:ind w:firstLine="560"/>
      </w:pPr>
      <w:r>
        <w:t>机房内列头柜（配电柜）输出配备380V空开，保证具备380V三相电的能力，并可根据需求进行动态调整或改造。</w:t>
      </w:r>
    </w:p>
    <w:p>
      <w:pPr>
        <w:ind w:firstLine="560"/>
      </w:pPr>
      <w:r>
        <w:t>每个机柜均纵向安装了主备两路PDU，每路PDU配置18路共计36路输出，并可根据需求进行调整或改造。</w:t>
      </w:r>
    </w:p>
    <w:p>
      <w:pPr>
        <w:ind w:firstLine="560"/>
      </w:pPr>
      <w:r>
        <w:t>（5）市电与不间断电源双路供电</w:t>
      </w:r>
    </w:p>
    <w:p>
      <w:pPr>
        <w:ind w:firstLine="560"/>
      </w:pPr>
      <w:r>
        <w:t>随着双电源服务器的广泛应用，与传统2N架构不间断电源供电系统相比，1路市电+1路不间断电源（主要采用高压直流HVDC，也可采用交流不间断电源UPS）是兼具较好经济性与较高可用性的新型供电架构。</w:t>
      </w:r>
    </w:p>
    <w:p>
      <w:pPr>
        <w:ind w:firstLine="560"/>
      </w:pPr>
      <w:r>
        <w:t>市电电源与交流UPS混供系统指设备采用1路市电+1路UPS供电，市电与UPS全程互为备份。</w:t>
      </w:r>
    </w:p>
    <w:p>
      <w:pPr>
        <w:ind w:firstLine="560"/>
      </w:pPr>
      <w:r>
        <w:t>市电电源与高压直流混供系统指设备采用1路市电+1路高压直流供电，市电与高压直流供电全程互为备份。</w:t>
      </w:r>
    </w:p>
    <w:p>
      <w:pPr>
        <w:ind w:firstLine="560"/>
      </w:pPr>
      <w:r>
        <w:t>此类型供电架构结合定制服务器电源，主用市电、备用高压直流电源系统，自用系统宜采用336V高压直流系统。在机房中大量采用1路市电+1路高压直流（240V HVDC）供电架构结合定制双电源服务器，在正常运行时由市电提供全部或大部分（如90%）服务器用电，当市电故障或中断时，服务器电源自动切换为高压直流供电。这种方式既可节约1路不间断电源系统的建设投资，同时由于市电主用路减少了能量转换环节并有效提高了服务器电源负载率，也可获得极高的运行效率。</w:t>
      </w:r>
    </w:p>
    <w:p>
      <w:pPr>
        <w:ind w:firstLine="560"/>
      </w:pPr>
      <w:r>
        <w:t>（6）机柜级智能母线</w:t>
      </w:r>
    </w:p>
    <w:p>
      <w:pPr>
        <w:ind w:firstLine="560"/>
      </w:pPr>
      <w:r>
        <w:t>机柜级智能母线兼具列头柜分配和电缆配电功能，可以节省列头柜安装空间，其配置的即插即用配电单元可在不影响母线对其他其他负荷供电的情况下更换或调整容量，具有较高灵活性。</w:t>
      </w:r>
    </w:p>
    <w:p>
      <w:pPr>
        <w:ind w:firstLine="560"/>
      </w:pPr>
      <w:r>
        <w:t>智能化设计的母线还能够实现母线工作状况的全面、精确、直观、实时的监测。</w:t>
      </w:r>
    </w:p>
    <w:p>
      <w:pPr>
        <w:ind w:firstLine="560"/>
      </w:pPr>
      <w:r>
        <w:t>在进行设备配置时，首先要确认机房条件是否满足母线对层高的要求。确认满足要求后，根据载流量计算确定母线规格，最后根据IT设备机架的功耗及分路需求配置母线上的配电单元。推荐优先在新建IDC的参观展示机房实施。</w:t>
      </w:r>
    </w:p>
    <w:p>
      <w:pPr>
        <w:pStyle w:val="109"/>
      </w:pPr>
      <w:r>
        <w:t>机房空调冷却系统</w:t>
      </w:r>
    </w:p>
    <w:p>
      <w:pPr>
        <w:ind w:firstLine="560"/>
      </w:pPr>
      <w:r>
        <w:t>机房采用高冷效比的冷水型空调系统。高压冷水机组采用10KV高压离心式压缩机，过载能力强且节能，制冷剂环保（R-134a），冷水机组、水泵、冷却塔采用N+1原则布置，分集水器采用1+1原则布置。冷却塔采用主备设计，地下水泵房有2个50立方米的水箱供空调系统冷冻和冷却及末端加湿用水，并建设有中水处理站，由中水直接专供冷却塔，中水处理站的2个水箱的储水能力达到了600立方米。冷却系统夏季供回水温度32</w:t>
      </w:r>
      <w:r>
        <w:rPr>
          <w:rFonts w:hint="eastAsia" w:ascii="宋体" w:hAnsi="宋体" w:cs="宋体"/>
        </w:rPr>
        <w:t>℃</w:t>
      </w:r>
      <w:r>
        <w:t>/37</w:t>
      </w:r>
      <w:r>
        <w:rPr>
          <w:rFonts w:hint="eastAsia" w:ascii="宋体" w:hAnsi="宋体" w:cs="宋体"/>
        </w:rPr>
        <w:t>℃</w:t>
      </w:r>
      <w:r>
        <w:t>，冬季供回水温度20</w:t>
      </w:r>
      <w:r>
        <w:rPr>
          <w:rFonts w:hint="eastAsia" w:ascii="宋体" w:hAnsi="宋体" w:cs="宋体"/>
        </w:rPr>
        <w:t>℃</w:t>
      </w:r>
      <w:r>
        <w:t>/25</w:t>
      </w:r>
      <w:r>
        <w:rPr>
          <w:rFonts w:hint="eastAsia" w:ascii="宋体" w:hAnsi="宋体" w:cs="宋体"/>
        </w:rPr>
        <w:t>℃</w:t>
      </w:r>
      <w:r>
        <w:t>。冷水机组设置在屋顶，为防止冷冻水管冻结冷冻水采用20%乙二醇防冻液。冷冻水、冷却水管网布置成环可保证在管道维护、更换阀门及出现意外故障时可切换。</w:t>
      </w:r>
    </w:p>
    <w:p>
      <w:pPr>
        <w:ind w:firstLine="560"/>
      </w:pPr>
      <w:r>
        <w:t>制冷系统设备放置于与其他功能区域物理隔离的专属功能区域，专职人员负载其维护管理。</w:t>
      </w:r>
    </w:p>
    <w:p>
      <w:pPr>
        <w:ind w:firstLine="560"/>
      </w:pPr>
      <w:r>
        <w:t>机房内机柜布置严格按照冷热通道分隔的方式布置，采用冷通道封闭措施。高低压变配电室、各层电力电池室采用立式风柜，采用风管上送风、下回风方式，在空调机组上方设置静压箱，通过静压箱、送风口将冷空气送入室内。</w:t>
      </w:r>
    </w:p>
    <w:p>
      <w:pPr>
        <w:ind w:firstLine="560"/>
      </w:pPr>
      <w:r>
        <w:t>空调机组下方安装有栏水堰，栏水堰以外机房内没有其他排水口。进水管引入机房前安装有控水阀，具备漏水监测系统和报警系统，能够与集中监控系统进行联动。部分机房内配备有新风系统，能保证机房内空气为正压。</w:t>
      </w:r>
    </w:p>
    <w:p>
      <w:pPr>
        <w:ind w:firstLine="560"/>
      </w:pPr>
      <w:r>
        <w:t>机房采用高冷效比的冷水型空调系统。高压冷水机组采用10KV高压离心式压缩机，过载能力强且节能，制冷剂环保（R-134a），冷水机组、水泵、冷却塔采用N+1原则布置，分集水器采用1+1原则布置。一阶段主要采用高压冷水机组+冷水型空调末端+开式冷却塔配置方式，二阶段新增部分闭式冷却塔和双盘管空调末端，三阶段安装列间空调、前门水冷、热管分布式末端三种模式。冷却塔采用主备设计，前期地下水泵房有2个50立方米的水箱供空调系统冷冻和冷却及末端加湿用水，后期将由中水直接专供冷却塔，中水处理站的2个水箱的储水能力达到了600立方米。机房共配备9台冷水机组，单台制冷量分别为550RT、900RT、1650RT。冷却系统夏季供回水温度32</w:t>
      </w:r>
      <w:r>
        <w:rPr>
          <w:rFonts w:hint="eastAsia" w:ascii="宋体" w:hAnsi="宋体" w:cs="宋体"/>
        </w:rPr>
        <w:t>℃</w:t>
      </w:r>
      <w:r>
        <w:t>/37</w:t>
      </w:r>
      <w:r>
        <w:rPr>
          <w:rFonts w:hint="eastAsia" w:ascii="宋体" w:hAnsi="宋体" w:cs="宋体"/>
        </w:rPr>
        <w:t>℃</w:t>
      </w:r>
      <w:r>
        <w:t>，冬季供回水温度20</w:t>
      </w:r>
      <w:r>
        <w:rPr>
          <w:rFonts w:hint="eastAsia" w:ascii="宋体" w:hAnsi="宋体" w:cs="宋体"/>
        </w:rPr>
        <w:t>℃</w:t>
      </w:r>
      <w:r>
        <w:t>/25</w:t>
      </w:r>
      <w:r>
        <w:rPr>
          <w:rFonts w:hint="eastAsia" w:ascii="宋体" w:hAnsi="宋体" w:cs="宋体"/>
        </w:rPr>
        <w:t>℃</w:t>
      </w:r>
      <w:r>
        <w:t>。冷水机组设置在屋顶，为防止冷冻水管冻结冷冻水采用20%乙二醇防冻液。</w:t>
      </w:r>
    </w:p>
    <w:p>
      <w:pPr>
        <w:ind w:firstLine="560"/>
      </w:pPr>
      <w:r>
        <w:t>制冷系统由运维团队进行维护，维护团队24×7值班，对冷却系统进行4小时/次的巡检，当冷却系统出现异常或故障，维护团队可在10～15分钟内响应，冷却系统出现单路断电故障可实现30秒恢复，双路断电可实现300秒恢复。</w:t>
      </w:r>
    </w:p>
    <w:p>
      <w:pPr>
        <w:ind w:firstLine="560"/>
      </w:pPr>
      <w:r>
        <w:t>列间空调具有更贴近热源设置的优势，制冷效率更高、更加节能；按冷媒介质可分为冷冻水型和热管型两种，可对水管进入机房的接受程度进行选择。</w:t>
      </w:r>
    </w:p>
    <w:p>
      <w:pPr>
        <w:ind w:firstLine="560"/>
      </w:pPr>
      <w:r>
        <w:t>列间空调可应用在平均单机架功耗为5kW~10kW的数据机房内；对于采用微模块的数据中心机房，宜采用列间空调形式。</w:t>
      </w:r>
    </w:p>
    <w:p>
      <w:pPr>
        <w:ind w:firstLine="560"/>
      </w:pPr>
      <w:r>
        <w:t>采用冷冻水型列间空调时，空调水管采用双供双回、地板下走管的方式，机房内地板高度宜为500mm~600mm，水管区域应做好相应的防水工作，通过泄水槽解决漏水问题；采用热管型列间空调时，应设置水氟转换设备区域，水氟转换设备应高位安装。列间空调宜采用适合与机柜并排布置的尺寸。</w:t>
      </w:r>
    </w:p>
    <w:p>
      <w:pPr>
        <w:ind w:firstLine="560"/>
      </w:pPr>
      <w:r>
        <w:t>考虑到列间空调的接管以及送风距离等因素，在一个模块中，列间空调采取交叉布置的形式，保证在一台机器出现故障时，其左右两侧的机柜送风不受影响。</w:t>
      </w:r>
    </w:p>
    <w:p>
      <w:pPr>
        <w:ind w:firstLine="560"/>
      </w:pPr>
      <w:r>
        <w:t>（1）热管背板</w:t>
      </w:r>
    </w:p>
    <w:p>
      <w:pPr>
        <w:autoSpaceDE w:val="0"/>
        <w:autoSpaceDN w:val="0"/>
        <w:ind w:firstLine="560"/>
        <w:rPr>
          <w:kern w:val="0"/>
        </w:rPr>
      </w:pPr>
      <w:r>
        <w:rPr>
          <w:kern w:val="0"/>
        </w:rPr>
        <w:t xml:space="preserve">热管背板改变传统的机房空调形式，将制冷单元安装在机架背部出风处，直接吸收设备发出的热量，通过背板中热管内介质的相态变化以及自然重力原理来实现机房内封闭循环。 </w:t>
      </w:r>
    </w:p>
    <w:p>
      <w:pPr>
        <w:autoSpaceDE w:val="0"/>
        <w:autoSpaceDN w:val="0"/>
        <w:ind w:firstLine="560"/>
        <w:rPr>
          <w:kern w:val="0"/>
        </w:rPr>
      </w:pPr>
      <w:r>
        <w:rPr>
          <w:kern w:val="0"/>
        </w:rPr>
        <w:t>热管背板系统适用于后排风方案的标准机柜，不适用于其他上排风、侧排风的非标机柜；可应用在平均单机架功耗为5kW~15kW的数据机房内；适用于不容许水管进入的数据机房</w:t>
      </w:r>
    </w:p>
    <w:p>
      <w:pPr>
        <w:autoSpaceDE w:val="0"/>
        <w:autoSpaceDN w:val="0"/>
        <w:ind w:firstLine="560"/>
        <w:rPr>
          <w:kern w:val="0"/>
        </w:rPr>
      </w:pPr>
      <w:r>
        <w:rPr>
          <w:kern w:val="0"/>
        </w:rPr>
        <w:t>采用热管背板的机房，不设架空地板，不设置冷/热封闭通道，可随着机柜数量的增加，进行空调的配置，适用于逐步启用的机房。</w:t>
      </w:r>
    </w:p>
    <w:p>
      <w:pPr>
        <w:autoSpaceDE w:val="0"/>
        <w:autoSpaceDN w:val="0"/>
        <w:ind w:firstLine="560"/>
        <w:rPr>
          <w:kern w:val="0"/>
        </w:rPr>
      </w:pPr>
      <w:r>
        <w:rPr>
          <w:kern w:val="0"/>
        </w:rPr>
        <w:t>水冷冷凝器以及铜管就近布置，气液管路设置时，宜采用 “气管上走管，液管下走管”的方式，同时在机柜底部需要配置相应的冷凝水排水管道，将产生的冷凝水集中排出。</w:t>
      </w:r>
    </w:p>
    <w:p>
      <w:pPr>
        <w:autoSpaceDE w:val="0"/>
        <w:autoSpaceDN w:val="0"/>
        <w:ind w:firstLine="560"/>
        <w:rPr>
          <w:kern w:val="0"/>
        </w:rPr>
      </w:pPr>
      <w:r>
        <w:rPr>
          <w:kern w:val="0"/>
        </w:rPr>
        <w:t>采用热管背板的机房，需配合设置恒湿机。</w:t>
      </w:r>
    </w:p>
    <w:p>
      <w:pPr>
        <w:autoSpaceDE w:val="0"/>
        <w:autoSpaceDN w:val="0"/>
        <w:ind w:firstLine="560"/>
        <w:rPr>
          <w:kern w:val="0"/>
        </w:rPr>
      </w:pPr>
      <w:r>
        <w:rPr>
          <w:kern w:val="0"/>
        </w:rPr>
        <w:t>（2）微模块</w:t>
      </w:r>
    </w:p>
    <w:p>
      <w:pPr>
        <w:autoSpaceDE w:val="0"/>
        <w:autoSpaceDN w:val="0"/>
        <w:ind w:firstLine="560"/>
        <w:rPr>
          <w:kern w:val="0"/>
        </w:rPr>
      </w:pPr>
      <w:r>
        <w:rPr>
          <w:kern w:val="0"/>
        </w:rPr>
        <w:t>微模块是指以若干机架（通常为2列）为基本单位，包含制冷、电源、配电、网络、布线等若干功能单元，集成消防、智能化监控、通道密闭及结构支撑组件，全部功能单元及组件均采用工厂预制的产品化、模块化机房，可在施工现场实现快速拼装。</w:t>
      </w:r>
    </w:p>
    <w:p>
      <w:pPr>
        <w:autoSpaceDE w:val="0"/>
        <w:autoSpaceDN w:val="0"/>
        <w:ind w:firstLine="560"/>
        <w:rPr>
          <w:kern w:val="0"/>
        </w:rPr>
      </w:pPr>
      <w:r>
        <w:rPr>
          <w:kern w:val="0"/>
        </w:rPr>
        <w:t>微模块相比传统机柜组合的优势主要体现在：</w:t>
      </w:r>
    </w:p>
    <w:p>
      <w:pPr>
        <w:autoSpaceDE w:val="0"/>
        <w:autoSpaceDN w:val="0"/>
        <w:ind w:firstLine="560"/>
        <w:rPr>
          <w:kern w:val="0"/>
        </w:rPr>
      </w:pPr>
      <w:r>
        <w:rPr>
          <w:kern w:val="0"/>
        </w:rPr>
        <w:t>（1）微模块内全部组件可在工厂预制，可灵活拆卸、搬运，现场快速组装后投入使用，使机房的建设周期更短、部署效率更高；</w:t>
      </w:r>
    </w:p>
    <w:p>
      <w:pPr>
        <w:autoSpaceDE w:val="0"/>
        <w:autoSpaceDN w:val="0"/>
        <w:ind w:firstLine="560"/>
        <w:rPr>
          <w:kern w:val="0"/>
        </w:rPr>
      </w:pPr>
      <w:r>
        <w:rPr>
          <w:kern w:val="0"/>
        </w:rPr>
        <w:t>（2）更加标准化，包括机柜、列间空调等包括设备以及结构件的制造符合通用的工业标准，由厂家统一集成，使微模块的成本更低、质量更高、更易于维修、交货速度更快；</w:t>
      </w:r>
    </w:p>
    <w:p>
      <w:pPr>
        <w:autoSpaceDE w:val="0"/>
        <w:autoSpaceDN w:val="0"/>
        <w:ind w:firstLine="560"/>
        <w:rPr>
          <w:kern w:val="0"/>
        </w:rPr>
      </w:pPr>
      <w:r>
        <w:rPr>
          <w:kern w:val="0"/>
        </w:rPr>
        <w:t>（3）相对于传统机房级监控，智能化监控系统能够帮助客户实现微模块级的微环境精细化管理，有利于绿色节能；</w:t>
      </w:r>
    </w:p>
    <w:p>
      <w:pPr>
        <w:autoSpaceDE w:val="0"/>
        <w:autoSpaceDN w:val="0"/>
        <w:ind w:firstLine="560"/>
        <w:rPr>
          <w:kern w:val="0"/>
        </w:rPr>
      </w:pPr>
      <w:r>
        <w:rPr>
          <w:kern w:val="0"/>
        </w:rPr>
        <w:t>（4）配置灵活，可设置列间空调或顶置空调等多种新型末端、可列装模块化UPS或高压直流电源系统乃至后备蓄电池，进一步提高空间利用的弹性；</w:t>
      </w:r>
    </w:p>
    <w:p>
      <w:pPr>
        <w:autoSpaceDE w:val="0"/>
        <w:autoSpaceDN w:val="0"/>
        <w:ind w:firstLine="560"/>
        <w:rPr>
          <w:kern w:val="0"/>
        </w:rPr>
      </w:pPr>
      <w:r>
        <w:rPr>
          <w:kern w:val="0"/>
        </w:rPr>
        <w:t>（5）可不设置防静电地板，通过在建筑空间预留水、电接口最大限度实现机房工程与土建工程解耦；</w:t>
      </w:r>
    </w:p>
    <w:p>
      <w:pPr>
        <w:autoSpaceDE w:val="0"/>
        <w:autoSpaceDN w:val="0"/>
        <w:ind w:firstLine="560"/>
        <w:rPr>
          <w:kern w:val="0"/>
        </w:rPr>
      </w:pPr>
      <w:r>
        <w:rPr>
          <w:kern w:val="0"/>
        </w:rPr>
        <w:t>（6）可独立设置高IP防护等级（防水防尘）以适应各类建筑形式特别是仓储式IDC；</w:t>
      </w:r>
    </w:p>
    <w:p>
      <w:pPr>
        <w:autoSpaceDE w:val="0"/>
        <w:autoSpaceDN w:val="0"/>
        <w:ind w:firstLine="560"/>
        <w:rPr>
          <w:kern w:val="0"/>
        </w:rPr>
      </w:pPr>
      <w:r>
        <w:rPr>
          <w:kern w:val="0"/>
        </w:rPr>
        <w:t>（7）可灵活适应5～10kW甚至更高功率密度、可更好支持整机架部署。</w:t>
      </w:r>
    </w:p>
    <w:p>
      <w:pPr>
        <w:ind w:firstLine="560"/>
      </w:pPr>
      <w:r>
        <w:rPr>
          <w:kern w:val="0"/>
        </w:rPr>
        <w:t>微模块适用于需要快速部署、分期建设及客户需求多变的机房，能够更好地适应平均5～10kW功率密度机架灵活部署，能够更好地与新型仓储式机房建筑形式结合。</w:t>
      </w:r>
    </w:p>
    <w:p>
      <w:pPr>
        <w:pStyle w:val="109"/>
      </w:pPr>
      <w:r>
        <w:t>综合布线系统</w:t>
      </w:r>
    </w:p>
    <w:p>
      <w:pPr>
        <w:ind w:firstLine="560"/>
      </w:pPr>
      <w:r>
        <w:t>数据中心在机房楼建有物理管井，保证从园区外到机房内的双路由配置。</w:t>
      </w:r>
    </w:p>
    <w:p>
      <w:pPr>
        <w:ind w:firstLine="560"/>
      </w:pPr>
      <w:r>
        <w:t>采用ACS 布线系统（Advanced Connectivity System），符合国际ISO11801布线标准。机房内采用标准上走线布线方式，铜缆铺设到机柜，并为光纤提供了专用光纤槽道，机房内设双层走线架，保证强弱电分离、光电分离。每列设备上方分别设置通信和电源列走线架，列走线架宽度为600mm，电源列走线架高度为底距活动地板2350mm，通信列走线架高度为底距活动地板2650mm；主走线架共设置2列，位于机房南北侧，主走线架宽度为1000mm，电源主走线架高度为底距活动地板2350mm，通信主走线架高度为底距活动地板2650mm。外侧走道还设置一层走线架供机房间走线，走线架宽度为600mm，走线架高度为底距地面3000mm。通信机房内设单层光纤槽道，每列设备上方分别设置，列光纤槽道宽度为200mm，高度为底距活动地板2300mm；主光纤槽道共设置1列，位于机房主通信走线架下方，主光纤槽道宽度为400mm，底面距活动地板2300mm。</w:t>
      </w:r>
    </w:p>
    <w:p>
      <w:pPr>
        <w:ind w:firstLine="560"/>
      </w:pPr>
      <w:r>
        <w:t>设置水平接地汇集线，采用40*4接地铜排沿下层走线架敷设，并就近与柱子上预留的接地扁钢多点连接。数据主干以多模光缆传输为主，同时支持千兆以太网的网络传输。</w:t>
      </w:r>
    </w:p>
    <w:p>
      <w:pPr>
        <w:pStyle w:val="109"/>
      </w:pPr>
      <w:r>
        <w:t>消防系统</w:t>
      </w:r>
    </w:p>
    <w:p>
      <w:pPr>
        <w:ind w:firstLine="560"/>
      </w:pPr>
      <w:r>
        <w:t>机房符合中华人民共和国标准《气体灭火系统施工及验收规范》（GB50263 -2007）、《建筑设计防火规范》（GB 50016-2014）、《气体灭火系统设计规范》（GB 50370-2005）和《建筑内部装修设计防火规范》（GB 50222-2017）。</w:t>
      </w:r>
    </w:p>
    <w:p>
      <w:pPr>
        <w:ind w:firstLine="560"/>
      </w:pPr>
      <w:r>
        <w:t>采用电信级消防系统，实行24小时实时监控、1小时/次的定期巡检。机房采用高灵敏度的主动式早期烟雾探测报警系统，能够在第一时间发现火灾隐患，并采用世界先进的FM200七氟丙烷环保型气体灭火系统，控制方式支持自动和手动。机房进行7×24小时火险实时监控，机房、保安室、UPS房间、柴油发电机房间、变压器房间、监控中心、设备操作间、楼道和走廊内都配有烟感报警系统、温感报警系统、火灾自动报警探测系统。</w:t>
      </w:r>
    </w:p>
    <w:p>
      <w:pPr>
        <w:ind w:firstLine="560"/>
      </w:pPr>
      <w:r>
        <w:t>机房通过消防支队的消防验收，并每月定期进行消防演练。</w:t>
      </w:r>
    </w:p>
    <w:p>
      <w:pPr>
        <w:pStyle w:val="109"/>
      </w:pPr>
      <w:r>
        <w:t>电气系统防雷</w:t>
      </w:r>
    </w:p>
    <w:p>
      <w:pPr>
        <w:ind w:firstLine="560"/>
      </w:pPr>
      <w:r>
        <w:t>雷击事例表明，从供电线路入侵的雷击电涌脉冲占雷击事故的大部分，可直接损害配电装置、计算机、通信系统设备；而变压器、UPS等设施不能消除雷击电涌脉冲。因此，按IEC 61312、GB 50057-2010、GB50343-2012的原则，低压配电系统线路及信息系统(计算机，通信和各类电子系统）的供电线路上应设置多级SPD防护措施（一般为三级、脆弱且贵重设备为四级配置），从而将雷击电涌脉冲降到设备能承受的水平。</w:t>
      </w:r>
    </w:p>
    <w:p>
      <w:pPr>
        <w:ind w:firstLine="560"/>
      </w:pPr>
      <w:r>
        <w:t>（1）设备配置</w:t>
      </w:r>
    </w:p>
    <w:p>
      <w:pPr>
        <w:ind w:firstLine="560"/>
      </w:pPr>
      <w:r>
        <w:t xml:space="preserve">电源防雷系统主要是防止雷电波通过电源线路对建筑物内各信息系统设备及配电设备造成危害。依照国家防雷标准《建筑物防雷设计规范》（GB 50057-2010）和《建筑物电子信息系统防雷技术规范》（GB50343-2012），应采取分级保护、逐级泄流的原则。在电源总进线安装第一级电源电涌保护器（基建已考虑，本方案免设计）；在机房UPS配电柜内安装第二级电源电涌保护器；在网络设备、计算机设备配电列头柜安装第三级电源电涌保护器。 </w:t>
      </w:r>
    </w:p>
    <w:p>
      <w:pPr>
        <w:ind w:firstLine="560"/>
      </w:pPr>
      <w:r>
        <w:t>（2）房均压等电位</w:t>
      </w:r>
    </w:p>
    <w:p>
      <w:pPr>
        <w:ind w:firstLine="560"/>
      </w:pPr>
      <w:r>
        <w:t xml:space="preserve">实施等电位连接处理的目的是为了防止不同设备、不同接地装置之间由于在雷击时产生电位差而发生的反击，所以标准要求建筑物内各类接地共用同一个接地装置即共用接地。 </w:t>
      </w:r>
    </w:p>
    <w:p>
      <w:pPr>
        <w:ind w:firstLine="560"/>
      </w:pPr>
      <w:r>
        <w:t>机房内设置等电位连接网络，采用紫铜排作为等电位汇集排，汇集排使用绝缘子固定。将机房内的机柜、UPS外壳、机柜/机架等设备采用多股接地线连接到等电位汇集排上。等电位汇集排通过铜钢过渡接头与室外引入的接地线连接。</w:t>
      </w:r>
    </w:p>
    <w:p>
      <w:pPr>
        <w:ind w:firstLine="560"/>
      </w:pPr>
      <w:r>
        <w:t>（3）综合接地</w:t>
      </w:r>
    </w:p>
    <w:p>
      <w:pPr>
        <w:ind w:firstLine="560"/>
      </w:pPr>
      <w:r>
        <w:t xml:space="preserve">机房应采用综合接地的方式，将所有接地系统整体连接在一起，整体接地电阻小于1欧姆，满足国标要求。 </w:t>
      </w:r>
    </w:p>
    <w:p>
      <w:pPr>
        <w:ind w:firstLine="560"/>
      </w:pPr>
      <w:r>
        <w:t>机房应通过建筑防雷设计验收。</w:t>
      </w:r>
    </w:p>
    <w:p>
      <w:pPr>
        <w:pStyle w:val="109"/>
      </w:pPr>
      <w:r>
        <w:t>动环监控系统</w:t>
      </w:r>
    </w:p>
    <w:p>
      <w:pPr>
        <w:widowControl/>
        <w:ind w:firstLine="560"/>
        <w:jc w:val="left"/>
      </w:pPr>
      <w:r>
        <w:t>动力环境监控系统监控范围包含高低压配电设备、柴油发电机、变压器、UPS及蓄电池、配电柜（列头柜）、空调水冷系统相关设备、机房温湿度环境等。动环监控系统具备监控每机架电流电量及状态能力，并可根据客户需求，安装智能PDU，实现对设备电流量的监控。</w:t>
      </w:r>
    </w:p>
    <w:p>
      <w:pPr>
        <w:widowControl/>
        <w:ind w:firstLine="560"/>
        <w:jc w:val="left"/>
      </w:pPr>
      <w:r>
        <w:t>配电柜监控范围包含但不限于输入电压、电流、频率、功率、开关状态、输入中断、故障等；</w:t>
      </w:r>
    </w:p>
    <w:p>
      <w:pPr>
        <w:widowControl/>
        <w:ind w:firstLine="560"/>
        <w:jc w:val="left"/>
      </w:pPr>
      <w:r>
        <w:t>UPS监控范围包含但不限于负载率、输入电压、电流、频率、功率、开关状态、输入中断、故障等；</w:t>
      </w:r>
    </w:p>
    <w:p>
      <w:pPr>
        <w:widowControl/>
        <w:ind w:firstLine="560"/>
        <w:jc w:val="left"/>
      </w:pPr>
      <w:r>
        <w:t>空调系统监控范围包含但不限于输入电压、电流、频率、功率、输入中断、漏水监控、故障等；</w:t>
      </w:r>
    </w:p>
    <w:p>
      <w:pPr>
        <w:widowControl/>
        <w:ind w:firstLine="560"/>
        <w:jc w:val="left"/>
      </w:pPr>
      <w:r>
        <w:t>温湿度监控范围包含机房及冷热通道内的温度、湿度，除机房内部署温湿度探测点之外，在每个列间均部署3处、每处上中下三个探测点，保证及时监控和观察到机房内每处的温湿度变化，保证机房内始终处于合适的温湿度范围，确保设备的安全。</w:t>
      </w:r>
    </w:p>
    <w:p>
      <w:pPr>
        <w:ind w:firstLine="560"/>
      </w:pPr>
      <w:r>
        <w:t>动环监控系统可开放第三方接口，保证客户系统接入；也可为客户创建相应权限的账号，客户直接访问监控系统，保证客户异地实施监控。</w:t>
      </w:r>
    </w:p>
    <w:p>
      <w:pPr>
        <w:pStyle w:val="142"/>
      </w:pPr>
      <w:bookmarkStart w:id="79" w:name="_Toc44832123"/>
      <w:bookmarkStart w:id="80" w:name="_Toc204251354"/>
      <w:r>
        <w:t>环保、消防、职业安全卫生和节能措施的设计</w:t>
      </w:r>
      <w:bookmarkEnd w:id="79"/>
      <w:bookmarkEnd w:id="80"/>
      <w:r>
        <w:rPr>
          <w:rFonts w:hint="eastAsia"/>
        </w:rPr>
        <w:t>（设计公司）</w:t>
      </w:r>
    </w:p>
    <w:p>
      <w:pPr>
        <w:pStyle w:val="108"/>
      </w:pPr>
      <w:r>
        <w:tab/>
      </w:r>
      <w:bookmarkStart w:id="81" w:name="_Toc204251355"/>
      <w:bookmarkStart w:id="82" w:name="_Toc44832124"/>
      <w:r>
        <w:t>环保措施</w:t>
      </w:r>
      <w:bookmarkEnd w:id="81"/>
      <w:bookmarkEnd w:id="82"/>
      <w:r>
        <w:rPr>
          <w:rFonts w:hint="eastAsia"/>
        </w:rPr>
        <w:t>（供参考，注意文件时效性）</w:t>
      </w:r>
    </w:p>
    <w:p>
      <w:pPr>
        <w:pStyle w:val="109"/>
      </w:pPr>
      <w:r>
        <w:t>国家环境保护法律法规</w:t>
      </w:r>
    </w:p>
    <w:p>
      <w:pPr>
        <w:ind w:firstLine="560"/>
      </w:pPr>
      <w:r>
        <w:t>（1）国家环境保护法律法规</w:t>
      </w:r>
    </w:p>
    <w:p>
      <w:pPr>
        <w:ind w:firstLine="560"/>
      </w:pPr>
      <w:r>
        <w:t>1）《中华人民共和国环境保护法》</w:t>
      </w:r>
    </w:p>
    <w:p>
      <w:pPr>
        <w:ind w:firstLine="560"/>
      </w:pPr>
      <w:r>
        <w:t>2）《中华人民共和国环境影响评价法》</w:t>
      </w:r>
    </w:p>
    <w:p>
      <w:pPr>
        <w:ind w:firstLine="560"/>
      </w:pPr>
      <w:r>
        <w:t>3）《中华人民共和国大气污染防治法》</w:t>
      </w:r>
    </w:p>
    <w:p>
      <w:pPr>
        <w:ind w:firstLine="560"/>
      </w:pPr>
      <w:r>
        <w:t>4）《中华人民共和国水污染防治法》</w:t>
      </w:r>
    </w:p>
    <w:p>
      <w:pPr>
        <w:ind w:firstLine="560"/>
      </w:pPr>
      <w:r>
        <w:t>5）《中华人民共和国环境噪声污染防治法》</w:t>
      </w:r>
    </w:p>
    <w:p>
      <w:pPr>
        <w:ind w:firstLine="560"/>
      </w:pPr>
      <w:r>
        <w:t>6）《中华人民共和国固体废物污染环境防治法》</w:t>
      </w:r>
    </w:p>
    <w:p>
      <w:pPr>
        <w:ind w:firstLine="560"/>
      </w:pPr>
      <w:r>
        <w:t>7）《中华人民共和国节约能源法》</w:t>
      </w:r>
    </w:p>
    <w:p>
      <w:pPr>
        <w:ind w:firstLine="560"/>
      </w:pPr>
      <w:r>
        <w:t>（2）依据的环境质量标准</w:t>
      </w:r>
    </w:p>
    <w:p>
      <w:pPr>
        <w:ind w:firstLine="560"/>
      </w:pPr>
      <w:r>
        <w:t>1）《环境空气质量标准》（GB3095-</w:t>
      </w:r>
      <w:r>
        <w:rPr>
          <w:highlight w:val="yellow"/>
        </w:rPr>
        <w:t>2012</w:t>
      </w:r>
      <w:r>
        <w:t>）二级标准；</w:t>
      </w:r>
    </w:p>
    <w:p>
      <w:pPr>
        <w:ind w:firstLine="560"/>
      </w:pPr>
      <w:r>
        <w:t>2）《地表水环境质量标准》（GB3838-2002）</w:t>
      </w:r>
      <w:r>
        <w:rPr>
          <w:rFonts w:hint="eastAsia" w:ascii="宋体" w:hAnsi="宋体" w:cs="宋体"/>
        </w:rPr>
        <w:t>Ⅳ</w:t>
      </w:r>
      <w:r>
        <w:t>-</w:t>
      </w:r>
      <w:r>
        <w:rPr>
          <w:rFonts w:hint="eastAsia" w:ascii="宋体" w:hAnsi="宋体" w:cs="宋体"/>
        </w:rPr>
        <w:t>Ⅴ</w:t>
      </w:r>
      <w:r>
        <w:t>类标准；</w:t>
      </w:r>
    </w:p>
    <w:p>
      <w:pPr>
        <w:ind w:firstLine="560"/>
      </w:pPr>
      <w:r>
        <w:t>3）《城市区域环境噪声标准》（GB3096-2008）2类标准；</w:t>
      </w:r>
    </w:p>
    <w:p>
      <w:pPr>
        <w:ind w:firstLine="560"/>
      </w:pPr>
      <w:r>
        <w:t>4）《大气污染物综合排放标准》（GB16297-1996）二级标准</w:t>
      </w:r>
    </w:p>
    <w:p>
      <w:pPr>
        <w:pStyle w:val="109"/>
      </w:pPr>
      <w:r>
        <w:t>环境影响分析</w:t>
      </w:r>
    </w:p>
    <w:p>
      <w:pPr>
        <w:ind w:firstLine="560"/>
      </w:pPr>
      <w:r>
        <w:t>（1）建设期</w:t>
      </w:r>
    </w:p>
    <w:p>
      <w:pPr>
        <w:ind w:firstLine="560"/>
      </w:pPr>
      <w:r>
        <w:t>拟建项目建设期间主要产生的污染物有空气污染、噪声污染、排水污染、固废污染等。</w:t>
      </w:r>
    </w:p>
    <w:p>
      <w:pPr>
        <w:ind w:firstLine="560"/>
      </w:pPr>
      <w:r>
        <w:t>空气污染：建筑施工工地扬尘污染、施工机械燃烧柴油排放的废气污染及运输车的汽车尾气污染。其中主要污染物为扬尘，大气扬尘的影响范围为下风向200m左右。</w:t>
      </w:r>
    </w:p>
    <w:p>
      <w:pPr>
        <w:ind w:firstLine="560"/>
      </w:pPr>
      <w:r>
        <w:t>噪声污染：本项目施工中的设备噪声通常此起彼伏，其中声级最高的是空压机等。另外，运输建材的卡车也将增大周围道路的交通噪声。施工噪声的影响范围一般昼间100m，夜间可达200m以上。</w:t>
      </w:r>
    </w:p>
    <w:p>
      <w:pPr>
        <w:ind w:firstLine="560"/>
      </w:pPr>
      <w:r>
        <w:t>排水污染：施工期间废水主要来自于施工所产生余水以及由于施工人员进驻带来的生活废水。在建筑施工期间，由于场地清洗、管道敷设、混凝土调制、建筑安装、暖通等工程的实施，将会带来一定量的施工余水及废弃水。此外，由于建设期间进驻的大量施工人员日常生活将产生一定量的生活废水。</w:t>
      </w:r>
    </w:p>
    <w:p>
      <w:pPr>
        <w:ind w:firstLine="560"/>
      </w:pPr>
      <w:r>
        <w:t>固废污染：项目施工期固体废物主要来自于施工过程中产生的施工弃土、建筑垃圾、装修垃圾和施工人员的生活垃圾。</w:t>
      </w:r>
    </w:p>
    <w:p>
      <w:pPr>
        <w:ind w:firstLine="560"/>
      </w:pPr>
      <w:r>
        <w:t>（2）运营期</w:t>
      </w:r>
    </w:p>
    <w:p>
      <w:pPr>
        <w:ind w:firstLine="560"/>
      </w:pPr>
      <w:r>
        <w:t>本项目建成后的主要污染为生活污水、固体废弃物、噪声、噪音，设备电磁辐射值在国家规定允许范围内，不会对环境造成污染。</w:t>
      </w:r>
    </w:p>
    <w:p>
      <w:pPr>
        <w:pStyle w:val="109"/>
      </w:pPr>
      <w:r>
        <w:t>环保措施及方案</w:t>
      </w:r>
    </w:p>
    <w:p>
      <w:pPr>
        <w:ind w:firstLine="560"/>
      </w:pPr>
      <w:r>
        <w:t>（1）建设期环保措施</w:t>
      </w:r>
    </w:p>
    <w:p>
      <w:pPr>
        <w:ind w:firstLine="560"/>
      </w:pPr>
      <w:r>
        <w:t>空气治理：抑制扬尘的一个简洁有效的措施是洒水。如果在施工期内对车辆行驶的路面实施洒水抑尘，每天洒水4-5次，可使扬尘减少70%左右。施工扬尘的另一种重要产生方式是建筑材料的露天堆放和搅拌作业，这类扬尘的主要特点是受作业时风速大小的影响显著。禁止在大风天气时进行此类作业以及减少建筑材料的露天堆放是抑制这类扬尘的一种很有效的手段。因此，在建设期应对运输的道路及时清扫和浇水，并加强施工管理，配置工地细目滞尘防护网，采用商品混凝土建房，同时必须采用封闭车辆运输，以便最大程度减少扬尘对周围大气环境的影响。</w:t>
      </w:r>
    </w:p>
    <w:p>
      <w:pPr>
        <w:ind w:firstLine="560"/>
      </w:pPr>
      <w:r>
        <w:t>噪声治理：在施工过程中，可以在局部地方建立临时性声屏障，如果产生噪声的动力机械设备相对固定，也可以设在机械设备附近。使施工噪声达到或优于国家标准《建筑施工场界环境噪声排放标准》的要求：白天—70DB(A）；夜间—55DB(A）；选用低噪声设备或在声源处使用消声器，消声管；在施工期间，合理布置施工场地的建筑材料。针对建筑材料的车辆运输，加强对车辆管理减轻源强。</w:t>
      </w:r>
    </w:p>
    <w:p>
      <w:pPr>
        <w:ind w:firstLine="560"/>
      </w:pPr>
      <w:r>
        <w:t>污水治理：施工中，在废水流出处建立沉砂池，让生产污水在沉砂池内经充分沉淀后回用。在施工过程中还应加强对机械设备的检修，以防止设备漏油现象的发生；施工机械设备的维修应在专业厂家进行。施工期间产生的生活污水可经排污管道一起排至市政污水管。</w:t>
      </w:r>
    </w:p>
    <w:p>
      <w:pPr>
        <w:ind w:firstLine="560"/>
      </w:pPr>
      <w:r>
        <w:t>固废治理：本项目的弃土运往指定的余泥渣土受纳场填埋，其中弃土的运输过程应尽量避免穿过居民区。项目所产生的建筑垃圾主要是在基础工程和结构工程阶段产生的，主要是混凝土碎块、废弃钢筋、弃土砖瓦、施工下脚料等。施工期的建筑垃圾应集中处理，分类收集并尽可能的回收再利用，不能回收利用的则应及时清理出施工现场。项目所产生的装修垃圾主要是在装修阶段产生的，主要是废弃瓷砖、废弃大理石块、废玻璃、废油漆、废涂料、废弃建筑包装材料等，其中废弃的油漆桶、天那水包装物等则属于危险废物，应按国家及地方危险废弃物处置要求进行妥善处置。生活垃圾及时清运，以减轻对施工区环境卫生的影响。</w:t>
      </w:r>
    </w:p>
    <w:p>
      <w:pPr>
        <w:ind w:firstLine="560"/>
      </w:pPr>
      <w:r>
        <w:t>（2）运营期环保措施</w:t>
      </w:r>
    </w:p>
    <w:p>
      <w:pPr>
        <w:ind w:firstLine="560"/>
      </w:pPr>
      <w:r>
        <w:t>本项目主要为信息工程建设项目，属于无污染项目，且工程是依托各部门现有基础设施进行适应性改造，运行过程中不产生废气、废液、废渣和噪声，项目运营对周围环境无不良影响。</w:t>
      </w:r>
    </w:p>
    <w:p>
      <w:pPr>
        <w:ind w:firstLine="560"/>
      </w:pPr>
      <w:r>
        <w:t>方案设计时已经充分考虑了环保问题，项目运营对周围环境不会造成大规模的不良影响。为确保项目运营严格符合环保要求，项目建设拟采用以下措施：</w:t>
      </w:r>
    </w:p>
    <w:p>
      <w:pPr>
        <w:ind w:firstLine="840" w:firstLineChars="300"/>
      </w:pPr>
      <w:r>
        <w:t>1）空气污染：对机房改造的建设材料选用符合绿色环保要求的材料，并在室内安置空气净化器产品。</w:t>
      </w:r>
    </w:p>
    <w:p>
      <w:pPr>
        <w:ind w:firstLine="840" w:firstLineChars="300"/>
      </w:pPr>
      <w:r>
        <w:t>2）噪声：本项目的噪声源主要是动力设备，如空调机组，选用低噪声设备、加强设备的维修和保养外，在这些动力设备部署机房涂敷材料，做隔音门，同时设备采用减震技术，使机房外噪声值低于60分贝。</w:t>
      </w:r>
    </w:p>
    <w:p>
      <w:pPr>
        <w:ind w:firstLine="840" w:firstLineChars="300"/>
      </w:pPr>
      <w:r>
        <w:t>3）水污染：主要是生活粪便污水，处理方式是经化粪池处理后，按规定集中处理或由专用管道输送到无危害水域，执行国家《粪便无害化卫生要求》（GB7959-2012）和《污水综合排放标准》（GB8978-1996）。</w:t>
      </w:r>
    </w:p>
    <w:p>
      <w:pPr>
        <w:ind w:firstLine="840" w:firstLineChars="300"/>
      </w:pPr>
      <w:r>
        <w:t>4）固体废弃物污染：本项目的固体废弃物主要是外购件的包装材料，生活垃圾和电池、硒鼓、墨盒等。生活垃圾无有害有毒物质，大多数废弃物，包括电池、硒鼓、墨盒可以回收再利用。</w:t>
      </w:r>
    </w:p>
    <w:p>
      <w:pPr>
        <w:ind w:firstLine="840" w:firstLineChars="300"/>
      </w:pPr>
      <w:r>
        <w:t>5）辐射污染：本项目的辐射源主要是电脑设备，除尽可能选用低辐射电脑设备外，可以合理安排电脑摆放位置，并在室内放置仙人掌等吸收辐射的绿色植物，以减少辐射污染。</w:t>
      </w:r>
    </w:p>
    <w:p>
      <w:pPr>
        <w:ind w:firstLine="560"/>
      </w:pPr>
      <w:r>
        <w:t>总之，本项目的建设充分体现环保和绿色生态精神，营造一个文明、优美、清洁、舒适和安静的现代高科技的空间环境。</w:t>
      </w:r>
    </w:p>
    <w:p>
      <w:pPr>
        <w:pStyle w:val="108"/>
      </w:pPr>
      <w:bookmarkStart w:id="83" w:name="_Toc204251356"/>
      <w:bookmarkStart w:id="84" w:name="_Toc44832125"/>
      <w:r>
        <w:t>消防安全</w:t>
      </w:r>
      <w:bookmarkEnd w:id="83"/>
      <w:bookmarkEnd w:id="84"/>
    </w:p>
    <w:p>
      <w:pPr>
        <w:ind w:firstLine="560"/>
      </w:pPr>
      <w:r>
        <w:t>本项目实施场地以及建成后的系统运行场地和相应设施装备应符合国家消防安全等的有关规定要求。</w:t>
      </w:r>
    </w:p>
    <w:p>
      <w:pPr>
        <w:pStyle w:val="109"/>
      </w:pPr>
      <w:r>
        <w:t>消防设计规范</w:t>
      </w:r>
    </w:p>
    <w:p>
      <w:pPr>
        <w:ind w:firstLine="560"/>
      </w:pPr>
      <w:r>
        <w:t>（1）《火灾自动报警系统设计规范》（GB50116-2013）；</w:t>
      </w:r>
    </w:p>
    <w:p>
      <w:pPr>
        <w:ind w:firstLine="560"/>
      </w:pPr>
      <w:r>
        <w:t>（2）《气体灭火系统设计规范》(GB50370-2005）；</w:t>
      </w:r>
    </w:p>
    <w:p>
      <w:pPr>
        <w:ind w:firstLine="560"/>
      </w:pPr>
      <w:r>
        <w:t>（3）《数据中心设计规范》（GB50174-2017）；</w:t>
      </w:r>
    </w:p>
    <w:p>
      <w:pPr>
        <w:pStyle w:val="109"/>
      </w:pPr>
      <w:r>
        <w:t>消防措施</w:t>
      </w:r>
    </w:p>
    <w:p>
      <w:pPr>
        <w:ind w:firstLine="560"/>
      </w:pPr>
      <w:r>
        <w:t>本项目在建设过程中，将严格执行国家有关消防的规范和规定，以确保消防安全。为了符合消防安全的需要，项目拟采取以下5条措施：</w:t>
      </w:r>
    </w:p>
    <w:p>
      <w:pPr>
        <w:ind w:firstLine="560"/>
      </w:pPr>
      <w:r>
        <w:t>（1）严格按照国家规定，选购符合国家规定标准或使用许可的设备（如空调、不间断供电电源等）；</w:t>
      </w:r>
    </w:p>
    <w:p>
      <w:pPr>
        <w:ind w:firstLine="560"/>
      </w:pPr>
      <w:r>
        <w:t>（2）建筑物按防火规定，设置防火门、疏散通道、消防电梯、安全出入口等，建筑内部装修选用不燃性和难燃性材料；</w:t>
      </w:r>
    </w:p>
    <w:p>
      <w:pPr>
        <w:ind w:firstLine="560"/>
      </w:pPr>
      <w:r>
        <w:t>（3）建筑物内外，严格按照国家消防规定设置消防设施、通道和各种指示标志；</w:t>
      </w:r>
    </w:p>
    <w:p>
      <w:pPr>
        <w:ind w:firstLine="560"/>
      </w:pPr>
      <w:r>
        <w:t>（4）根据《火灾报警系统设计规范》和《气体灭火系统施工及验收规范》进行消防报警和灭火系统的建设；</w:t>
      </w:r>
    </w:p>
    <w:p>
      <w:pPr>
        <w:ind w:firstLine="560"/>
      </w:pPr>
      <w:r>
        <w:t>（5）在机房和办公用房装修改造过程中，建立火灾警报、喷淋系统、机房实时监控系统及消防管理制度，确保消防安全。</w:t>
      </w:r>
    </w:p>
    <w:p>
      <w:pPr>
        <w:pStyle w:val="108"/>
      </w:pPr>
      <w:bookmarkStart w:id="85" w:name="_Toc44832126"/>
      <w:bookmarkStart w:id="86" w:name="_Toc204251357"/>
      <w:r>
        <w:t>职业安全措施</w:t>
      </w:r>
      <w:bookmarkEnd w:id="85"/>
      <w:bookmarkEnd w:id="86"/>
    </w:p>
    <w:p>
      <w:pPr>
        <w:ind w:firstLine="560"/>
      </w:pPr>
      <w:r>
        <w:t>本项目按照国家规定的建设项目安全卫生标准及有关规范进行设计，针对各种可能存在的危害因素，选用可靠安全的设备，以保证操作人员安全和设备安全。在机房内安装通风设施、空气净化装置等，把温度、湿度控制在合理的范围内，为员工提供舒适的工作环境。拟采取以下7条措施：</w:t>
      </w:r>
    </w:p>
    <w:p>
      <w:pPr>
        <w:ind w:firstLine="560"/>
      </w:pPr>
      <w:r>
        <w:t>（1）设备布置有足够的空间和间距，人流、物流和疏散均通畅。</w:t>
      </w:r>
    </w:p>
    <w:p>
      <w:pPr>
        <w:ind w:firstLine="560"/>
      </w:pPr>
      <w:r>
        <w:t>（2）计算机机房设有更衣、换鞋室，以保证环境清洁和网络运行环境安全，确保信息设备安全可靠。</w:t>
      </w:r>
    </w:p>
    <w:p>
      <w:pPr>
        <w:ind w:firstLine="560"/>
      </w:pPr>
      <w:r>
        <w:t>（3）所有机房应有良好的通风、温度、采光、空间、色彩等环境，有利于工作人员的健康和保持充沛的精力，有利于提高工作效率。</w:t>
      </w:r>
    </w:p>
    <w:p>
      <w:pPr>
        <w:ind w:firstLine="560"/>
      </w:pPr>
      <w:r>
        <w:t>（4）机房内设备的布置应有利于操作、管理，有利于各子系统间的技术连接，有利于统一管理和维护。</w:t>
      </w:r>
    </w:p>
    <w:p>
      <w:pPr>
        <w:ind w:firstLine="560"/>
      </w:pPr>
      <w:r>
        <w:t>（5）机房装修应按照有关规定和要求，严格保证所有电器设备的漏电保护，以免造成触电事故。此外，选购计算机设备时，应考虑防辐射问题，以利于操作人员的身体健康。</w:t>
      </w:r>
    </w:p>
    <w:p>
      <w:pPr>
        <w:ind w:firstLine="560"/>
      </w:pPr>
      <w:r>
        <w:t>（6）为确保人身安全，所有用电设备的金属外壳、配电箱（盘）、操作箱（盘）、配线槽、保护钢管和接线盒与保护线（PE线）可靠连接，以确保安全。为保证安全计算机房等设置防静电地面并设置防静电接地和工作接地。工作接地电阻≤4Ω。</w:t>
      </w:r>
    </w:p>
    <w:p>
      <w:pPr>
        <w:ind w:firstLine="560"/>
      </w:pPr>
      <w:r>
        <w:t>（7）数据中心计算机及相关设备运行机房应达到的指标，室内温度范围：18</w:t>
      </w:r>
      <w:r>
        <w:rPr>
          <w:rFonts w:hint="eastAsia" w:ascii="宋体" w:hAnsi="宋体" w:cs="宋体"/>
        </w:rPr>
        <w:t>℃</w:t>
      </w:r>
      <w:r>
        <w:t>～25</w:t>
      </w:r>
      <w:r>
        <w:rPr>
          <w:rFonts w:hint="eastAsia" w:ascii="宋体" w:hAnsi="宋体" w:cs="宋体"/>
        </w:rPr>
        <w:t>℃</w:t>
      </w:r>
      <w:r>
        <w:t>，室内湿度范围：40 ~ 60%，机房应有明亮和均匀的照明，要求室内空气洁净、防尘、易清扫，防静电地板，空调与加湿，不同类型的电源应有明显的区别标志等。</w:t>
      </w:r>
    </w:p>
    <w:p>
      <w:pPr>
        <w:pStyle w:val="108"/>
      </w:pPr>
      <w:bookmarkStart w:id="87" w:name="_Toc204251358"/>
      <w:bookmarkStart w:id="88" w:name="_Toc44832127"/>
      <w:r>
        <w:t>节能环保措施</w:t>
      </w:r>
      <w:bookmarkEnd w:id="87"/>
      <w:bookmarkEnd w:id="88"/>
    </w:p>
    <w:p>
      <w:pPr>
        <w:pStyle w:val="109"/>
      </w:pPr>
      <w:r>
        <w:t>用能标准及节能设计规范</w:t>
      </w:r>
    </w:p>
    <w:p>
      <w:pPr>
        <w:ind w:firstLine="560"/>
      </w:pPr>
      <w:r>
        <w:t>本项目相关的节能设计规范有：</w:t>
      </w:r>
    </w:p>
    <w:p>
      <w:pPr>
        <w:ind w:firstLine="560"/>
      </w:pPr>
      <w:r>
        <w:t>《民用建筑供暖通风与空气调节设计规范》(GB50736-2012）；</w:t>
      </w:r>
    </w:p>
    <w:p>
      <w:pPr>
        <w:ind w:firstLine="560"/>
      </w:pPr>
      <w:r>
        <w:t>《建筑设计防火规范》（GB50016-2014）；</w:t>
      </w:r>
    </w:p>
    <w:p>
      <w:pPr>
        <w:ind w:firstLine="560"/>
      </w:pPr>
      <w:r>
        <w:t>《公共建筑节能设计标准》（GB50189-2015）；</w:t>
      </w:r>
    </w:p>
    <w:p>
      <w:pPr>
        <w:ind w:firstLine="560"/>
      </w:pPr>
      <w:r>
        <w:t>《通风与空调工程施工质量验收规范》（GB50243-2016）；</w:t>
      </w:r>
    </w:p>
    <w:p>
      <w:pPr>
        <w:ind w:firstLine="560"/>
      </w:pPr>
      <w:r>
        <w:t>《数据中心设计规范》（GB50174-2017）；</w:t>
      </w:r>
    </w:p>
    <w:p>
      <w:pPr>
        <w:ind w:firstLine="560"/>
      </w:pPr>
      <w:r>
        <w:t>《建筑照明设计标准》（GB50034-2013）</w:t>
      </w:r>
    </w:p>
    <w:p>
      <w:pPr>
        <w:pStyle w:val="109"/>
      </w:pPr>
      <w:r>
        <w:t>项目能源消耗种类和数量分析</w:t>
      </w:r>
    </w:p>
    <w:p>
      <w:pPr>
        <w:ind w:firstLine="560"/>
      </w:pPr>
      <w:r>
        <w:t>本项目中能耗种类主要为电能，能耗较大的设备主要包括：</w:t>
      </w:r>
    </w:p>
    <w:p>
      <w:pPr>
        <w:ind w:firstLine="560"/>
      </w:pPr>
      <w:r>
        <w:t>（1）机房空调，主要是机房精密空调</w:t>
      </w:r>
    </w:p>
    <w:p>
      <w:pPr>
        <w:ind w:firstLine="560"/>
      </w:pPr>
      <w:r>
        <w:t>（2）存储设备，主要是磁盘阵列和磁带机</w:t>
      </w:r>
    </w:p>
    <w:p>
      <w:pPr>
        <w:ind w:firstLine="560"/>
      </w:pPr>
      <w:r>
        <w:t>（3）计算设备，包括小型机和刀片服务器</w:t>
      </w:r>
    </w:p>
    <w:p>
      <w:pPr>
        <w:ind w:firstLine="560"/>
      </w:pPr>
      <w:r>
        <w:t>（4）网络设备，主要是路由器和核心交换机</w:t>
      </w:r>
    </w:p>
    <w:p>
      <w:pPr>
        <w:pStyle w:val="109"/>
      </w:pPr>
      <w:r>
        <w:t>项目所在地能源供应状况分析</w:t>
      </w:r>
    </w:p>
    <w:p>
      <w:pPr>
        <w:ind w:firstLine="560"/>
      </w:pPr>
      <w:r>
        <w:t>本项目消耗的主要能源是电能，主要用电能耗为办公用电、机房用电，市电容量可以满足项目需求。</w:t>
      </w:r>
    </w:p>
    <w:p>
      <w:pPr>
        <w:pStyle w:val="109"/>
      </w:pPr>
      <w:r>
        <w:t>能耗指标</w:t>
      </w:r>
    </w:p>
    <w:p>
      <w:pPr>
        <w:ind w:firstLine="560"/>
      </w:pPr>
      <w:r>
        <w:t>本项目的能耗设备中最主要的是硬件设施，例如路由器、交换机、服务器、存储等，另外也包括机房照明、散热、除湿、排风等设备。项目运行将主要造成大量的电力消耗，初步估算项目总装机容量49600KW，年耗电量约3.26亿千瓦时。</w:t>
      </w:r>
    </w:p>
    <w:p>
      <w:pPr>
        <w:pStyle w:val="109"/>
      </w:pPr>
      <w:r>
        <w:t>节能措施和节能效果分析等内容</w:t>
      </w:r>
    </w:p>
    <w:p>
      <w:pPr>
        <w:ind w:firstLine="560"/>
      </w:pPr>
      <w:r>
        <w:t>本项目规划场地分别结合呼和浩特、贵安、厦门地方气候特点，因地制宜，使场区的总体布局和建筑物的平面布置有利于自然通风，且与当地夏季的主导风向一致。本项目建成后，在场院空地上可以考虑布置树木、草地等绿化，利用植被等自然条件，形成场地微气候，营造节约能源的生态小环境。</w:t>
      </w:r>
    </w:p>
    <w:p>
      <w:pPr>
        <w:pStyle w:val="109"/>
      </w:pPr>
      <w:r>
        <w:t>建筑设计节能措施</w:t>
      </w:r>
    </w:p>
    <w:p>
      <w:pPr>
        <w:ind w:firstLine="560"/>
      </w:pPr>
      <w:r>
        <w:t>（1）电气节能</w:t>
      </w:r>
    </w:p>
    <w:p>
      <w:pPr>
        <w:ind w:firstLine="560"/>
      </w:pPr>
      <w:r>
        <w:t>在数据中心一、二层分区设10KV高配，变压器及低压配电设备，变压器及低压配电设备深入用电负荷中心，使得变压器能够就近为负荷供电，不仅缩短供电半径，降低线路末端电压降，而且减少电能损耗，节约电缆使用量。</w:t>
      </w:r>
    </w:p>
    <w:p>
      <w:pPr>
        <w:ind w:firstLine="560"/>
      </w:pPr>
      <w:r>
        <w:t>本项目采用节能型干式变压器，在变配电室内集中设置高、低压电容补偿器（带消谐电抗器），补偿后，配电系统的负荷功率因数不低于0.95，减少无功损耗，降低谐波污染，提高用电质量，节约电能。</w:t>
      </w:r>
    </w:p>
    <w:p>
      <w:pPr>
        <w:ind w:firstLine="560"/>
      </w:pPr>
      <w:r>
        <w:t>变配电室内设置一套电能检测与控制系统，对大楼内照明插座、空调、动力和通信用电进行分项计量和分析，定期提供大楼各设备PUE值，为建筑能源管理提供数据。</w:t>
      </w:r>
    </w:p>
    <w:p>
      <w:pPr>
        <w:ind w:firstLine="560"/>
      </w:pPr>
      <w:r>
        <w:t>单相负荷均衡分配到三相上，减少三相负荷不平衡，减少不必要的线路损耗；合理选择线路路径，使负荷线路尽量短，以降低线路损耗。</w:t>
      </w:r>
    </w:p>
    <w:p>
      <w:pPr>
        <w:ind w:firstLine="560"/>
      </w:pPr>
      <w:r>
        <w:t>合理采用高效光源和高效灯具，灯具选用高效节能型的T5荧光灯或LED灯具，采用电子镇流器，提供功率因数，节约电能。走廊、楼梯间、门厅、大空间等场所的照明系统采取分区、定时、感应等节能控制措施。楼梯间采用声光控节能自熄开关。室外照明灯具采用LED。</w:t>
      </w:r>
    </w:p>
    <w:p>
      <w:pPr>
        <w:ind w:firstLine="560"/>
      </w:pPr>
      <w:r>
        <w:t>合理选用电梯和自动扶梯，并采取电梯群控、扶梯自动启停等节能控制措施。</w:t>
      </w:r>
    </w:p>
    <w:p>
      <w:pPr>
        <w:ind w:firstLine="560"/>
      </w:pPr>
      <w:r>
        <w:t>采用高效率的风机水泵，选用合理的控制方案，减少电能损耗。</w:t>
      </w:r>
    </w:p>
    <w:p>
      <w:pPr>
        <w:ind w:firstLine="560"/>
      </w:pPr>
      <w:r>
        <w:t>建筑室内的照明照度、功率密度值、统一眩光值、一般显色指数等指标严格按照现行国家标准《建筑照明设计标准》（GB 50034-2013）中的相关要求。</w:t>
      </w:r>
    </w:p>
    <w:p>
      <w:pPr>
        <w:ind w:firstLine="560"/>
      </w:pPr>
      <w:r>
        <w:t>（2）空调技术节能</w:t>
      </w:r>
    </w:p>
    <w:p>
      <w:pPr>
        <w:ind w:firstLine="560"/>
      </w:pPr>
      <w:r>
        <w:t>普通机械通风系统风机单位风量耗功率不大于0.27w/（m3/h）；</w:t>
      </w:r>
    </w:p>
    <w:p>
      <w:pPr>
        <w:ind w:firstLine="560"/>
      </w:pPr>
      <w:r>
        <w:t>空调风管保温层的热阻大于0.81m2•K/W；</w:t>
      </w:r>
    </w:p>
    <w:p>
      <w:pPr>
        <w:ind w:firstLine="560"/>
      </w:pPr>
      <w:r>
        <w:t>开关站设置新风系统，利用室外新风消除余热。</w:t>
      </w:r>
    </w:p>
    <w:p>
      <w:pPr>
        <w:ind w:firstLine="560"/>
      </w:pPr>
      <w:r>
        <w:t>组合式空调设置水源热泵模块，将机房余热回收加热室外新风。</w:t>
      </w:r>
    </w:p>
    <w:p>
      <w:pPr>
        <w:pStyle w:val="109"/>
      </w:pPr>
      <w:r>
        <w:t>建筑产品及相关配套设施节能措施</w:t>
      </w:r>
    </w:p>
    <w:p>
      <w:pPr>
        <w:ind w:firstLine="560"/>
      </w:pPr>
      <w:r>
        <w:t>（1）墙体产品</w:t>
      </w:r>
    </w:p>
    <w:p>
      <w:pPr>
        <w:ind w:firstLine="560"/>
      </w:pPr>
      <w:r>
        <w:t>综合考虑性能价格因素，积极选用各类新型墙体材料和散装水泥等新型环保节能建筑材料。由于墙体产品在土建项目中量大质重，外地产品运输不便，优先选择经认证推荐过的节能墙体产品。</w:t>
      </w:r>
    </w:p>
    <w:p>
      <w:pPr>
        <w:ind w:firstLine="560"/>
      </w:pPr>
      <w:r>
        <w:t>（2）门窗产品</w:t>
      </w:r>
    </w:p>
    <w:p>
      <w:pPr>
        <w:ind w:firstLine="560"/>
      </w:pPr>
      <w:r>
        <w:t>采用中空玻璃和隔热断桥铝型材的节能门窗。铝窗户采取中空玻璃、低反射玻璃、推广隔热型材等方法，使整窗传热系数从3.5（W/㎡.K）以上大幅降低，提高了其节能水平；采用隔热铝合金型材，可以显著降低窗框的热量传导，其热传导系数为1.8~3.5（W/㎡•k），大大低于普通铝合金型材（为140~170（W/㎡•k））。在冬季，带有隔热条的窗框能够减少1/3的通过窗框散失的热量；在夏季，带有隔热条的窗框能够更有效地减少外界热量的传入。市场上此类产品品牌众多，采购渠道也较容易选择，可根据实际需要进行选择。</w:t>
      </w:r>
    </w:p>
    <w:p>
      <w:pPr>
        <w:ind w:firstLine="560"/>
      </w:pPr>
      <w:r>
        <w:t>（3）照明、灯具</w:t>
      </w:r>
    </w:p>
    <w:p>
      <w:pPr>
        <w:ind w:firstLine="560"/>
      </w:pPr>
      <w:r>
        <w:t xml:space="preserve">在保证不降低作业面视觉要求、不降低照明质量的前提下，力求减少照明系统中光能的损失，从而最大限度的利用光能。 </w:t>
      </w:r>
    </w:p>
    <w:p>
      <w:pPr>
        <w:ind w:firstLine="560"/>
      </w:pPr>
      <w:r>
        <w:t>充分合理地利用自然光，使之与室内人工照明有机地结合，节约人工照明电能。</w:t>
      </w:r>
    </w:p>
    <w:p>
      <w:pPr>
        <w:ind w:firstLine="560"/>
      </w:pPr>
      <w:r>
        <w:t>在满足照明质量的前提下，一般房间优先采用细管径直管型三基色荧光灯(如T5管）、LED灯及紧凑型荧光灯；高大空间及室外泛光照明等采用金属卤化物灯、高压钠灯等高效气体放电光源；室外庭院灯、路灯采用LED灯。</w:t>
      </w:r>
    </w:p>
    <w:p>
      <w:pPr>
        <w:ind w:firstLine="560"/>
      </w:pPr>
      <w:r>
        <w:t>使用低能耗及性能优的光源用电附件（电子镇流器、节能型电感镇流器、电子触发器以及电子变压器等）；公共建筑场所内的荧光灯选用带有无功补偿的灯具，紧凑型荧光灯优先选用电子镇流器。</w:t>
      </w:r>
    </w:p>
    <w:p>
      <w:pPr>
        <w:ind w:firstLine="560"/>
        <w:sectPr>
          <w:headerReference r:id="rId30" w:type="default"/>
          <w:footerReference r:id="rId31" w:type="default"/>
          <w:pgSz w:w="11907" w:h="16839"/>
          <w:pgMar w:top="1440" w:right="1800" w:bottom="1440" w:left="1800" w:header="851" w:footer="992" w:gutter="0"/>
          <w:cols w:space="720" w:num="1"/>
          <w:docGrid w:linePitch="326" w:charSpace="0"/>
        </w:sectPr>
      </w:pPr>
      <w:r>
        <w:t>根据照明使用特点，采取分区控制灯光或适当增加照明开关点；公共场所及室外照明采用程序控制或光电、声控开关；走道、楼梯等人员短暂停留的公共场所采用节能自熄开关。</w:t>
      </w:r>
    </w:p>
    <w:p>
      <w:pPr>
        <w:pStyle w:val="142"/>
      </w:pPr>
      <w:bookmarkStart w:id="89" w:name="_Toc204251365"/>
      <w:bookmarkStart w:id="90" w:name="_Hlk58448195"/>
      <w:commentRangeStart w:id="0"/>
      <w:r>
        <w:t>初步设计方案相对可研报告批复变更调整情况的详细说明</w:t>
      </w:r>
      <w:commentRangeEnd w:id="0"/>
      <w:r>
        <w:rPr>
          <w:rStyle w:val="27"/>
          <w:rFonts w:hint="eastAsia" w:ascii="华文宋体" w:hAnsi="Calibri" w:eastAsia="华文宋体"/>
        </w:rPr>
        <w:commentReference w:id="0"/>
      </w:r>
      <w:bookmarkEnd w:id="89"/>
      <w:r>
        <w:rPr>
          <w:rStyle w:val="27"/>
          <w:rFonts w:hint="eastAsia" w:ascii="华文宋体" w:hAnsi="Calibri" w:eastAsia="华文宋体"/>
        </w:rPr>
        <w:t>（各自写，设计公司合）</w:t>
      </w:r>
    </w:p>
    <w:p>
      <w:pPr>
        <w:pStyle w:val="108"/>
      </w:pPr>
      <w:bookmarkStart w:id="91" w:name="_Toc204251367"/>
      <w:r>
        <w:t>硬件调整</w:t>
      </w:r>
      <w:bookmarkEnd w:id="91"/>
      <w:r>
        <w:rPr>
          <w:rFonts w:hint="eastAsia"/>
        </w:rPr>
        <w:t>说明</w:t>
      </w:r>
    </w:p>
    <w:p>
      <w:pPr>
        <w:pStyle w:val="109"/>
      </w:pPr>
      <w:r>
        <w:rPr>
          <w:rFonts w:hint="eastAsia"/>
        </w:rPr>
        <w:t>计算设备</w:t>
      </w:r>
      <w:r>
        <w:t>调整</w:t>
      </w:r>
      <w:r>
        <w:rPr>
          <w:rFonts w:hint="eastAsia"/>
        </w:rPr>
        <w:t>说明</w:t>
      </w:r>
    </w:p>
    <w:tbl>
      <w:tblPr>
        <w:tblStyle w:val="1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6"/>
        <w:gridCol w:w="846"/>
        <w:gridCol w:w="971"/>
        <w:gridCol w:w="971"/>
        <w:gridCol w:w="1056"/>
        <w:gridCol w:w="846"/>
        <w:gridCol w:w="846"/>
        <w:gridCol w:w="887"/>
        <w:gridCol w:w="972"/>
        <w:gridCol w:w="1057"/>
        <w:gridCol w:w="1970"/>
        <w:gridCol w:w="20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blHeader/>
          <w:jc w:val="center"/>
        </w:trPr>
        <w:tc>
          <w:tcPr>
            <w:tcW w:w="250" w:type="pct"/>
            <w:vMerge w:val="restart"/>
            <w:vAlign w:val="center"/>
          </w:tcPr>
          <w:p>
            <w:pPr>
              <w:pStyle w:val="532"/>
              <w:spacing w:line="240" w:lineRule="auto"/>
              <w:ind w:firstLine="420"/>
              <w:jc w:val="both"/>
              <w:rPr>
                <w:sz w:val="21"/>
                <w:szCs w:val="21"/>
              </w:rPr>
            </w:pPr>
            <w:commentRangeStart w:id="1"/>
            <w:r>
              <w:rPr>
                <w:rFonts w:hint="eastAsia"/>
                <w:sz w:val="21"/>
                <w:szCs w:val="21"/>
              </w:rPr>
              <w:t>序号</w:t>
            </w:r>
          </w:p>
        </w:tc>
        <w:tc>
          <w:tcPr>
            <w:tcW w:w="1619" w:type="pct"/>
            <w:gridSpan w:val="5"/>
            <w:vAlign w:val="center"/>
          </w:tcPr>
          <w:p>
            <w:pPr>
              <w:pStyle w:val="532"/>
              <w:spacing w:line="240" w:lineRule="auto"/>
              <w:ind w:firstLine="420"/>
              <w:jc w:val="center"/>
              <w:rPr>
                <w:sz w:val="21"/>
                <w:szCs w:val="21"/>
              </w:rPr>
            </w:pPr>
            <w:r>
              <w:rPr>
                <w:sz w:val="21"/>
                <w:szCs w:val="21"/>
              </w:rPr>
              <w:t>可研</w:t>
            </w:r>
            <w:r>
              <w:rPr>
                <w:rFonts w:hint="eastAsia"/>
                <w:sz w:val="21"/>
                <w:szCs w:val="21"/>
              </w:rPr>
              <w:t>批复</w:t>
            </w:r>
          </w:p>
        </w:tc>
        <w:tc>
          <w:tcPr>
            <w:tcW w:w="1619" w:type="pct"/>
            <w:gridSpan w:val="5"/>
            <w:vAlign w:val="center"/>
          </w:tcPr>
          <w:p>
            <w:pPr>
              <w:pStyle w:val="532"/>
              <w:spacing w:line="240" w:lineRule="auto"/>
              <w:ind w:firstLine="420"/>
              <w:jc w:val="center"/>
              <w:rPr>
                <w:sz w:val="21"/>
                <w:szCs w:val="21"/>
              </w:rPr>
            </w:pPr>
            <w:r>
              <w:rPr>
                <w:sz w:val="21"/>
                <w:szCs w:val="21"/>
              </w:rPr>
              <w:t>初设</w:t>
            </w:r>
            <w:r>
              <w:rPr>
                <w:rFonts w:hint="eastAsia"/>
                <w:sz w:val="21"/>
                <w:szCs w:val="21"/>
              </w:rPr>
              <w:t>申报</w:t>
            </w:r>
          </w:p>
        </w:tc>
        <w:tc>
          <w:tcPr>
            <w:tcW w:w="1510" w:type="pct"/>
            <w:gridSpan w:val="2"/>
            <w:vAlign w:val="center"/>
          </w:tcPr>
          <w:p>
            <w:pPr>
              <w:pStyle w:val="532"/>
              <w:spacing w:line="240" w:lineRule="auto"/>
              <w:ind w:firstLine="420"/>
              <w:jc w:val="center"/>
              <w:rPr>
                <w:sz w:val="21"/>
                <w:szCs w:val="21"/>
              </w:rPr>
            </w:pPr>
            <w:r>
              <w:rPr>
                <w:rFonts w:hint="eastAsia"/>
                <w:sz w:val="21"/>
                <w:szCs w:val="21"/>
              </w:rPr>
              <w:t>调整情况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blHeader/>
          <w:jc w:val="center"/>
        </w:trPr>
        <w:tc>
          <w:tcPr>
            <w:tcW w:w="250" w:type="pct"/>
            <w:vMerge w:val="continue"/>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r>
              <w:rPr>
                <w:rFonts w:hint="eastAsia"/>
                <w:sz w:val="21"/>
                <w:szCs w:val="21"/>
              </w:rPr>
              <w:t>设备名称</w:t>
            </w:r>
          </w:p>
        </w:tc>
        <w:tc>
          <w:tcPr>
            <w:tcW w:w="250" w:type="pct"/>
            <w:vAlign w:val="center"/>
          </w:tcPr>
          <w:p>
            <w:pPr>
              <w:pStyle w:val="532"/>
              <w:spacing w:line="240" w:lineRule="auto"/>
              <w:ind w:firstLine="420"/>
              <w:jc w:val="center"/>
              <w:rPr>
                <w:sz w:val="21"/>
                <w:szCs w:val="21"/>
              </w:rPr>
            </w:pPr>
            <w:r>
              <w:rPr>
                <w:rFonts w:hint="eastAsia"/>
                <w:sz w:val="21"/>
                <w:szCs w:val="21"/>
              </w:rPr>
              <w:t>参数</w:t>
            </w:r>
          </w:p>
        </w:tc>
        <w:tc>
          <w:tcPr>
            <w:tcW w:w="373" w:type="pct"/>
            <w:vAlign w:val="center"/>
          </w:tcPr>
          <w:p>
            <w:pPr>
              <w:pStyle w:val="532"/>
              <w:spacing w:line="240" w:lineRule="auto"/>
              <w:ind w:firstLine="420"/>
              <w:jc w:val="center"/>
              <w:rPr>
                <w:sz w:val="21"/>
                <w:szCs w:val="21"/>
              </w:rPr>
            </w:pPr>
            <w:r>
              <w:rPr>
                <w:rFonts w:hint="eastAsia"/>
                <w:sz w:val="21"/>
                <w:szCs w:val="21"/>
              </w:rPr>
              <w:t>数量</w:t>
            </w:r>
            <w:r>
              <w:rPr>
                <w:sz w:val="21"/>
                <w:szCs w:val="21"/>
              </w:rPr>
              <w:t>（</w:t>
            </w:r>
            <w:r>
              <w:rPr>
                <w:rFonts w:hint="eastAsia"/>
                <w:sz w:val="21"/>
                <w:szCs w:val="21"/>
              </w:rPr>
              <w:t>台/</w:t>
            </w:r>
            <w:r>
              <w:rPr>
                <w:sz w:val="21"/>
                <w:szCs w:val="21"/>
              </w:rPr>
              <w:t>套）</w:t>
            </w:r>
          </w:p>
        </w:tc>
        <w:tc>
          <w:tcPr>
            <w:tcW w:w="373" w:type="pct"/>
            <w:vAlign w:val="center"/>
          </w:tcPr>
          <w:p>
            <w:pPr>
              <w:pStyle w:val="532"/>
              <w:spacing w:line="240" w:lineRule="auto"/>
              <w:ind w:firstLine="420"/>
              <w:jc w:val="center"/>
              <w:rPr>
                <w:sz w:val="21"/>
                <w:szCs w:val="21"/>
              </w:rPr>
            </w:pPr>
            <w:r>
              <w:rPr>
                <w:sz w:val="21"/>
                <w:szCs w:val="21"/>
              </w:rPr>
              <w:t>单价（万元）</w:t>
            </w:r>
          </w:p>
        </w:tc>
        <w:tc>
          <w:tcPr>
            <w:tcW w:w="373" w:type="pct"/>
            <w:vAlign w:val="center"/>
          </w:tcPr>
          <w:p>
            <w:pPr>
              <w:pStyle w:val="532"/>
              <w:spacing w:line="240" w:lineRule="auto"/>
              <w:ind w:firstLine="420"/>
              <w:jc w:val="center"/>
              <w:rPr>
                <w:sz w:val="21"/>
                <w:szCs w:val="21"/>
              </w:rPr>
            </w:pPr>
            <w:r>
              <w:rPr>
                <w:sz w:val="21"/>
                <w:szCs w:val="21"/>
              </w:rPr>
              <w:t>总价</w:t>
            </w:r>
          </w:p>
          <w:p>
            <w:pPr>
              <w:pStyle w:val="532"/>
              <w:spacing w:line="240" w:lineRule="auto"/>
              <w:ind w:firstLine="420"/>
              <w:jc w:val="center"/>
              <w:rPr>
                <w:sz w:val="21"/>
                <w:szCs w:val="21"/>
              </w:rPr>
            </w:pPr>
            <w:r>
              <w:rPr>
                <w:sz w:val="21"/>
                <w:szCs w:val="21"/>
              </w:rPr>
              <w:t>（万元）</w:t>
            </w:r>
          </w:p>
        </w:tc>
        <w:tc>
          <w:tcPr>
            <w:tcW w:w="250" w:type="pct"/>
            <w:vAlign w:val="center"/>
          </w:tcPr>
          <w:p>
            <w:pPr>
              <w:pStyle w:val="532"/>
              <w:spacing w:line="240" w:lineRule="auto"/>
              <w:ind w:firstLine="420"/>
              <w:jc w:val="center"/>
              <w:rPr>
                <w:sz w:val="21"/>
                <w:szCs w:val="21"/>
              </w:rPr>
            </w:pPr>
            <w:r>
              <w:rPr>
                <w:rFonts w:hint="eastAsia"/>
                <w:sz w:val="21"/>
                <w:szCs w:val="21"/>
              </w:rPr>
              <w:t>设备名称</w:t>
            </w:r>
          </w:p>
        </w:tc>
        <w:tc>
          <w:tcPr>
            <w:tcW w:w="250" w:type="pct"/>
            <w:vAlign w:val="center"/>
          </w:tcPr>
          <w:p>
            <w:pPr>
              <w:pStyle w:val="532"/>
              <w:spacing w:line="240" w:lineRule="auto"/>
              <w:ind w:firstLine="420"/>
              <w:jc w:val="center"/>
              <w:rPr>
                <w:sz w:val="21"/>
                <w:szCs w:val="21"/>
              </w:rPr>
            </w:pPr>
            <w:r>
              <w:rPr>
                <w:rFonts w:hint="eastAsia"/>
                <w:sz w:val="21"/>
                <w:szCs w:val="21"/>
              </w:rPr>
              <w:t>参数</w:t>
            </w:r>
          </w:p>
        </w:tc>
        <w:tc>
          <w:tcPr>
            <w:tcW w:w="373" w:type="pct"/>
            <w:vAlign w:val="center"/>
          </w:tcPr>
          <w:p>
            <w:pPr>
              <w:pStyle w:val="532"/>
              <w:spacing w:line="240" w:lineRule="auto"/>
              <w:ind w:firstLine="420"/>
              <w:jc w:val="center"/>
              <w:rPr>
                <w:sz w:val="21"/>
                <w:szCs w:val="21"/>
              </w:rPr>
            </w:pPr>
            <w:r>
              <w:rPr>
                <w:rFonts w:hint="eastAsia"/>
                <w:sz w:val="21"/>
                <w:szCs w:val="21"/>
              </w:rPr>
              <w:t>数量</w:t>
            </w:r>
            <w:r>
              <w:rPr>
                <w:sz w:val="21"/>
                <w:szCs w:val="21"/>
              </w:rPr>
              <w:t>（</w:t>
            </w:r>
            <w:r>
              <w:rPr>
                <w:rFonts w:hint="eastAsia"/>
                <w:sz w:val="21"/>
                <w:szCs w:val="21"/>
              </w:rPr>
              <w:t>台/</w:t>
            </w:r>
            <w:r>
              <w:rPr>
                <w:sz w:val="21"/>
                <w:szCs w:val="21"/>
              </w:rPr>
              <w:t>套）</w:t>
            </w:r>
          </w:p>
        </w:tc>
        <w:tc>
          <w:tcPr>
            <w:tcW w:w="373" w:type="pct"/>
            <w:vAlign w:val="center"/>
          </w:tcPr>
          <w:p>
            <w:pPr>
              <w:pStyle w:val="532"/>
              <w:spacing w:line="240" w:lineRule="auto"/>
              <w:ind w:firstLine="420"/>
              <w:jc w:val="center"/>
              <w:rPr>
                <w:sz w:val="21"/>
                <w:szCs w:val="21"/>
              </w:rPr>
            </w:pPr>
            <w:r>
              <w:rPr>
                <w:sz w:val="21"/>
                <w:szCs w:val="21"/>
              </w:rPr>
              <w:t>单价（万元）</w:t>
            </w:r>
          </w:p>
        </w:tc>
        <w:tc>
          <w:tcPr>
            <w:tcW w:w="373" w:type="pct"/>
            <w:vAlign w:val="center"/>
          </w:tcPr>
          <w:p>
            <w:pPr>
              <w:pStyle w:val="532"/>
              <w:spacing w:line="240" w:lineRule="auto"/>
              <w:ind w:firstLine="420"/>
              <w:jc w:val="center"/>
              <w:rPr>
                <w:sz w:val="21"/>
                <w:szCs w:val="21"/>
              </w:rPr>
            </w:pPr>
            <w:r>
              <w:rPr>
                <w:sz w:val="21"/>
                <w:szCs w:val="21"/>
              </w:rPr>
              <w:t>总价</w:t>
            </w:r>
          </w:p>
          <w:p>
            <w:pPr>
              <w:pStyle w:val="532"/>
              <w:spacing w:line="240" w:lineRule="auto"/>
              <w:ind w:firstLine="420"/>
              <w:jc w:val="center"/>
              <w:rPr>
                <w:sz w:val="21"/>
                <w:szCs w:val="21"/>
              </w:rPr>
            </w:pPr>
            <w:r>
              <w:rPr>
                <w:sz w:val="21"/>
                <w:szCs w:val="21"/>
              </w:rPr>
              <w:t>（万元）</w:t>
            </w:r>
          </w:p>
        </w:tc>
        <w:tc>
          <w:tcPr>
            <w:tcW w:w="755" w:type="pct"/>
            <w:vAlign w:val="center"/>
          </w:tcPr>
          <w:p>
            <w:pPr>
              <w:pStyle w:val="532"/>
              <w:spacing w:line="240" w:lineRule="auto"/>
              <w:ind w:firstLine="420"/>
              <w:jc w:val="center"/>
              <w:rPr>
                <w:sz w:val="21"/>
                <w:szCs w:val="21"/>
              </w:rPr>
            </w:pPr>
            <w:r>
              <w:rPr>
                <w:rFonts w:hint="eastAsia"/>
                <w:sz w:val="21"/>
                <w:szCs w:val="21"/>
              </w:rPr>
              <w:t>调整金额（万元）</w:t>
            </w:r>
          </w:p>
        </w:tc>
        <w:tc>
          <w:tcPr>
            <w:tcW w:w="755" w:type="pct"/>
            <w:vAlign w:val="center"/>
          </w:tcPr>
          <w:p>
            <w:pPr>
              <w:pStyle w:val="532"/>
              <w:spacing w:line="240" w:lineRule="auto"/>
              <w:ind w:firstLine="420"/>
              <w:jc w:val="center"/>
              <w:rPr>
                <w:sz w:val="21"/>
                <w:szCs w:val="21"/>
              </w:rPr>
            </w:pPr>
            <w:r>
              <w:rPr>
                <w:rFonts w:hint="eastAsia"/>
                <w:sz w:val="21"/>
                <w:szCs w:val="21"/>
              </w:rPr>
              <w:t>调整理由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6" w:hRule="atLeast"/>
          <w:jc w:val="center"/>
        </w:trPr>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755" w:type="pct"/>
            <w:vAlign w:val="center"/>
          </w:tcPr>
          <w:p>
            <w:pPr>
              <w:pStyle w:val="532"/>
              <w:spacing w:line="240" w:lineRule="auto"/>
              <w:ind w:firstLine="420"/>
              <w:jc w:val="center"/>
              <w:rPr>
                <w:sz w:val="21"/>
                <w:szCs w:val="21"/>
              </w:rPr>
            </w:pPr>
          </w:p>
        </w:tc>
        <w:tc>
          <w:tcPr>
            <w:tcW w:w="755" w:type="pct"/>
            <w:vAlign w:val="center"/>
          </w:tcPr>
          <w:p>
            <w:pPr>
              <w:pStyle w:val="532"/>
              <w:spacing w:line="240" w:lineRule="auto"/>
              <w:ind w:firstLine="42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jc w:val="center"/>
        </w:trPr>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755" w:type="pct"/>
            <w:vAlign w:val="center"/>
          </w:tcPr>
          <w:p>
            <w:pPr>
              <w:pStyle w:val="532"/>
              <w:spacing w:line="240" w:lineRule="auto"/>
              <w:ind w:firstLine="420"/>
              <w:jc w:val="center"/>
              <w:rPr>
                <w:sz w:val="21"/>
                <w:szCs w:val="21"/>
              </w:rPr>
            </w:pPr>
          </w:p>
        </w:tc>
        <w:tc>
          <w:tcPr>
            <w:tcW w:w="755" w:type="pct"/>
            <w:vAlign w:val="center"/>
          </w:tcPr>
          <w:p>
            <w:pPr>
              <w:pStyle w:val="532"/>
              <w:spacing w:line="240" w:lineRule="auto"/>
              <w:ind w:firstLine="42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755" w:type="pct"/>
            <w:vAlign w:val="center"/>
          </w:tcPr>
          <w:p>
            <w:pPr>
              <w:pStyle w:val="532"/>
              <w:spacing w:line="240" w:lineRule="auto"/>
              <w:ind w:firstLine="420"/>
              <w:jc w:val="center"/>
              <w:rPr>
                <w:sz w:val="21"/>
                <w:szCs w:val="21"/>
              </w:rPr>
            </w:pPr>
          </w:p>
        </w:tc>
        <w:tc>
          <w:tcPr>
            <w:tcW w:w="755" w:type="pct"/>
            <w:vAlign w:val="center"/>
          </w:tcPr>
          <w:p>
            <w:pPr>
              <w:pStyle w:val="532"/>
              <w:spacing w:line="240" w:lineRule="auto"/>
              <w:ind w:firstLine="42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755" w:type="pct"/>
            <w:vAlign w:val="center"/>
          </w:tcPr>
          <w:p>
            <w:pPr>
              <w:pStyle w:val="532"/>
              <w:spacing w:line="240" w:lineRule="auto"/>
              <w:ind w:firstLine="420"/>
              <w:jc w:val="center"/>
              <w:rPr>
                <w:sz w:val="21"/>
                <w:szCs w:val="21"/>
              </w:rPr>
            </w:pPr>
          </w:p>
        </w:tc>
        <w:tc>
          <w:tcPr>
            <w:tcW w:w="755" w:type="pct"/>
            <w:vAlign w:val="center"/>
          </w:tcPr>
          <w:p>
            <w:pPr>
              <w:pStyle w:val="532"/>
              <w:spacing w:line="240" w:lineRule="auto"/>
              <w:ind w:firstLine="420"/>
              <w:jc w:val="cente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250"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373" w:type="pct"/>
            <w:vAlign w:val="center"/>
          </w:tcPr>
          <w:p>
            <w:pPr>
              <w:pStyle w:val="532"/>
              <w:spacing w:line="240" w:lineRule="auto"/>
              <w:ind w:firstLine="420"/>
              <w:jc w:val="center"/>
              <w:rPr>
                <w:sz w:val="21"/>
                <w:szCs w:val="21"/>
              </w:rPr>
            </w:pPr>
          </w:p>
        </w:tc>
        <w:tc>
          <w:tcPr>
            <w:tcW w:w="755" w:type="pct"/>
            <w:vAlign w:val="center"/>
          </w:tcPr>
          <w:p>
            <w:pPr>
              <w:pStyle w:val="532"/>
              <w:spacing w:line="240" w:lineRule="auto"/>
              <w:ind w:firstLine="420"/>
              <w:jc w:val="center"/>
              <w:rPr>
                <w:sz w:val="21"/>
                <w:szCs w:val="21"/>
              </w:rPr>
            </w:pPr>
          </w:p>
          <w:commentRangeEnd w:id="1"/>
          <w:p>
            <w:r>
              <w:rPr>
                <w:rStyle w:val="27"/>
              </w:rPr>
              <w:commentReference w:id="1"/>
            </w:r>
          </w:p>
        </w:tc>
        <w:tc>
          <w:tcPr>
            <w:tcW w:w="755" w:type="pct"/>
            <w:vAlign w:val="center"/>
          </w:tcPr>
          <w:p>
            <w:pPr>
              <w:pStyle w:val="532"/>
              <w:spacing w:line="240" w:lineRule="auto"/>
              <w:ind w:firstLine="420"/>
              <w:jc w:val="center"/>
              <w:rPr>
                <w:sz w:val="21"/>
                <w:szCs w:val="21"/>
              </w:rPr>
            </w:pPr>
          </w:p>
        </w:tc>
      </w:tr>
    </w:tbl>
    <w:p>
      <w:pPr>
        <w:pStyle w:val="109"/>
      </w:pPr>
      <w:r>
        <w:t>存储</w:t>
      </w:r>
      <w:r>
        <w:rPr>
          <w:rFonts w:hint="eastAsia"/>
        </w:rPr>
        <w:t>设备</w:t>
      </w:r>
      <w:r>
        <w:t>调整</w:t>
      </w:r>
      <w:r>
        <w:rPr>
          <w:rFonts w:hint="eastAsia"/>
        </w:rPr>
        <w:t>说明</w:t>
      </w:r>
    </w:p>
    <w:p>
      <w:pPr>
        <w:pStyle w:val="109"/>
      </w:pPr>
      <w:r>
        <w:t>网络设备调整</w:t>
      </w:r>
      <w:r>
        <w:rPr>
          <w:rFonts w:hint="eastAsia"/>
        </w:rPr>
        <w:t>说明</w:t>
      </w:r>
    </w:p>
    <w:p>
      <w:pPr>
        <w:pStyle w:val="109"/>
      </w:pPr>
      <w:r>
        <w:t>安全设备调整</w:t>
      </w:r>
      <w:r>
        <w:rPr>
          <w:rFonts w:hint="eastAsia"/>
        </w:rPr>
        <w:t>说明</w:t>
      </w:r>
    </w:p>
    <w:p>
      <w:pPr>
        <w:pStyle w:val="108"/>
      </w:pPr>
      <w:bookmarkStart w:id="92" w:name="_Toc204251368"/>
      <w:r>
        <w:rPr>
          <w:rFonts w:hint="eastAsia"/>
        </w:rPr>
        <w:t>购置</w:t>
      </w:r>
      <w:r>
        <w:t>软件调整</w:t>
      </w:r>
      <w:bookmarkEnd w:id="92"/>
      <w:r>
        <w:rPr>
          <w:rFonts w:hint="eastAsia"/>
        </w:rPr>
        <w:t>说明</w:t>
      </w:r>
    </w:p>
    <w:p>
      <w:pPr>
        <w:pStyle w:val="108"/>
      </w:pPr>
      <w:bookmarkStart w:id="93" w:name="_Toc204251366"/>
      <w:r>
        <w:t>定制化软件调整</w:t>
      </w:r>
      <w:bookmarkEnd w:id="93"/>
      <w:r>
        <w:rPr>
          <w:rFonts w:hint="eastAsia"/>
        </w:rPr>
        <w:t>说明</w:t>
      </w:r>
    </w:p>
    <w:p>
      <w:pPr>
        <w:pStyle w:val="108"/>
      </w:pPr>
      <w:r>
        <w:rPr>
          <w:rFonts w:hint="eastAsia"/>
        </w:rPr>
        <w:t>研发内容调整说明</w:t>
      </w:r>
    </w:p>
    <w:p>
      <w:pPr>
        <w:pStyle w:val="108"/>
      </w:pPr>
      <w:r>
        <w:rPr>
          <w:rFonts w:hint="eastAsia"/>
        </w:rPr>
        <w:t>数据集建设内容调整说明</w:t>
      </w:r>
    </w:p>
    <w:p>
      <w:pPr>
        <w:pStyle w:val="108"/>
      </w:pPr>
      <w:r>
        <w:rPr>
          <w:rFonts w:hint="eastAsia"/>
        </w:rPr>
        <w:t>其它内容调整说明</w:t>
      </w:r>
    </w:p>
    <w:p>
      <w:pPr>
        <w:ind w:firstLine="560"/>
      </w:pPr>
    </w:p>
    <w:p>
      <w:pPr>
        <w:ind w:firstLine="560"/>
      </w:pPr>
    </w:p>
    <w:p>
      <w:pPr>
        <w:ind w:firstLine="560"/>
        <w:sectPr>
          <w:pgSz w:w="16839" w:h="11907" w:orient="landscape"/>
          <w:pgMar w:top="1800" w:right="1440" w:bottom="1800" w:left="1440" w:header="851" w:footer="992" w:gutter="0"/>
          <w:cols w:space="720" w:num="1"/>
          <w:docGrid w:linePitch="326" w:charSpace="0"/>
        </w:sectPr>
      </w:pPr>
    </w:p>
    <w:p>
      <w:pPr>
        <w:ind w:firstLine="560"/>
      </w:pPr>
    </w:p>
    <w:bookmarkEnd w:id="90"/>
    <w:p>
      <w:pPr>
        <w:pStyle w:val="2"/>
      </w:pPr>
      <w:bookmarkStart w:id="94" w:name="_Toc40378767"/>
      <w:bookmarkStart w:id="95" w:name="_Toc204251369"/>
      <w:r>
        <w:t>项目建设</w:t>
      </w:r>
      <w:r>
        <w:rPr>
          <w:rFonts w:hint="eastAsia"/>
        </w:rPr>
        <w:t>管理</w:t>
      </w:r>
      <w:r>
        <w:t>与运行</w:t>
      </w:r>
      <w:bookmarkEnd w:id="94"/>
      <w:r>
        <w:rPr>
          <w:rFonts w:hint="eastAsia"/>
        </w:rPr>
        <w:t>方案</w:t>
      </w:r>
      <w:bookmarkEnd w:id="95"/>
      <w:r>
        <w:rPr>
          <w:rFonts w:hint="eastAsia"/>
        </w:rPr>
        <w:t>（刘庆伟）</w:t>
      </w:r>
    </w:p>
    <w:p>
      <w:pPr>
        <w:pStyle w:val="142"/>
      </w:pPr>
      <w:r>
        <w:rPr>
          <w:rFonts w:hint="eastAsia"/>
        </w:rPr>
        <w:t>项目建设管理方案</w:t>
      </w:r>
    </w:p>
    <w:p>
      <w:pPr>
        <w:ind w:firstLine="20"/>
        <w:rPr>
          <w:rFonts w:eastAsiaTheme="minorEastAsia"/>
          <w:snapToGrid w:val="0"/>
          <w:color w:val="000000"/>
          <w:w w:val="0"/>
          <w:kern w:val="0"/>
          <w:sz w:val="0"/>
          <w:szCs w:val="0"/>
          <w:u w:color="000000"/>
          <w:shd w:val="clear" w:color="000000" w:fill="000000"/>
          <w:lang w:val="zh-CN" w:bidi="zh-CN"/>
        </w:rPr>
      </w:pPr>
      <w:r>
        <w:rPr>
          <w:rFonts w:eastAsia="Times New Roman"/>
          <w:snapToGrid w:val="0"/>
          <w:color w:val="000000"/>
          <w:w w:val="0"/>
          <w:kern w:val="0"/>
          <w:sz w:val="0"/>
          <w:szCs w:val="0"/>
          <w:u w:color="000000"/>
          <w:shd w:val="clear" w:color="000000" w:fill="000000"/>
          <w:lang w:val="zh-CN" w:bidi="zh-CN"/>
        </w:rPr>
        <w:t xml:space="preserve"> </w:t>
      </w:r>
    </w:p>
    <w:p>
      <w:pPr>
        <w:pStyle w:val="108"/>
      </w:pPr>
      <w:r>
        <w:t>项目组织模式</w:t>
      </w:r>
    </w:p>
    <w:p>
      <w:pPr>
        <w:pStyle w:val="108"/>
      </w:pPr>
      <w:r>
        <w:rPr>
          <w:rFonts w:hint="eastAsia"/>
        </w:rPr>
        <w:t>项目组织</w:t>
      </w:r>
      <w:r>
        <w:t>机构</w:t>
      </w:r>
    </w:p>
    <w:p>
      <w:pPr>
        <w:pStyle w:val="108"/>
      </w:pPr>
      <w:r>
        <w:rPr>
          <w:rFonts w:hint="eastAsia"/>
        </w:rPr>
        <w:t>核准的项目招标方案</w:t>
      </w:r>
    </w:p>
    <w:p>
      <w:pPr>
        <w:pStyle w:val="109"/>
      </w:pPr>
      <w:bookmarkStart w:id="96" w:name="_Toc40378772"/>
      <w:bookmarkStart w:id="97" w:name="_Toc204251374"/>
      <w:r>
        <w:t>招标范围</w:t>
      </w:r>
      <w:bookmarkEnd w:id="96"/>
      <w:bookmarkEnd w:id="97"/>
    </w:p>
    <w:p>
      <w:pPr>
        <w:pStyle w:val="109"/>
      </w:pPr>
      <w:bookmarkStart w:id="98" w:name="_Toc204251375"/>
      <w:bookmarkStart w:id="99" w:name="_Toc40378773"/>
      <w:r>
        <w:t>招标方式</w:t>
      </w:r>
      <w:bookmarkEnd w:id="98"/>
      <w:bookmarkEnd w:id="99"/>
    </w:p>
    <w:p>
      <w:pPr>
        <w:pStyle w:val="109"/>
      </w:pPr>
      <w:bookmarkStart w:id="100" w:name="_Toc204251376"/>
      <w:bookmarkStart w:id="101" w:name="_Toc40378774"/>
      <w:r>
        <w:t>招标组织形式</w:t>
      </w:r>
      <w:bookmarkEnd w:id="100"/>
      <w:bookmarkEnd w:id="101"/>
    </w:p>
    <w:p>
      <w:pPr>
        <w:pStyle w:val="108"/>
      </w:pPr>
      <w:bookmarkStart w:id="102" w:name="_Toc28190493"/>
      <w:bookmarkStart w:id="103" w:name="_Toc40378775"/>
      <w:bookmarkStart w:id="104" w:name="_Toc204251377"/>
      <w:r>
        <w:t>项目进度、质量、资金管理方案</w:t>
      </w:r>
      <w:bookmarkEnd w:id="102"/>
      <w:bookmarkEnd w:id="103"/>
      <w:bookmarkEnd w:id="104"/>
    </w:p>
    <w:p>
      <w:pPr>
        <w:pStyle w:val="109"/>
      </w:pPr>
      <w:bookmarkStart w:id="105" w:name="_Toc28190494"/>
      <w:bookmarkStart w:id="106" w:name="_Toc40378776"/>
      <w:bookmarkStart w:id="107" w:name="_Toc204251378"/>
      <w:r>
        <w:t>项目</w:t>
      </w:r>
      <w:bookmarkEnd w:id="105"/>
      <w:bookmarkEnd w:id="106"/>
      <w:r>
        <w:t>进度管理方案</w:t>
      </w:r>
      <w:bookmarkEnd w:id="107"/>
    </w:p>
    <w:p>
      <w:pPr>
        <w:pStyle w:val="109"/>
      </w:pPr>
      <w:bookmarkStart w:id="108" w:name="_Toc40378777"/>
      <w:bookmarkStart w:id="109" w:name="_Toc204251379"/>
      <w:bookmarkStart w:id="110" w:name="_Toc28190495"/>
      <w:r>
        <w:t>项目质量管理方案</w:t>
      </w:r>
      <w:bookmarkEnd w:id="108"/>
      <w:bookmarkEnd w:id="109"/>
      <w:bookmarkEnd w:id="110"/>
    </w:p>
    <w:p>
      <w:pPr>
        <w:pStyle w:val="109"/>
      </w:pPr>
      <w:bookmarkStart w:id="111" w:name="_Toc40378778"/>
      <w:bookmarkStart w:id="112" w:name="_Toc204251380"/>
      <w:bookmarkStart w:id="113" w:name="_Toc28190496"/>
      <w:r>
        <w:t>项目资金管理方案</w:t>
      </w:r>
      <w:bookmarkEnd w:id="111"/>
      <w:bookmarkEnd w:id="112"/>
      <w:bookmarkEnd w:id="113"/>
    </w:p>
    <w:p>
      <w:pPr>
        <w:pStyle w:val="107"/>
      </w:pPr>
      <w:r>
        <w:t>资金使用来源与落实情况</w:t>
      </w:r>
    </w:p>
    <w:p>
      <w:pPr>
        <w:pStyle w:val="107"/>
      </w:pPr>
      <w:r>
        <w:t>资金使用计划</w:t>
      </w:r>
    </w:p>
    <w:p>
      <w:pPr>
        <w:pStyle w:val="107"/>
      </w:pPr>
      <w:r>
        <w:t>项目运行维护经费估算</w:t>
      </w:r>
    </w:p>
    <w:p>
      <w:pPr>
        <w:ind w:firstLine="560"/>
      </w:pPr>
    </w:p>
    <w:p>
      <w:pPr>
        <w:pStyle w:val="142"/>
      </w:pPr>
      <w:bookmarkStart w:id="114" w:name="_Toc40378769"/>
      <w:bookmarkStart w:id="115" w:name="_Toc204251371"/>
      <w:r>
        <w:rPr>
          <w:rFonts w:hint="eastAsia"/>
        </w:rPr>
        <w:t>项目运行方案</w:t>
      </w:r>
      <w:bookmarkEnd w:id="114"/>
      <w:bookmarkEnd w:id="115"/>
    </w:p>
    <w:p>
      <w:pPr>
        <w:pStyle w:val="108"/>
      </w:pPr>
      <w:r>
        <w:t>运行目标</w:t>
      </w:r>
    </w:p>
    <w:p>
      <w:pPr>
        <w:pStyle w:val="108"/>
      </w:pPr>
      <w:r>
        <w:t>供需对接机制</w:t>
      </w:r>
    </w:p>
    <w:p>
      <w:pPr>
        <w:pStyle w:val="108"/>
      </w:pPr>
      <w:r>
        <w:rPr>
          <w:rFonts w:hint="eastAsia"/>
        </w:rPr>
        <w:t>联合创新</w:t>
      </w:r>
      <w:r>
        <w:t>机制</w:t>
      </w:r>
    </w:p>
    <w:p>
      <w:pPr>
        <w:pStyle w:val="108"/>
      </w:pPr>
      <w:r>
        <w:rPr>
          <w:rFonts w:hint="eastAsia"/>
        </w:rPr>
        <w:t>开放共享方案</w:t>
      </w:r>
    </w:p>
    <w:p>
      <w:pPr>
        <w:ind w:firstLine="560"/>
      </w:pPr>
      <w:r>
        <w:rPr>
          <w:rFonts w:hint="eastAsia"/>
        </w:rPr>
        <w:t>数据集开放共享放到这部分</w:t>
      </w:r>
    </w:p>
    <w:p>
      <w:pPr>
        <w:pStyle w:val="108"/>
      </w:pPr>
      <w:r>
        <w:t>安全保障方案</w:t>
      </w:r>
    </w:p>
    <w:p>
      <w:pPr>
        <w:ind w:firstLine="560"/>
      </w:pPr>
    </w:p>
    <w:p>
      <w:pPr>
        <w:pStyle w:val="2"/>
      </w:pPr>
      <w:bookmarkStart w:id="116" w:name="_Toc204251385"/>
      <w:bookmarkStart w:id="117" w:name="_Toc40378783"/>
      <w:r>
        <w:t>人员配置与培训</w:t>
      </w:r>
      <w:bookmarkEnd w:id="116"/>
      <w:bookmarkEnd w:id="117"/>
      <w:r>
        <w:rPr>
          <w:rFonts w:hint="eastAsia"/>
        </w:rPr>
        <w:t>（孙畅）</w:t>
      </w:r>
    </w:p>
    <w:p>
      <w:pPr>
        <w:pStyle w:val="142"/>
      </w:pPr>
      <w:bookmarkStart w:id="118" w:name="_Toc40378784"/>
      <w:bookmarkStart w:id="119" w:name="_Toc28190502"/>
      <w:bookmarkStart w:id="120" w:name="_Toc204251386"/>
      <w:r>
        <w:t>人员配置计划</w:t>
      </w:r>
      <w:bookmarkEnd w:id="118"/>
      <w:bookmarkEnd w:id="119"/>
      <w:bookmarkEnd w:id="120"/>
    </w:p>
    <w:p>
      <w:pPr>
        <w:ind w:firstLine="560"/>
      </w:pPr>
      <w:r>
        <w:t>为了确保项目达到预期目标，需要在技术研发、运行维护、推广应用及综合支撑方面配置相应人员，本项目人员组织规模如</w:t>
      </w:r>
      <w:r>
        <w:fldChar w:fldCharType="begin"/>
      </w:r>
      <w:r>
        <w:instrText xml:space="preserve"> REF _Ref44841302 \h  \* MERGEFORMAT </w:instrText>
      </w:r>
      <w:r>
        <w:fldChar w:fldCharType="separate"/>
      </w:r>
      <w:r>
        <w:t>表8</w:t>
      </w:r>
      <w:r>
        <w:noBreakHyphen/>
      </w:r>
      <w:r>
        <w:t>1</w:t>
      </w:r>
      <w:r>
        <w:fldChar w:fldCharType="end"/>
      </w:r>
      <w:r>
        <w:t>所示。</w:t>
      </w:r>
    </w:p>
    <w:p>
      <w:pPr>
        <w:pStyle w:val="24"/>
        <w:spacing w:before="120"/>
        <w:rPr>
          <w:rFonts w:eastAsia="宋体"/>
          <w:sz w:val="21"/>
          <w:szCs w:val="21"/>
        </w:rPr>
      </w:pPr>
      <w:bookmarkStart w:id="121" w:name="_Ref44841302"/>
      <w:bookmarkStart w:id="122" w:name="_Toc393874454"/>
      <w:r>
        <w:rPr>
          <w:rFonts w:eastAsia="宋体"/>
          <w:sz w:val="21"/>
          <w:szCs w:val="21"/>
        </w:rPr>
        <w:t>表</w:t>
      </w:r>
      <w:r>
        <w:rPr>
          <w:rFonts w:eastAsia="宋体"/>
          <w:sz w:val="21"/>
          <w:szCs w:val="21"/>
        </w:rPr>
        <w:fldChar w:fldCharType="begin"/>
      </w:r>
      <w:r>
        <w:rPr>
          <w:rFonts w:eastAsia="宋体"/>
          <w:sz w:val="21"/>
          <w:szCs w:val="21"/>
        </w:rPr>
        <w:instrText xml:space="preserve"> STYLEREF 1 \s </w:instrText>
      </w:r>
      <w:r>
        <w:rPr>
          <w:rFonts w:eastAsia="宋体"/>
          <w:sz w:val="21"/>
          <w:szCs w:val="21"/>
        </w:rPr>
        <w:fldChar w:fldCharType="separate"/>
      </w:r>
      <w:r>
        <w:rPr>
          <w:rFonts w:eastAsia="宋体"/>
          <w:sz w:val="21"/>
          <w:szCs w:val="21"/>
        </w:rPr>
        <w:t>8</w:t>
      </w:r>
      <w:r>
        <w:rPr>
          <w:rFonts w:eastAsia="宋体"/>
          <w:sz w:val="21"/>
          <w:szCs w:val="21"/>
        </w:rPr>
        <w:fldChar w:fldCharType="end"/>
      </w:r>
      <w:r>
        <w:rPr>
          <w:rFonts w:eastAsia="宋体"/>
          <w:sz w:val="21"/>
          <w:szCs w:val="21"/>
        </w:rPr>
        <w:noBreakHyphen/>
      </w:r>
      <w:r>
        <w:rPr>
          <w:rFonts w:eastAsia="宋体"/>
          <w:sz w:val="21"/>
          <w:szCs w:val="21"/>
        </w:rPr>
        <w:fldChar w:fldCharType="begin"/>
      </w:r>
      <w:r>
        <w:rPr>
          <w:rFonts w:eastAsia="宋体"/>
          <w:sz w:val="21"/>
          <w:szCs w:val="21"/>
        </w:rPr>
        <w:instrText xml:space="preserve"> SEQ 表 \* ARABIC \s 1 </w:instrText>
      </w:r>
      <w:r>
        <w:rPr>
          <w:rFonts w:eastAsia="宋体"/>
          <w:sz w:val="21"/>
          <w:szCs w:val="21"/>
        </w:rPr>
        <w:fldChar w:fldCharType="separate"/>
      </w:r>
      <w:r>
        <w:rPr>
          <w:rFonts w:eastAsia="宋体"/>
          <w:sz w:val="21"/>
          <w:szCs w:val="21"/>
        </w:rPr>
        <w:t>1</w:t>
      </w:r>
      <w:r>
        <w:rPr>
          <w:rFonts w:eastAsia="宋体"/>
          <w:sz w:val="21"/>
          <w:szCs w:val="21"/>
        </w:rPr>
        <w:fldChar w:fldCharType="end"/>
      </w:r>
      <w:bookmarkEnd w:id="121"/>
      <w:r>
        <w:rPr>
          <w:rFonts w:eastAsia="宋体"/>
          <w:sz w:val="21"/>
          <w:szCs w:val="21"/>
        </w:rPr>
        <w:t xml:space="preserve"> 本项目人员组织</w:t>
      </w:r>
      <w:bookmarkEnd w:id="122"/>
      <w:r>
        <w:rPr>
          <w:rFonts w:eastAsia="宋体"/>
          <w:sz w:val="21"/>
          <w:szCs w:val="21"/>
        </w:rPr>
        <w:t>规模</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47"/>
        <w:gridCol w:w="947"/>
        <w:gridCol w:w="947"/>
        <w:gridCol w:w="947"/>
        <w:gridCol w:w="947"/>
        <w:gridCol w:w="947"/>
        <w:gridCol w:w="947"/>
        <w:gridCol w:w="947"/>
        <w:gridCol w:w="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4" w:hRule="atLeast"/>
          <w:tblHeader/>
        </w:trPr>
        <w:tc>
          <w:tcPr>
            <w:tcW w:w="1129" w:type="dxa"/>
            <w:tcMar>
              <w:top w:w="15" w:type="dxa"/>
              <w:left w:w="108" w:type="dxa"/>
              <w:bottom w:w="0" w:type="dxa"/>
              <w:right w:w="108" w:type="dxa"/>
            </w:tcMar>
            <w:vAlign w:val="center"/>
          </w:tcPr>
          <w:p>
            <w:pPr>
              <w:spacing w:line="240" w:lineRule="auto"/>
              <w:ind w:firstLine="422"/>
              <w:jc w:val="center"/>
              <w:rPr>
                <w:b/>
                <w:sz w:val="21"/>
              </w:rPr>
            </w:pPr>
            <w:r>
              <w:rPr>
                <w:rFonts w:hint="eastAsia"/>
                <w:b/>
                <w:sz w:val="21"/>
              </w:rPr>
              <w:t>平台</w:t>
            </w:r>
          </w:p>
        </w:tc>
        <w:tc>
          <w:tcPr>
            <w:tcW w:w="706" w:type="dxa"/>
            <w:tcMar>
              <w:top w:w="15" w:type="dxa"/>
              <w:left w:w="108" w:type="dxa"/>
              <w:bottom w:w="0" w:type="dxa"/>
              <w:right w:w="108" w:type="dxa"/>
            </w:tcMar>
            <w:vAlign w:val="center"/>
          </w:tcPr>
          <w:p>
            <w:pPr>
              <w:spacing w:line="240" w:lineRule="auto"/>
              <w:ind w:firstLine="422"/>
              <w:jc w:val="center"/>
              <w:rPr>
                <w:b/>
                <w:sz w:val="21"/>
              </w:rPr>
            </w:pPr>
            <w:r>
              <w:rPr>
                <w:b/>
                <w:sz w:val="21"/>
              </w:rPr>
              <w:t>通用运维（人）</w:t>
            </w:r>
          </w:p>
        </w:tc>
        <w:tc>
          <w:tcPr>
            <w:tcW w:w="0" w:type="auto"/>
            <w:tcMar>
              <w:top w:w="15" w:type="dxa"/>
              <w:left w:w="108" w:type="dxa"/>
              <w:bottom w:w="0" w:type="dxa"/>
              <w:right w:w="108" w:type="dxa"/>
            </w:tcMar>
            <w:vAlign w:val="center"/>
          </w:tcPr>
          <w:p>
            <w:pPr>
              <w:spacing w:line="240" w:lineRule="auto"/>
              <w:ind w:firstLine="422"/>
              <w:jc w:val="center"/>
              <w:rPr>
                <w:b/>
                <w:sz w:val="21"/>
              </w:rPr>
            </w:pPr>
            <w:r>
              <w:rPr>
                <w:b/>
                <w:sz w:val="21"/>
              </w:rPr>
              <w:t>应用运维（人）</w:t>
            </w:r>
          </w:p>
        </w:tc>
        <w:tc>
          <w:tcPr>
            <w:tcW w:w="0" w:type="auto"/>
            <w:tcMar>
              <w:top w:w="15" w:type="dxa"/>
              <w:left w:w="108" w:type="dxa"/>
              <w:bottom w:w="0" w:type="dxa"/>
              <w:right w:w="108" w:type="dxa"/>
            </w:tcMar>
            <w:vAlign w:val="center"/>
          </w:tcPr>
          <w:p>
            <w:pPr>
              <w:spacing w:line="240" w:lineRule="auto"/>
              <w:ind w:firstLine="422"/>
              <w:jc w:val="center"/>
              <w:rPr>
                <w:b/>
                <w:sz w:val="21"/>
              </w:rPr>
            </w:pPr>
            <w:r>
              <w:rPr>
                <w:b/>
                <w:sz w:val="21"/>
              </w:rPr>
              <w:t>安全运维（人）</w:t>
            </w:r>
          </w:p>
        </w:tc>
        <w:tc>
          <w:tcPr>
            <w:tcW w:w="0" w:type="auto"/>
            <w:tcMar>
              <w:top w:w="15" w:type="dxa"/>
              <w:left w:w="108" w:type="dxa"/>
              <w:bottom w:w="0" w:type="dxa"/>
              <w:right w:w="108" w:type="dxa"/>
            </w:tcMar>
            <w:vAlign w:val="center"/>
          </w:tcPr>
          <w:p>
            <w:pPr>
              <w:spacing w:line="240" w:lineRule="auto"/>
              <w:ind w:firstLine="422"/>
              <w:jc w:val="center"/>
              <w:rPr>
                <w:b/>
                <w:sz w:val="21"/>
              </w:rPr>
            </w:pPr>
            <w:r>
              <w:rPr>
                <w:b/>
                <w:sz w:val="21"/>
              </w:rPr>
              <w:t>技术支持（人）</w:t>
            </w:r>
          </w:p>
        </w:tc>
        <w:tc>
          <w:tcPr>
            <w:tcW w:w="0" w:type="auto"/>
            <w:tcMar>
              <w:top w:w="15" w:type="dxa"/>
              <w:left w:w="108" w:type="dxa"/>
              <w:bottom w:w="0" w:type="dxa"/>
              <w:right w:w="108" w:type="dxa"/>
            </w:tcMar>
            <w:vAlign w:val="center"/>
          </w:tcPr>
          <w:p>
            <w:pPr>
              <w:spacing w:line="240" w:lineRule="auto"/>
              <w:ind w:firstLine="422"/>
              <w:jc w:val="center"/>
              <w:rPr>
                <w:b/>
                <w:sz w:val="21"/>
              </w:rPr>
            </w:pPr>
            <w:r>
              <w:rPr>
                <w:b/>
                <w:sz w:val="21"/>
              </w:rPr>
              <w:t>数据维护（人）</w:t>
            </w:r>
          </w:p>
        </w:tc>
        <w:tc>
          <w:tcPr>
            <w:tcW w:w="0" w:type="auto"/>
            <w:tcMar>
              <w:top w:w="15" w:type="dxa"/>
              <w:left w:w="108" w:type="dxa"/>
              <w:bottom w:w="0" w:type="dxa"/>
              <w:right w:w="108" w:type="dxa"/>
            </w:tcMar>
            <w:vAlign w:val="center"/>
          </w:tcPr>
          <w:p>
            <w:pPr>
              <w:spacing w:line="240" w:lineRule="auto"/>
              <w:ind w:firstLine="422"/>
              <w:jc w:val="center"/>
              <w:rPr>
                <w:b/>
                <w:sz w:val="21"/>
              </w:rPr>
            </w:pPr>
            <w:r>
              <w:rPr>
                <w:b/>
                <w:sz w:val="21"/>
              </w:rPr>
              <w:t>推广对接（人）</w:t>
            </w:r>
          </w:p>
        </w:tc>
        <w:tc>
          <w:tcPr>
            <w:tcW w:w="0" w:type="auto"/>
            <w:tcMar>
              <w:top w:w="15" w:type="dxa"/>
              <w:left w:w="108" w:type="dxa"/>
              <w:bottom w:w="0" w:type="dxa"/>
              <w:right w:w="108" w:type="dxa"/>
            </w:tcMar>
            <w:vAlign w:val="center"/>
          </w:tcPr>
          <w:p>
            <w:pPr>
              <w:spacing w:line="240" w:lineRule="auto"/>
              <w:ind w:firstLine="422"/>
              <w:jc w:val="center"/>
              <w:rPr>
                <w:b/>
                <w:sz w:val="21"/>
              </w:rPr>
            </w:pPr>
            <w:r>
              <w:rPr>
                <w:b/>
                <w:sz w:val="21"/>
              </w:rPr>
              <w:t>运行管理（人）</w:t>
            </w:r>
          </w:p>
        </w:tc>
        <w:tc>
          <w:tcPr>
            <w:tcW w:w="0" w:type="auto"/>
            <w:tcMar>
              <w:top w:w="15" w:type="dxa"/>
              <w:left w:w="108" w:type="dxa"/>
              <w:bottom w:w="0" w:type="dxa"/>
              <w:right w:w="108" w:type="dxa"/>
            </w:tcMar>
            <w:vAlign w:val="center"/>
          </w:tcPr>
          <w:p>
            <w:pPr>
              <w:spacing w:line="240" w:lineRule="auto"/>
              <w:ind w:firstLine="422"/>
              <w:jc w:val="center"/>
              <w:rPr>
                <w:b/>
                <w:sz w:val="21"/>
              </w:rPr>
            </w:pPr>
            <w:r>
              <w:rPr>
                <w:b/>
                <w:sz w:val="21"/>
              </w:rPr>
              <w:t>小计（人）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4" w:hRule="atLeast"/>
        </w:trPr>
        <w:tc>
          <w:tcPr>
            <w:tcW w:w="1129" w:type="dxa"/>
            <w:tcMar>
              <w:top w:w="15" w:type="dxa"/>
              <w:left w:w="108" w:type="dxa"/>
              <w:bottom w:w="0" w:type="dxa"/>
              <w:right w:w="108" w:type="dxa"/>
            </w:tcMar>
            <w:vAlign w:val="center"/>
          </w:tcPr>
          <w:p>
            <w:pPr>
              <w:spacing w:line="240" w:lineRule="auto"/>
              <w:ind w:firstLine="420"/>
              <w:jc w:val="center"/>
              <w:rPr>
                <w:sz w:val="21"/>
              </w:rPr>
            </w:pPr>
          </w:p>
        </w:tc>
        <w:tc>
          <w:tcPr>
            <w:tcW w:w="706" w:type="dxa"/>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4" w:hRule="atLeast"/>
        </w:trPr>
        <w:tc>
          <w:tcPr>
            <w:tcW w:w="1129" w:type="dxa"/>
            <w:tcMar>
              <w:top w:w="15" w:type="dxa"/>
              <w:left w:w="108" w:type="dxa"/>
              <w:bottom w:w="0" w:type="dxa"/>
              <w:right w:w="108" w:type="dxa"/>
            </w:tcMar>
            <w:vAlign w:val="center"/>
          </w:tcPr>
          <w:p>
            <w:pPr>
              <w:spacing w:line="240" w:lineRule="auto"/>
              <w:ind w:firstLine="420"/>
              <w:jc w:val="center"/>
              <w:rPr>
                <w:sz w:val="21"/>
              </w:rPr>
            </w:pPr>
          </w:p>
        </w:tc>
        <w:tc>
          <w:tcPr>
            <w:tcW w:w="706" w:type="dxa"/>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4" w:hRule="atLeast"/>
        </w:trPr>
        <w:tc>
          <w:tcPr>
            <w:tcW w:w="1129" w:type="dxa"/>
            <w:tcMar>
              <w:top w:w="15" w:type="dxa"/>
              <w:left w:w="108" w:type="dxa"/>
              <w:bottom w:w="0" w:type="dxa"/>
              <w:right w:w="108" w:type="dxa"/>
            </w:tcMar>
            <w:vAlign w:val="center"/>
          </w:tcPr>
          <w:p>
            <w:pPr>
              <w:spacing w:line="240" w:lineRule="auto"/>
              <w:ind w:firstLine="420"/>
              <w:jc w:val="center"/>
              <w:rPr>
                <w:sz w:val="21"/>
              </w:rPr>
            </w:pPr>
          </w:p>
        </w:tc>
        <w:tc>
          <w:tcPr>
            <w:tcW w:w="706" w:type="dxa"/>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4" w:hRule="atLeast"/>
        </w:trPr>
        <w:tc>
          <w:tcPr>
            <w:tcW w:w="1129" w:type="dxa"/>
            <w:tcMar>
              <w:top w:w="15" w:type="dxa"/>
              <w:left w:w="108" w:type="dxa"/>
              <w:bottom w:w="0" w:type="dxa"/>
              <w:right w:w="108" w:type="dxa"/>
            </w:tcMar>
            <w:vAlign w:val="center"/>
          </w:tcPr>
          <w:p>
            <w:pPr>
              <w:spacing w:line="240" w:lineRule="auto"/>
              <w:ind w:firstLine="420"/>
              <w:jc w:val="center"/>
              <w:rPr>
                <w:sz w:val="21"/>
              </w:rPr>
            </w:pPr>
          </w:p>
        </w:tc>
        <w:tc>
          <w:tcPr>
            <w:tcW w:w="706" w:type="dxa"/>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4" w:hRule="atLeast"/>
        </w:trPr>
        <w:tc>
          <w:tcPr>
            <w:tcW w:w="1129" w:type="dxa"/>
            <w:tcMar>
              <w:top w:w="15" w:type="dxa"/>
              <w:left w:w="108" w:type="dxa"/>
              <w:bottom w:w="0" w:type="dxa"/>
              <w:right w:w="108" w:type="dxa"/>
            </w:tcMar>
            <w:vAlign w:val="center"/>
          </w:tcPr>
          <w:p>
            <w:pPr>
              <w:spacing w:line="240" w:lineRule="auto"/>
              <w:ind w:firstLine="420"/>
              <w:jc w:val="center"/>
              <w:rPr>
                <w:sz w:val="21"/>
              </w:rPr>
            </w:pPr>
          </w:p>
        </w:tc>
        <w:tc>
          <w:tcPr>
            <w:tcW w:w="706" w:type="dxa"/>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4" w:hRule="atLeast"/>
        </w:trPr>
        <w:tc>
          <w:tcPr>
            <w:tcW w:w="1129" w:type="dxa"/>
            <w:tcMar>
              <w:top w:w="15" w:type="dxa"/>
              <w:left w:w="108" w:type="dxa"/>
              <w:bottom w:w="0" w:type="dxa"/>
              <w:right w:w="108" w:type="dxa"/>
            </w:tcMar>
            <w:vAlign w:val="center"/>
          </w:tcPr>
          <w:p>
            <w:pPr>
              <w:spacing w:line="240" w:lineRule="auto"/>
              <w:ind w:firstLine="420"/>
              <w:jc w:val="center"/>
              <w:rPr>
                <w:sz w:val="21"/>
              </w:rPr>
            </w:pPr>
          </w:p>
        </w:tc>
        <w:tc>
          <w:tcPr>
            <w:tcW w:w="706" w:type="dxa"/>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4" w:hRule="atLeast"/>
        </w:trPr>
        <w:tc>
          <w:tcPr>
            <w:tcW w:w="1129" w:type="dxa"/>
            <w:tcMar>
              <w:top w:w="15" w:type="dxa"/>
              <w:left w:w="108" w:type="dxa"/>
              <w:bottom w:w="0" w:type="dxa"/>
              <w:right w:w="108" w:type="dxa"/>
            </w:tcMar>
            <w:vAlign w:val="center"/>
          </w:tcPr>
          <w:p>
            <w:pPr>
              <w:spacing w:line="240" w:lineRule="auto"/>
              <w:ind w:firstLine="420"/>
              <w:jc w:val="center"/>
              <w:rPr>
                <w:sz w:val="21"/>
              </w:rPr>
            </w:pPr>
            <w:r>
              <w:rPr>
                <w:bCs/>
                <w:sz w:val="21"/>
              </w:rPr>
              <w:t>总计</w:t>
            </w:r>
          </w:p>
        </w:tc>
        <w:tc>
          <w:tcPr>
            <w:tcW w:w="706" w:type="dxa"/>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c>
          <w:tcPr>
            <w:tcW w:w="0" w:type="auto"/>
            <w:tcMar>
              <w:top w:w="15" w:type="dxa"/>
              <w:left w:w="108" w:type="dxa"/>
              <w:bottom w:w="0" w:type="dxa"/>
              <w:right w:w="108" w:type="dxa"/>
            </w:tcMar>
            <w:vAlign w:val="center"/>
          </w:tcPr>
          <w:p>
            <w:pPr>
              <w:spacing w:line="240" w:lineRule="auto"/>
              <w:ind w:firstLine="420"/>
              <w:jc w:val="center"/>
              <w:rPr>
                <w:sz w:val="21"/>
              </w:rPr>
            </w:pPr>
          </w:p>
        </w:tc>
      </w:tr>
    </w:tbl>
    <w:p>
      <w:pPr>
        <w:ind w:firstLine="560"/>
      </w:pPr>
      <w:bookmarkStart w:id="123" w:name="_Toc40378785"/>
      <w:bookmarkStart w:id="124" w:name="_Toc28190503"/>
      <w:r>
        <w:t>通用运维人员均为</w:t>
      </w:r>
      <w:r>
        <w:rPr>
          <w:rFonts w:hint="eastAsia"/>
        </w:rPr>
        <w:t>XX</w:t>
      </w:r>
      <w:r>
        <w:t>人，专业涵盖网络、服务器、存储、云平台等方向</w:t>
      </w:r>
      <w:r>
        <w:rPr>
          <w:rFonts w:hint="eastAsia"/>
        </w:rPr>
        <w:t>……</w:t>
      </w:r>
      <w:r>
        <w:t>。</w:t>
      </w:r>
    </w:p>
    <w:p>
      <w:pPr>
        <w:ind w:firstLine="560"/>
      </w:pPr>
      <w:r>
        <w:rPr>
          <w:rFonts w:hint="eastAsia"/>
        </w:rPr>
        <w:t>……</w:t>
      </w:r>
    </w:p>
    <w:p>
      <w:pPr>
        <w:pStyle w:val="142"/>
      </w:pPr>
      <w:bookmarkStart w:id="125" w:name="_Toc204251387"/>
      <w:r>
        <w:t>人员培训方案</w:t>
      </w:r>
      <w:bookmarkEnd w:id="123"/>
      <w:bookmarkEnd w:id="124"/>
      <w:bookmarkEnd w:id="125"/>
    </w:p>
    <w:p>
      <w:pPr>
        <w:ind w:firstLine="560"/>
      </w:pPr>
      <w:r>
        <w:t>为确保本项目建设任务顺利实施以及建成后达到预期的目标，在项目建设和试运行阶段考虑对参与项目建设和系统运行维护的各类管理人员、专业技术人员和操作系统使用人员进行系统培训。开展培训工作时需要注意以下三点：</w:t>
      </w:r>
    </w:p>
    <w:p>
      <w:pPr>
        <w:ind w:firstLine="560"/>
      </w:pPr>
      <w:r>
        <w:t>（1）根据各类人员的素质和工作需要，制定出目标明确、切实可行的培训计划；</w:t>
      </w:r>
    </w:p>
    <w:p>
      <w:pPr>
        <w:ind w:firstLine="560"/>
      </w:pPr>
      <w:r>
        <w:t>（2）编制统一的培训方案和教材，设定必要的考核办法；</w:t>
      </w:r>
    </w:p>
    <w:p>
      <w:pPr>
        <w:ind w:firstLine="560"/>
      </w:pPr>
      <w:r>
        <w:t>（3）结合项目建设进度，分类，分批进行培训工作。</w:t>
      </w:r>
    </w:p>
    <w:p>
      <w:pPr>
        <w:ind w:firstLine="560"/>
      </w:pPr>
      <w:r>
        <w:t>针对本项目建设任务和特点，制定培训计划。人员培训计划如</w:t>
      </w:r>
      <w:r>
        <w:fldChar w:fldCharType="begin"/>
      </w:r>
      <w:r>
        <w:instrText xml:space="preserve"> REF _Ref44841367 \h  \* MERGEFORMAT </w:instrText>
      </w:r>
      <w:r>
        <w:fldChar w:fldCharType="separate"/>
      </w:r>
      <w:r>
        <w:t>表8</w:t>
      </w:r>
      <w:r>
        <w:noBreakHyphen/>
      </w:r>
      <w:r>
        <w:t>2</w:t>
      </w:r>
      <w:r>
        <w:fldChar w:fldCharType="end"/>
      </w:r>
      <w:r>
        <w:t>所示：</w:t>
      </w:r>
    </w:p>
    <w:p>
      <w:pPr>
        <w:pStyle w:val="24"/>
        <w:spacing w:before="120"/>
        <w:rPr>
          <w:rFonts w:eastAsia="宋体"/>
          <w:sz w:val="21"/>
          <w:szCs w:val="21"/>
        </w:rPr>
      </w:pPr>
      <w:bookmarkStart w:id="126" w:name="_Ref44841367"/>
      <w:r>
        <w:rPr>
          <w:rFonts w:eastAsia="宋体"/>
          <w:sz w:val="21"/>
          <w:szCs w:val="21"/>
        </w:rPr>
        <w:t>表</w:t>
      </w:r>
      <w:r>
        <w:rPr>
          <w:rFonts w:eastAsia="宋体"/>
          <w:sz w:val="21"/>
          <w:szCs w:val="21"/>
        </w:rPr>
        <w:fldChar w:fldCharType="begin"/>
      </w:r>
      <w:r>
        <w:rPr>
          <w:rFonts w:eastAsia="宋体"/>
          <w:sz w:val="21"/>
          <w:szCs w:val="21"/>
        </w:rPr>
        <w:instrText xml:space="preserve"> STYLEREF 1 \s </w:instrText>
      </w:r>
      <w:r>
        <w:rPr>
          <w:rFonts w:eastAsia="宋体"/>
          <w:sz w:val="21"/>
          <w:szCs w:val="21"/>
        </w:rPr>
        <w:fldChar w:fldCharType="separate"/>
      </w:r>
      <w:r>
        <w:rPr>
          <w:rFonts w:eastAsia="宋体"/>
          <w:sz w:val="21"/>
          <w:szCs w:val="21"/>
        </w:rPr>
        <w:t>8</w:t>
      </w:r>
      <w:r>
        <w:rPr>
          <w:rFonts w:eastAsia="宋体"/>
          <w:sz w:val="21"/>
          <w:szCs w:val="21"/>
        </w:rPr>
        <w:fldChar w:fldCharType="end"/>
      </w:r>
      <w:r>
        <w:rPr>
          <w:rFonts w:eastAsia="宋体"/>
          <w:sz w:val="21"/>
          <w:szCs w:val="21"/>
        </w:rPr>
        <w:noBreakHyphen/>
      </w:r>
      <w:r>
        <w:rPr>
          <w:rFonts w:eastAsia="宋体"/>
          <w:sz w:val="21"/>
          <w:szCs w:val="21"/>
        </w:rPr>
        <w:fldChar w:fldCharType="begin"/>
      </w:r>
      <w:r>
        <w:rPr>
          <w:rFonts w:eastAsia="宋体"/>
          <w:sz w:val="21"/>
          <w:szCs w:val="21"/>
        </w:rPr>
        <w:instrText xml:space="preserve"> SEQ 表 \* ARABIC \s 1 </w:instrText>
      </w:r>
      <w:r>
        <w:rPr>
          <w:rFonts w:eastAsia="宋体"/>
          <w:sz w:val="21"/>
          <w:szCs w:val="21"/>
        </w:rPr>
        <w:fldChar w:fldCharType="separate"/>
      </w:r>
      <w:r>
        <w:rPr>
          <w:rFonts w:eastAsia="宋体"/>
          <w:sz w:val="21"/>
          <w:szCs w:val="21"/>
        </w:rPr>
        <w:t>2</w:t>
      </w:r>
      <w:r>
        <w:rPr>
          <w:rFonts w:eastAsia="宋体"/>
          <w:sz w:val="21"/>
          <w:szCs w:val="21"/>
        </w:rPr>
        <w:fldChar w:fldCharType="end"/>
      </w:r>
      <w:bookmarkEnd w:id="126"/>
      <w:r>
        <w:rPr>
          <w:rFonts w:eastAsia="宋体"/>
          <w:sz w:val="21"/>
          <w:szCs w:val="21"/>
        </w:rPr>
        <w:t xml:space="preserve"> </w:t>
      </w:r>
      <w:bookmarkStart w:id="127" w:name="_Hlk72216836"/>
      <w:r>
        <w:rPr>
          <w:rFonts w:eastAsia="宋体"/>
          <w:sz w:val="21"/>
          <w:szCs w:val="21"/>
        </w:rPr>
        <w:t>人员培训计划</w:t>
      </w:r>
      <w:bookmarkEnd w:id="127"/>
      <w:r>
        <w:rPr>
          <w:rFonts w:eastAsia="宋体"/>
          <w:sz w:val="21"/>
          <w:szCs w:val="21"/>
        </w:rPr>
        <w:t>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
        <w:gridCol w:w="1830"/>
        <w:gridCol w:w="1969"/>
        <w:gridCol w:w="1411"/>
        <w:gridCol w:w="23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vAlign w:val="center"/>
          </w:tcPr>
          <w:p>
            <w:pPr>
              <w:spacing w:line="240" w:lineRule="auto"/>
              <w:ind w:firstLine="422"/>
              <w:jc w:val="center"/>
              <w:rPr>
                <w:b/>
                <w:bCs/>
                <w:kern w:val="0"/>
                <w:sz w:val="21"/>
              </w:rPr>
            </w:pPr>
            <w:r>
              <w:rPr>
                <w:b/>
                <w:bCs/>
                <w:kern w:val="0"/>
                <w:sz w:val="21"/>
              </w:rPr>
              <w:t>培训主题</w:t>
            </w:r>
          </w:p>
        </w:tc>
        <w:tc>
          <w:tcPr>
            <w:tcW w:w="1843" w:type="dxa"/>
            <w:vAlign w:val="center"/>
          </w:tcPr>
          <w:p>
            <w:pPr>
              <w:spacing w:line="240" w:lineRule="auto"/>
              <w:ind w:firstLine="422"/>
              <w:jc w:val="center"/>
              <w:rPr>
                <w:b/>
                <w:bCs/>
                <w:kern w:val="0"/>
                <w:sz w:val="21"/>
              </w:rPr>
            </w:pPr>
            <w:r>
              <w:rPr>
                <w:b/>
                <w:bCs/>
                <w:kern w:val="0"/>
                <w:sz w:val="21"/>
              </w:rPr>
              <w:t>培训对象</w:t>
            </w:r>
          </w:p>
        </w:tc>
        <w:tc>
          <w:tcPr>
            <w:tcW w:w="1984" w:type="dxa"/>
            <w:vAlign w:val="center"/>
          </w:tcPr>
          <w:p>
            <w:pPr>
              <w:spacing w:line="240" w:lineRule="auto"/>
              <w:ind w:firstLine="422"/>
              <w:jc w:val="center"/>
              <w:rPr>
                <w:b/>
                <w:bCs/>
                <w:kern w:val="0"/>
                <w:sz w:val="21"/>
              </w:rPr>
            </w:pPr>
            <w:r>
              <w:rPr>
                <w:b/>
                <w:bCs/>
                <w:kern w:val="0"/>
                <w:sz w:val="21"/>
              </w:rPr>
              <w:t>培训内容</w:t>
            </w:r>
          </w:p>
        </w:tc>
        <w:tc>
          <w:tcPr>
            <w:tcW w:w="1418" w:type="dxa"/>
            <w:vAlign w:val="center"/>
          </w:tcPr>
          <w:p>
            <w:pPr>
              <w:spacing w:line="240" w:lineRule="auto"/>
              <w:ind w:firstLine="422"/>
              <w:jc w:val="center"/>
              <w:rPr>
                <w:b/>
                <w:bCs/>
                <w:kern w:val="0"/>
                <w:sz w:val="21"/>
              </w:rPr>
            </w:pPr>
            <w:r>
              <w:rPr>
                <w:b/>
                <w:bCs/>
                <w:kern w:val="0"/>
                <w:sz w:val="21"/>
              </w:rPr>
              <w:t>时间安排</w:t>
            </w:r>
          </w:p>
        </w:tc>
        <w:tc>
          <w:tcPr>
            <w:tcW w:w="2348" w:type="dxa"/>
            <w:vAlign w:val="center"/>
          </w:tcPr>
          <w:p>
            <w:pPr>
              <w:spacing w:line="240" w:lineRule="auto"/>
              <w:ind w:firstLine="422"/>
              <w:jc w:val="center"/>
              <w:rPr>
                <w:b/>
                <w:bCs/>
                <w:kern w:val="0"/>
                <w:sz w:val="21"/>
              </w:rPr>
            </w:pPr>
            <w:r>
              <w:rPr>
                <w:b/>
                <w:bCs/>
                <w:kern w:val="0"/>
                <w:sz w:val="21"/>
              </w:rPr>
              <w:t>培训方式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pPr>
              <w:spacing w:line="240" w:lineRule="auto"/>
              <w:ind w:firstLine="420"/>
              <w:jc w:val="center"/>
              <w:rPr>
                <w:kern w:val="0"/>
                <w:sz w:val="21"/>
              </w:rPr>
            </w:pPr>
          </w:p>
        </w:tc>
        <w:tc>
          <w:tcPr>
            <w:tcW w:w="1843" w:type="dxa"/>
            <w:vAlign w:val="center"/>
          </w:tcPr>
          <w:p>
            <w:pPr>
              <w:spacing w:line="240" w:lineRule="auto"/>
              <w:ind w:firstLine="422"/>
              <w:jc w:val="center"/>
              <w:rPr>
                <w:b/>
                <w:kern w:val="0"/>
                <w:sz w:val="21"/>
              </w:rPr>
            </w:pPr>
          </w:p>
        </w:tc>
        <w:tc>
          <w:tcPr>
            <w:tcW w:w="1984" w:type="dxa"/>
          </w:tcPr>
          <w:p>
            <w:pPr>
              <w:spacing w:line="240" w:lineRule="auto"/>
              <w:ind w:firstLine="420"/>
              <w:rPr>
                <w:kern w:val="0"/>
                <w:sz w:val="21"/>
              </w:rPr>
            </w:pPr>
          </w:p>
        </w:tc>
        <w:tc>
          <w:tcPr>
            <w:tcW w:w="1418" w:type="dxa"/>
          </w:tcPr>
          <w:p>
            <w:pPr>
              <w:spacing w:line="240" w:lineRule="auto"/>
              <w:ind w:firstLine="420"/>
              <w:rPr>
                <w:kern w:val="0"/>
                <w:sz w:val="21"/>
              </w:rPr>
            </w:pPr>
          </w:p>
        </w:tc>
        <w:tc>
          <w:tcPr>
            <w:tcW w:w="2348" w:type="dxa"/>
          </w:tcPr>
          <w:p>
            <w:pPr>
              <w:spacing w:line="240" w:lineRule="auto"/>
              <w:ind w:firstLine="420"/>
              <w:rPr>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pPr>
              <w:spacing w:line="240" w:lineRule="auto"/>
              <w:ind w:firstLine="420"/>
              <w:jc w:val="center"/>
              <w:rPr>
                <w:kern w:val="0"/>
                <w:sz w:val="21"/>
              </w:rPr>
            </w:pPr>
          </w:p>
        </w:tc>
        <w:tc>
          <w:tcPr>
            <w:tcW w:w="1843" w:type="dxa"/>
            <w:vAlign w:val="center"/>
          </w:tcPr>
          <w:p>
            <w:pPr>
              <w:spacing w:line="240" w:lineRule="auto"/>
              <w:ind w:firstLine="420"/>
              <w:jc w:val="center"/>
              <w:rPr>
                <w:kern w:val="0"/>
                <w:sz w:val="21"/>
              </w:rPr>
            </w:pPr>
          </w:p>
        </w:tc>
        <w:tc>
          <w:tcPr>
            <w:tcW w:w="1984" w:type="dxa"/>
          </w:tcPr>
          <w:p>
            <w:pPr>
              <w:spacing w:line="240" w:lineRule="auto"/>
              <w:ind w:firstLine="420"/>
              <w:rPr>
                <w:kern w:val="0"/>
                <w:sz w:val="21"/>
              </w:rPr>
            </w:pPr>
          </w:p>
        </w:tc>
        <w:tc>
          <w:tcPr>
            <w:tcW w:w="1418" w:type="dxa"/>
          </w:tcPr>
          <w:p>
            <w:pPr>
              <w:spacing w:line="240" w:lineRule="auto"/>
              <w:ind w:firstLine="420"/>
              <w:rPr>
                <w:kern w:val="0"/>
                <w:sz w:val="21"/>
              </w:rPr>
            </w:pPr>
          </w:p>
        </w:tc>
        <w:tc>
          <w:tcPr>
            <w:tcW w:w="2348" w:type="dxa"/>
          </w:tcPr>
          <w:p>
            <w:pPr>
              <w:spacing w:line="240" w:lineRule="auto"/>
              <w:ind w:firstLine="420"/>
              <w:rPr>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4" w:type="dxa"/>
            <w:vAlign w:val="center"/>
          </w:tcPr>
          <w:p>
            <w:pPr>
              <w:spacing w:line="240" w:lineRule="auto"/>
              <w:ind w:firstLine="420"/>
              <w:jc w:val="center"/>
              <w:rPr>
                <w:kern w:val="0"/>
                <w:sz w:val="21"/>
              </w:rPr>
            </w:pPr>
          </w:p>
        </w:tc>
        <w:tc>
          <w:tcPr>
            <w:tcW w:w="1843" w:type="dxa"/>
            <w:vAlign w:val="center"/>
          </w:tcPr>
          <w:p>
            <w:pPr>
              <w:spacing w:line="240" w:lineRule="auto"/>
              <w:ind w:firstLine="422"/>
              <w:jc w:val="center"/>
              <w:rPr>
                <w:b/>
                <w:kern w:val="0"/>
                <w:sz w:val="21"/>
              </w:rPr>
            </w:pPr>
          </w:p>
        </w:tc>
        <w:tc>
          <w:tcPr>
            <w:tcW w:w="1984" w:type="dxa"/>
          </w:tcPr>
          <w:p>
            <w:pPr>
              <w:spacing w:line="240" w:lineRule="auto"/>
              <w:ind w:firstLine="420"/>
              <w:rPr>
                <w:kern w:val="0"/>
                <w:sz w:val="21"/>
              </w:rPr>
            </w:pPr>
          </w:p>
        </w:tc>
        <w:tc>
          <w:tcPr>
            <w:tcW w:w="1418" w:type="dxa"/>
          </w:tcPr>
          <w:p>
            <w:pPr>
              <w:spacing w:line="240" w:lineRule="auto"/>
              <w:ind w:firstLine="420"/>
              <w:rPr>
                <w:kern w:val="0"/>
                <w:sz w:val="21"/>
              </w:rPr>
            </w:pPr>
          </w:p>
        </w:tc>
        <w:tc>
          <w:tcPr>
            <w:tcW w:w="2348" w:type="dxa"/>
          </w:tcPr>
          <w:p>
            <w:pPr>
              <w:spacing w:line="240" w:lineRule="auto"/>
              <w:ind w:firstLine="420"/>
              <w:rPr>
                <w:kern w:val="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pPr>
              <w:spacing w:line="240" w:lineRule="auto"/>
              <w:ind w:firstLine="420"/>
              <w:jc w:val="center"/>
              <w:rPr>
                <w:kern w:val="0"/>
                <w:sz w:val="21"/>
              </w:rPr>
            </w:pPr>
          </w:p>
        </w:tc>
        <w:tc>
          <w:tcPr>
            <w:tcW w:w="1843" w:type="dxa"/>
            <w:vAlign w:val="center"/>
          </w:tcPr>
          <w:p>
            <w:pPr>
              <w:spacing w:line="240" w:lineRule="auto"/>
              <w:ind w:firstLine="420"/>
              <w:jc w:val="center"/>
              <w:rPr>
                <w:kern w:val="0"/>
                <w:sz w:val="21"/>
              </w:rPr>
            </w:pPr>
          </w:p>
        </w:tc>
        <w:tc>
          <w:tcPr>
            <w:tcW w:w="1984" w:type="dxa"/>
          </w:tcPr>
          <w:p>
            <w:pPr>
              <w:spacing w:line="240" w:lineRule="auto"/>
              <w:ind w:firstLine="420"/>
              <w:rPr>
                <w:kern w:val="0"/>
                <w:sz w:val="21"/>
              </w:rPr>
            </w:pPr>
          </w:p>
        </w:tc>
        <w:tc>
          <w:tcPr>
            <w:tcW w:w="1418" w:type="dxa"/>
          </w:tcPr>
          <w:p>
            <w:pPr>
              <w:spacing w:line="240" w:lineRule="auto"/>
              <w:ind w:firstLine="420"/>
              <w:rPr>
                <w:kern w:val="0"/>
                <w:sz w:val="21"/>
              </w:rPr>
            </w:pPr>
          </w:p>
        </w:tc>
        <w:tc>
          <w:tcPr>
            <w:tcW w:w="2348" w:type="dxa"/>
          </w:tcPr>
          <w:p>
            <w:pPr>
              <w:spacing w:line="240" w:lineRule="auto"/>
              <w:ind w:firstLine="420"/>
              <w:rPr>
                <w:kern w:val="0"/>
                <w:sz w:val="21"/>
              </w:rPr>
            </w:pPr>
          </w:p>
        </w:tc>
      </w:tr>
    </w:tbl>
    <w:p>
      <w:pPr>
        <w:widowControl/>
        <w:spacing w:line="240" w:lineRule="auto"/>
        <w:ind w:firstLine="420"/>
        <w:jc w:val="left"/>
        <w:rPr>
          <w:sz w:val="21"/>
        </w:rPr>
      </w:pPr>
      <w:r>
        <w:rPr>
          <w:sz w:val="21"/>
        </w:rPr>
        <w:br w:type="page"/>
      </w:r>
    </w:p>
    <w:p>
      <w:pPr>
        <w:pStyle w:val="2"/>
      </w:pPr>
      <w:bookmarkStart w:id="128" w:name="_Toc204251388"/>
      <w:r>
        <w:t>项目实施进度</w:t>
      </w:r>
      <w:bookmarkEnd w:id="128"/>
      <w:r>
        <w:rPr>
          <w:rFonts w:hint="eastAsia"/>
        </w:rPr>
        <w:t>（赵炫）</w:t>
      </w:r>
    </w:p>
    <w:p>
      <w:pPr>
        <w:pStyle w:val="142"/>
      </w:pPr>
      <w:bookmarkStart w:id="129" w:name="_Toc6250849"/>
      <w:bookmarkStart w:id="130" w:name="_Toc204251389"/>
      <w:bookmarkStart w:id="131" w:name="_Toc7407"/>
      <w:r>
        <w:t>项目建设</w:t>
      </w:r>
      <w:r>
        <w:rPr>
          <w:rFonts w:hint="eastAsia"/>
        </w:rPr>
        <w:t>周</w:t>
      </w:r>
      <w:r>
        <w:t>期</w:t>
      </w:r>
      <w:bookmarkEnd w:id="129"/>
      <w:bookmarkEnd w:id="130"/>
      <w:bookmarkEnd w:id="131"/>
    </w:p>
    <w:p>
      <w:pPr>
        <w:ind w:firstLine="560"/>
      </w:pPr>
    </w:p>
    <w:p>
      <w:pPr>
        <w:pStyle w:val="142"/>
      </w:pPr>
      <w:bookmarkStart w:id="132" w:name="_Toc204251390"/>
      <w:r>
        <w:t>实施进度计划</w:t>
      </w:r>
      <w:bookmarkEnd w:id="132"/>
    </w:p>
    <w:p>
      <w:pPr>
        <w:ind w:firstLine="560"/>
        <w:jc w:val="center"/>
        <w:sectPr>
          <w:pgSz w:w="11907" w:h="16839"/>
          <w:pgMar w:top="1440" w:right="1800" w:bottom="1440" w:left="1800" w:header="851" w:footer="992" w:gutter="0"/>
          <w:cols w:space="720" w:num="1"/>
          <w:docGrid w:linePitch="326" w:charSpace="0"/>
        </w:sectPr>
      </w:pPr>
      <w:r>
        <mc:AlternateContent>
          <mc:Choice Requires="wps">
            <w:drawing>
              <wp:anchor distT="0" distB="0" distL="114300" distR="114300" simplePos="0" relativeHeight="251659264" behindDoc="0" locked="0" layoutInCell="1" allowOverlap="1">
                <wp:simplePos x="0" y="0"/>
                <wp:positionH relativeFrom="column">
                  <wp:posOffset>9067800</wp:posOffset>
                </wp:positionH>
                <wp:positionV relativeFrom="paragraph">
                  <wp:posOffset>403225</wp:posOffset>
                </wp:positionV>
                <wp:extent cx="391795" cy="2264410"/>
                <wp:effectExtent l="0" t="0" r="8255" b="3175"/>
                <wp:wrapNone/>
                <wp:docPr id="24" name="文本框 24"/>
                <wp:cNvGraphicFramePr/>
                <a:graphic xmlns:a="http://schemas.openxmlformats.org/drawingml/2006/main">
                  <a:graphicData uri="http://schemas.microsoft.com/office/word/2010/wordprocessingShape">
                    <wps:wsp>
                      <wps:cNvSpPr txBox="1"/>
                      <wps:spPr>
                        <a:xfrm>
                          <a:off x="0" y="0"/>
                          <a:ext cx="391886" cy="2264228"/>
                        </a:xfrm>
                        <a:prstGeom prst="rect">
                          <a:avLst/>
                        </a:prstGeom>
                        <a:solidFill>
                          <a:schemeClr val="lt1"/>
                        </a:solidFill>
                        <a:ln w="6350">
                          <a:noFill/>
                        </a:ln>
                      </wps:spPr>
                      <wps:txbx>
                        <w:txbxContent>
                          <w:p>
                            <w:pPr>
                              <w:ind w:firstLine="560"/>
                            </w:pP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文本框 24" o:spid="_x0000_s1026" o:spt="202" type="#_x0000_t202" style="position:absolute;left:0pt;margin-left:714pt;margin-top:31.75pt;height:178.3pt;width:30.85pt;z-index:251659264;mso-width-relative:page;mso-height-relative:page;" fillcolor="#FFFFFF [3201]" filled="t" stroked="f" coordsize="21600,21600" o:gfxdata="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">
                <v:fill on="t" focussize="0,0"/>
                <v:stroke on="f" weight="0.5pt"/>
                <v:imagedata o:title=""/>
                <o:lock v:ext="edit" aspectratio="f"/>
                <v:textbox style="layout-flow:vertical-ideographic;">
                  <w:txbxContent>
                    <w:p>
                      <w:pPr>
                        <w:ind w:firstLine="560"/>
                      </w:pPr>
                    </w:p>
                  </w:txbxContent>
                </v:textbox>
              </v:shape>
            </w:pict>
          </mc:Fallback>
        </mc:AlternateContent>
      </w:r>
    </w:p>
    <w:p>
      <w:pPr>
        <w:pStyle w:val="2"/>
      </w:pPr>
      <w:bookmarkStart w:id="133" w:name="_Toc204251391"/>
      <w:r>
        <w:t>初步设计概算</w:t>
      </w:r>
      <w:bookmarkEnd w:id="133"/>
      <w:r>
        <w:rPr>
          <w:rFonts w:hint="eastAsia"/>
        </w:rPr>
        <w:t>（覃波）</w:t>
      </w:r>
    </w:p>
    <w:p>
      <w:pPr>
        <w:pStyle w:val="142"/>
      </w:pPr>
      <w:bookmarkStart w:id="134" w:name="_Toc204251392"/>
      <w:r>
        <w:t>初步设计方案和投资概算编制说明</w:t>
      </w:r>
      <w:bookmarkEnd w:id="134"/>
    </w:p>
    <w:p>
      <w:pPr>
        <w:pStyle w:val="108"/>
      </w:pPr>
      <w:bookmarkStart w:id="135" w:name="_Toc204251393"/>
      <w:r>
        <w:t>概算编制依据</w:t>
      </w:r>
      <w:bookmarkEnd w:id="135"/>
    </w:p>
    <w:p>
      <w:pPr>
        <w:ind w:firstLine="560"/>
      </w:pPr>
    </w:p>
    <w:p>
      <w:pPr>
        <w:pStyle w:val="108"/>
      </w:pPr>
      <w:bookmarkStart w:id="136" w:name="_Toc204251394"/>
      <w:r>
        <w:t>概算编制说明</w:t>
      </w:r>
      <w:bookmarkEnd w:id="136"/>
    </w:p>
    <w:p>
      <w:pPr>
        <w:ind w:firstLine="560"/>
      </w:pPr>
    </w:p>
    <w:p>
      <w:pPr>
        <w:ind w:firstLine="560"/>
        <w:jc w:val="center"/>
      </w:pPr>
    </w:p>
    <w:p>
      <w:pPr>
        <w:pStyle w:val="142"/>
      </w:pPr>
      <w:bookmarkStart w:id="137" w:name="_Toc204251395"/>
      <w:r>
        <w:t>初步设计投资概算</w:t>
      </w:r>
      <w:bookmarkEnd w:id="137"/>
    </w:p>
    <w:p>
      <w:pPr>
        <w:ind w:firstLine="420"/>
        <w:jc w:val="center"/>
      </w:pPr>
      <w:bookmarkStart w:id="138" w:name="_Hlk67951295"/>
      <w:r>
        <w:rPr>
          <w:sz w:val="21"/>
        </w:rPr>
        <w:t>表</w:t>
      </w:r>
      <w:r>
        <w:rPr>
          <w:sz w:val="21"/>
        </w:rPr>
        <w:fldChar w:fldCharType="begin"/>
      </w:r>
      <w:r>
        <w:rPr>
          <w:sz w:val="21"/>
        </w:rPr>
        <w:instrText xml:space="preserve"> STYLEREF 1 \s </w:instrText>
      </w:r>
      <w:r>
        <w:rPr>
          <w:sz w:val="21"/>
        </w:rPr>
        <w:fldChar w:fldCharType="separate"/>
      </w:r>
      <w:r>
        <w:rPr>
          <w:sz w:val="21"/>
        </w:rPr>
        <w:t>10</w:t>
      </w:r>
      <w:r>
        <w:rPr>
          <w:sz w:val="21"/>
        </w:rPr>
        <w:fldChar w:fldCharType="end"/>
      </w:r>
      <w:r>
        <w:rPr>
          <w:sz w:val="21"/>
        </w:rPr>
        <w:noBreakHyphen/>
      </w:r>
      <w:r>
        <w:rPr>
          <w:sz w:val="21"/>
        </w:rPr>
        <w:fldChar w:fldCharType="begin"/>
      </w:r>
      <w:r>
        <w:rPr>
          <w:sz w:val="21"/>
        </w:rPr>
        <w:instrText xml:space="preserve"> SEQ 表 \* ARABIC \s 1 </w:instrText>
      </w:r>
      <w:r>
        <w:rPr>
          <w:sz w:val="21"/>
        </w:rPr>
        <w:fldChar w:fldCharType="separate"/>
      </w:r>
      <w:r>
        <w:rPr>
          <w:sz w:val="21"/>
        </w:rPr>
        <w:t>1</w:t>
      </w:r>
      <w:r>
        <w:rPr>
          <w:sz w:val="21"/>
        </w:rPr>
        <w:fldChar w:fldCharType="end"/>
      </w:r>
      <w:bookmarkEnd w:id="138"/>
      <w:r>
        <w:rPr>
          <w:sz w:val="21"/>
        </w:rPr>
        <w:t>投资概算表</w:t>
      </w:r>
    </w:p>
    <w:tbl>
      <w:tblPr>
        <w:tblStyle w:val="13"/>
        <w:tblW w:w="5000" w:type="pct"/>
        <w:tblInd w:w="0" w:type="dxa"/>
        <w:tblLayout w:type="autofit"/>
        <w:tblCellMar>
          <w:top w:w="0" w:type="dxa"/>
          <w:left w:w="108" w:type="dxa"/>
          <w:bottom w:w="0" w:type="dxa"/>
          <w:right w:w="108" w:type="dxa"/>
        </w:tblCellMar>
      </w:tblPr>
      <w:tblGrid>
        <w:gridCol w:w="1139"/>
        <w:gridCol w:w="4572"/>
        <w:gridCol w:w="2811"/>
      </w:tblGrid>
      <w:tr>
        <w:tblPrEx>
          <w:tblCellMar>
            <w:top w:w="0" w:type="dxa"/>
            <w:left w:w="108" w:type="dxa"/>
            <w:bottom w:w="0" w:type="dxa"/>
            <w:right w:w="108" w:type="dxa"/>
          </w:tblCellMar>
        </w:tblPrEx>
        <w:trPr>
          <w:tblHeader/>
        </w:trPr>
        <w:tc>
          <w:tcPr>
            <w:tcW w:w="497" w:type="pct"/>
            <w:tcBorders>
              <w:top w:val="single" w:color="auto" w:sz="4" w:space="0"/>
              <w:left w:val="single" w:color="auto" w:sz="4" w:space="0"/>
              <w:bottom w:val="single" w:color="auto" w:sz="4" w:space="0"/>
              <w:right w:val="nil"/>
            </w:tcBorders>
            <w:vAlign w:val="center"/>
          </w:tcPr>
          <w:p>
            <w:pPr>
              <w:widowControl/>
              <w:spacing w:line="240" w:lineRule="auto"/>
              <w:ind w:firstLine="562"/>
              <w:jc w:val="center"/>
              <w:rPr>
                <w:b/>
                <w:bCs/>
                <w:kern w:val="0"/>
              </w:rPr>
            </w:pPr>
            <w:r>
              <w:rPr>
                <w:b/>
                <w:bCs/>
                <w:kern w:val="0"/>
              </w:rPr>
              <w:t>序号</w:t>
            </w:r>
          </w:p>
        </w:tc>
        <w:tc>
          <w:tcPr>
            <w:tcW w:w="2768" w:type="pct"/>
            <w:tcBorders>
              <w:top w:val="single" w:color="auto" w:sz="4" w:space="0"/>
              <w:left w:val="single" w:color="auto" w:sz="4" w:space="0"/>
              <w:bottom w:val="single" w:color="auto" w:sz="4" w:space="0"/>
              <w:right w:val="single" w:color="auto" w:sz="4" w:space="0"/>
            </w:tcBorders>
            <w:vAlign w:val="center"/>
          </w:tcPr>
          <w:p>
            <w:pPr>
              <w:widowControl/>
              <w:spacing w:line="240" w:lineRule="auto"/>
              <w:ind w:firstLine="562"/>
              <w:jc w:val="center"/>
              <w:rPr>
                <w:b/>
                <w:bCs/>
                <w:kern w:val="0"/>
              </w:rPr>
            </w:pPr>
            <w:r>
              <w:rPr>
                <w:b/>
                <w:bCs/>
                <w:kern w:val="0"/>
              </w:rPr>
              <w:t>科目</w:t>
            </w:r>
          </w:p>
        </w:tc>
        <w:tc>
          <w:tcPr>
            <w:tcW w:w="1735" w:type="pct"/>
            <w:tcBorders>
              <w:top w:val="single" w:color="auto" w:sz="4" w:space="0"/>
              <w:left w:val="nil"/>
              <w:bottom w:val="single" w:color="auto" w:sz="4" w:space="0"/>
              <w:right w:val="single" w:color="auto" w:sz="4" w:space="0"/>
            </w:tcBorders>
            <w:vAlign w:val="center"/>
          </w:tcPr>
          <w:p>
            <w:pPr>
              <w:widowControl/>
              <w:spacing w:line="240" w:lineRule="auto"/>
              <w:ind w:firstLine="562"/>
              <w:jc w:val="center"/>
              <w:rPr>
                <w:b/>
                <w:bCs/>
                <w:kern w:val="0"/>
              </w:rPr>
            </w:pPr>
            <w:r>
              <w:rPr>
                <w:b/>
                <w:bCs/>
                <w:kern w:val="0"/>
              </w:rPr>
              <w:t>概算金额（万元）</w:t>
            </w: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2"/>
              <w:jc w:val="center"/>
              <w:rPr>
                <w:b/>
                <w:bCs/>
                <w:kern w:val="0"/>
              </w:rPr>
            </w:pPr>
            <w:r>
              <w:rPr>
                <w:b/>
                <w:bCs/>
                <w:kern w:val="0"/>
              </w:rPr>
              <w:t>一</w:t>
            </w:r>
          </w:p>
        </w:tc>
        <w:tc>
          <w:tcPr>
            <w:tcW w:w="2768" w:type="pct"/>
            <w:tcBorders>
              <w:top w:val="nil"/>
              <w:left w:val="nil"/>
              <w:bottom w:val="single" w:color="auto" w:sz="4" w:space="0"/>
              <w:right w:val="single" w:color="auto" w:sz="4" w:space="0"/>
            </w:tcBorders>
          </w:tcPr>
          <w:p>
            <w:pPr>
              <w:widowControl/>
              <w:spacing w:line="240" w:lineRule="auto"/>
              <w:ind w:firstLine="562"/>
              <w:jc w:val="left"/>
              <w:rPr>
                <w:b/>
                <w:bCs/>
                <w:kern w:val="0"/>
              </w:rPr>
            </w:pPr>
            <w:r>
              <w:rPr>
                <w:b/>
                <w:bCs/>
                <w:kern w:val="0"/>
              </w:rPr>
              <w:t>工程费</w:t>
            </w:r>
          </w:p>
        </w:tc>
        <w:tc>
          <w:tcPr>
            <w:tcW w:w="1735"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r>
              <w:rPr>
                <w:b/>
                <w:bCs/>
                <w:kern w:val="0"/>
              </w:rPr>
              <w:t>　</w:t>
            </w: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1</w:t>
            </w:r>
          </w:p>
        </w:tc>
        <w:tc>
          <w:tcPr>
            <w:tcW w:w="2768"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r>
              <w:rPr>
                <w:b/>
                <w:bCs/>
                <w:kern w:val="0"/>
              </w:rPr>
              <w:t>硬件</w:t>
            </w:r>
          </w:p>
        </w:tc>
        <w:tc>
          <w:tcPr>
            <w:tcW w:w="1735"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p>
        </w:tc>
      </w:tr>
      <w:tr>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1.1</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网络设备</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1.2</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计算设备</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1.3</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存储设备</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1.4</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安全设备</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1.5</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其他设备</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2</w:t>
            </w:r>
          </w:p>
        </w:tc>
        <w:tc>
          <w:tcPr>
            <w:tcW w:w="2768"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r>
              <w:rPr>
                <w:b/>
                <w:bCs/>
                <w:kern w:val="0"/>
              </w:rPr>
              <w:t>软件</w:t>
            </w:r>
          </w:p>
        </w:tc>
        <w:tc>
          <w:tcPr>
            <w:tcW w:w="1735"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2.1</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通用软件</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2.2</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定制开发</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3</w:t>
            </w:r>
          </w:p>
        </w:tc>
        <w:tc>
          <w:tcPr>
            <w:tcW w:w="2768"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r>
              <w:rPr>
                <w:b/>
                <w:bCs/>
                <w:kern w:val="0"/>
              </w:rPr>
              <w:t>系统集成费</w:t>
            </w:r>
          </w:p>
        </w:tc>
        <w:tc>
          <w:tcPr>
            <w:tcW w:w="1735"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　</w:t>
            </w:r>
          </w:p>
        </w:tc>
        <w:tc>
          <w:tcPr>
            <w:tcW w:w="2768"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r>
              <w:rPr>
                <w:b/>
                <w:bCs/>
                <w:kern w:val="0"/>
              </w:rPr>
              <w:t>工程费小计</w:t>
            </w:r>
          </w:p>
        </w:tc>
        <w:tc>
          <w:tcPr>
            <w:tcW w:w="1735"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2"/>
              <w:jc w:val="center"/>
              <w:rPr>
                <w:b/>
                <w:bCs/>
                <w:kern w:val="0"/>
              </w:rPr>
            </w:pPr>
            <w:r>
              <w:rPr>
                <w:b/>
                <w:bCs/>
                <w:kern w:val="0"/>
              </w:rPr>
              <w:t>二</w:t>
            </w:r>
          </w:p>
        </w:tc>
        <w:tc>
          <w:tcPr>
            <w:tcW w:w="2768" w:type="pct"/>
            <w:tcBorders>
              <w:top w:val="nil"/>
              <w:left w:val="nil"/>
              <w:bottom w:val="single" w:color="auto" w:sz="4" w:space="0"/>
              <w:right w:val="single" w:color="auto" w:sz="4" w:space="0"/>
            </w:tcBorders>
            <w:vAlign w:val="center"/>
          </w:tcPr>
          <w:p>
            <w:pPr>
              <w:widowControl/>
              <w:spacing w:line="240" w:lineRule="auto"/>
              <w:ind w:firstLine="562"/>
              <w:jc w:val="left"/>
              <w:rPr>
                <w:b/>
                <w:bCs/>
                <w:kern w:val="0"/>
              </w:rPr>
            </w:pPr>
            <w:r>
              <w:rPr>
                <w:b/>
                <w:bCs/>
                <w:kern w:val="0"/>
              </w:rPr>
              <w:t>工程建设其他费</w:t>
            </w:r>
          </w:p>
        </w:tc>
        <w:tc>
          <w:tcPr>
            <w:tcW w:w="1735"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1</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机柜租用费用</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2</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通信线路租用费用</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3</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管理费</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4</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招投标费</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5</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工程监理费</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6</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设计费</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7</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标准部分</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8</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培训费</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9</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平台安全性评估费用</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10</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前期工作费</w:t>
            </w:r>
          </w:p>
        </w:tc>
        <w:tc>
          <w:tcPr>
            <w:tcW w:w="1735"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　</w:t>
            </w:r>
          </w:p>
        </w:tc>
        <w:tc>
          <w:tcPr>
            <w:tcW w:w="2768"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r>
              <w:rPr>
                <w:b/>
                <w:bCs/>
                <w:kern w:val="0"/>
              </w:rPr>
              <w:t>工程建设其他费小计</w:t>
            </w:r>
          </w:p>
        </w:tc>
        <w:tc>
          <w:tcPr>
            <w:tcW w:w="1735"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2"/>
              <w:jc w:val="center"/>
              <w:rPr>
                <w:b/>
                <w:bCs/>
                <w:kern w:val="0"/>
              </w:rPr>
            </w:pPr>
            <w:r>
              <w:rPr>
                <w:b/>
                <w:bCs/>
                <w:kern w:val="0"/>
              </w:rPr>
              <w:t>三</w:t>
            </w:r>
          </w:p>
        </w:tc>
        <w:tc>
          <w:tcPr>
            <w:tcW w:w="2768" w:type="pct"/>
            <w:tcBorders>
              <w:top w:val="nil"/>
              <w:left w:val="nil"/>
              <w:bottom w:val="single" w:color="auto" w:sz="4" w:space="0"/>
              <w:right w:val="single" w:color="auto" w:sz="4" w:space="0"/>
            </w:tcBorders>
            <w:vAlign w:val="center"/>
          </w:tcPr>
          <w:p>
            <w:pPr>
              <w:widowControl/>
              <w:spacing w:line="240" w:lineRule="auto"/>
              <w:ind w:firstLine="562"/>
              <w:jc w:val="left"/>
              <w:rPr>
                <w:b/>
                <w:bCs/>
                <w:kern w:val="0"/>
              </w:rPr>
            </w:pPr>
            <w:r>
              <w:rPr>
                <w:b/>
                <w:bCs/>
                <w:kern w:val="0"/>
              </w:rPr>
              <w:t>预备费</w:t>
            </w:r>
          </w:p>
        </w:tc>
        <w:tc>
          <w:tcPr>
            <w:tcW w:w="1735"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p>
        </w:tc>
      </w:tr>
      <w:tr>
        <w:tblPrEx>
          <w:tblCellMar>
            <w:top w:w="0" w:type="dxa"/>
            <w:left w:w="108" w:type="dxa"/>
            <w:bottom w:w="0" w:type="dxa"/>
            <w:right w:w="108" w:type="dxa"/>
          </w:tblCellMar>
        </w:tblPrEx>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0"/>
              <w:jc w:val="center"/>
              <w:rPr>
                <w:kern w:val="0"/>
              </w:rPr>
            </w:pPr>
            <w:r>
              <w:rPr>
                <w:kern w:val="0"/>
              </w:rPr>
              <w:t>1</w:t>
            </w:r>
          </w:p>
        </w:tc>
        <w:tc>
          <w:tcPr>
            <w:tcW w:w="2768" w:type="pct"/>
            <w:tcBorders>
              <w:top w:val="nil"/>
              <w:left w:val="nil"/>
              <w:bottom w:val="single" w:color="auto" w:sz="4" w:space="0"/>
              <w:right w:val="single" w:color="auto" w:sz="4" w:space="0"/>
            </w:tcBorders>
            <w:vAlign w:val="center"/>
          </w:tcPr>
          <w:p>
            <w:pPr>
              <w:widowControl/>
              <w:spacing w:line="240" w:lineRule="auto"/>
              <w:ind w:firstLine="560"/>
              <w:jc w:val="center"/>
              <w:rPr>
                <w:kern w:val="0"/>
              </w:rPr>
            </w:pPr>
            <w:r>
              <w:rPr>
                <w:kern w:val="0"/>
              </w:rPr>
              <w:t>预备费</w:t>
            </w:r>
          </w:p>
        </w:tc>
        <w:tc>
          <w:tcPr>
            <w:tcW w:w="1735"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p>
        </w:tc>
      </w:tr>
      <w:tr>
        <w:trPr>
          <w:tblHeader/>
        </w:trPr>
        <w:tc>
          <w:tcPr>
            <w:tcW w:w="497" w:type="pct"/>
            <w:tcBorders>
              <w:top w:val="nil"/>
              <w:left w:val="single" w:color="auto" w:sz="4" w:space="0"/>
              <w:bottom w:val="single" w:color="auto" w:sz="4" w:space="0"/>
              <w:right w:val="single" w:color="auto" w:sz="4" w:space="0"/>
            </w:tcBorders>
            <w:vAlign w:val="center"/>
          </w:tcPr>
          <w:p>
            <w:pPr>
              <w:widowControl/>
              <w:spacing w:line="240" w:lineRule="auto"/>
              <w:ind w:firstLine="562"/>
              <w:jc w:val="center"/>
              <w:rPr>
                <w:b/>
                <w:bCs/>
                <w:kern w:val="0"/>
              </w:rPr>
            </w:pPr>
            <w:r>
              <w:rPr>
                <w:b/>
                <w:bCs/>
                <w:kern w:val="0"/>
              </w:rPr>
              <w:t>　</w:t>
            </w:r>
          </w:p>
        </w:tc>
        <w:tc>
          <w:tcPr>
            <w:tcW w:w="2768"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r>
              <w:rPr>
                <w:b/>
                <w:bCs/>
                <w:kern w:val="0"/>
              </w:rPr>
              <w:t>总计</w:t>
            </w:r>
          </w:p>
        </w:tc>
        <w:tc>
          <w:tcPr>
            <w:tcW w:w="1735" w:type="pct"/>
            <w:tcBorders>
              <w:top w:val="nil"/>
              <w:left w:val="nil"/>
              <w:bottom w:val="single" w:color="auto" w:sz="4" w:space="0"/>
              <w:right w:val="single" w:color="auto" w:sz="4" w:space="0"/>
            </w:tcBorders>
            <w:vAlign w:val="center"/>
          </w:tcPr>
          <w:p>
            <w:pPr>
              <w:widowControl/>
              <w:spacing w:line="240" w:lineRule="auto"/>
              <w:ind w:firstLine="562"/>
              <w:jc w:val="center"/>
              <w:rPr>
                <w:b/>
                <w:bCs/>
                <w:kern w:val="0"/>
              </w:rPr>
            </w:pPr>
          </w:p>
        </w:tc>
      </w:tr>
    </w:tbl>
    <w:p>
      <w:pPr>
        <w:ind w:firstLine="560"/>
      </w:pPr>
    </w:p>
    <w:p>
      <w:pPr>
        <w:widowControl/>
        <w:spacing w:line="240" w:lineRule="auto"/>
        <w:ind w:firstLine="560"/>
        <w:jc w:val="left"/>
        <w:rPr>
          <w:b/>
          <w:szCs w:val="20"/>
        </w:rPr>
      </w:pPr>
      <w:r>
        <w:br w:type="page"/>
      </w:r>
    </w:p>
    <w:p>
      <w:pPr>
        <w:pStyle w:val="142"/>
      </w:pPr>
      <w:bookmarkStart w:id="139" w:name="_Toc204251396"/>
      <w:r>
        <w:t>资金筹措及投资计划</w:t>
      </w:r>
      <w:bookmarkEnd w:id="139"/>
    </w:p>
    <w:p>
      <w:pPr>
        <w:widowControl/>
        <w:spacing w:line="240" w:lineRule="auto"/>
        <w:ind w:firstLine="560"/>
        <w:jc w:val="left"/>
      </w:pPr>
      <w:r>
        <w:br w:type="page"/>
      </w:r>
    </w:p>
    <w:p>
      <w:pPr>
        <w:pStyle w:val="2"/>
      </w:pPr>
      <w:bookmarkStart w:id="140" w:name="_Toc204251397"/>
      <w:bookmarkStart w:id="141" w:name="_Toc40378795"/>
      <w:r>
        <w:rPr>
          <w:rFonts w:hint="eastAsia"/>
        </w:rPr>
        <w:t xml:space="preserve"> </w:t>
      </w:r>
      <w:r>
        <w:t>风险及效益分析</w:t>
      </w:r>
      <w:bookmarkEnd w:id="140"/>
      <w:bookmarkEnd w:id="141"/>
      <w:r>
        <w:rPr>
          <w:rFonts w:hint="eastAsia"/>
        </w:rPr>
        <w:t>（刘绍博）</w:t>
      </w:r>
    </w:p>
    <w:p>
      <w:pPr>
        <w:pStyle w:val="142"/>
      </w:pPr>
      <w:bookmarkStart w:id="142" w:name="_Toc204251398"/>
      <w:bookmarkStart w:id="143" w:name="_Toc28358319"/>
      <w:bookmarkStart w:id="144" w:name="_Toc40378796"/>
      <w:r>
        <w:t>风险分析及对策</w:t>
      </w:r>
      <w:bookmarkEnd w:id="142"/>
      <w:bookmarkEnd w:id="143"/>
      <w:bookmarkEnd w:id="144"/>
    </w:p>
    <w:p>
      <w:pPr>
        <w:pStyle w:val="108"/>
      </w:pPr>
      <w:bookmarkStart w:id="145" w:name="_Toc204251399"/>
      <w:bookmarkStart w:id="146" w:name="_Toc6250889"/>
      <w:bookmarkStart w:id="147" w:name="_Toc40378797"/>
      <w:bookmarkStart w:id="148" w:name="_Toc314210023"/>
      <w:r>
        <w:t>风险识别和分析</w:t>
      </w:r>
      <w:bookmarkEnd w:id="145"/>
      <w:bookmarkEnd w:id="146"/>
      <w:bookmarkEnd w:id="147"/>
      <w:bookmarkEnd w:id="148"/>
    </w:p>
    <w:p>
      <w:pPr>
        <w:ind w:firstLine="560"/>
      </w:pPr>
    </w:p>
    <w:p>
      <w:pPr>
        <w:pStyle w:val="108"/>
      </w:pPr>
      <w:bookmarkStart w:id="149" w:name="_Toc310345094"/>
      <w:bookmarkStart w:id="150" w:name="_Toc314210024"/>
      <w:bookmarkStart w:id="151" w:name="_Toc204251400"/>
      <w:bookmarkStart w:id="152" w:name="_Toc40378798"/>
      <w:bookmarkStart w:id="153" w:name="_Toc6250893"/>
      <w:r>
        <w:t>风险对策和管理</w:t>
      </w:r>
      <w:bookmarkEnd w:id="149"/>
      <w:bookmarkEnd w:id="150"/>
      <w:bookmarkEnd w:id="151"/>
      <w:bookmarkEnd w:id="152"/>
      <w:bookmarkEnd w:id="153"/>
    </w:p>
    <w:p>
      <w:pPr>
        <w:pStyle w:val="142"/>
      </w:pPr>
      <w:bookmarkStart w:id="154" w:name="_Toc204251401"/>
      <w:bookmarkStart w:id="155" w:name="_Toc40378799"/>
      <w:bookmarkStart w:id="156" w:name="_Toc28358320"/>
      <w:r>
        <w:t>效益分析</w:t>
      </w:r>
      <w:bookmarkEnd w:id="154"/>
      <w:bookmarkEnd w:id="155"/>
      <w:bookmarkEnd w:id="156"/>
    </w:p>
    <w:p>
      <w:pPr>
        <w:pStyle w:val="108"/>
      </w:pPr>
      <w:bookmarkStart w:id="157" w:name="_Toc28358322"/>
      <w:bookmarkStart w:id="158" w:name="_Toc40378801"/>
      <w:bookmarkStart w:id="159" w:name="_Toc204251403"/>
      <w:bookmarkStart w:id="160" w:name="_Toc204251402"/>
      <w:bookmarkStart w:id="161" w:name="_Toc28358321"/>
      <w:bookmarkStart w:id="162" w:name="_Toc40378800"/>
      <w:r>
        <w:t>社会效益分析</w:t>
      </w:r>
      <w:bookmarkEnd w:id="157"/>
      <w:bookmarkEnd w:id="158"/>
      <w:bookmarkEnd w:id="159"/>
    </w:p>
    <w:p>
      <w:pPr>
        <w:ind w:firstLine="560"/>
      </w:pPr>
      <w:r>
        <w:rPr>
          <w:rFonts w:hint="eastAsia"/>
        </w:rPr>
        <w:t>高质量语料数据</w:t>
      </w:r>
      <w:r>
        <w:t>集推动产业生态</w:t>
      </w:r>
      <w:r>
        <w:rPr>
          <w:rFonts w:hint="eastAsia"/>
        </w:rPr>
        <w:t>放到这部分</w:t>
      </w:r>
    </w:p>
    <w:p>
      <w:pPr>
        <w:pStyle w:val="108"/>
      </w:pPr>
      <w:r>
        <w:t>经济效益分析</w:t>
      </w:r>
      <w:bookmarkEnd w:id="2"/>
      <w:bookmarkEnd w:id="4"/>
      <w:bookmarkEnd w:id="160"/>
      <w:bookmarkEnd w:id="161"/>
      <w:bookmarkEnd w:id="162"/>
      <w:bookmarkStart w:id="163" w:name="_Toc174866637"/>
      <w:bookmarkEnd w:id="163"/>
      <w:bookmarkStart w:id="164" w:name="_Toc174866594"/>
      <w:bookmarkEnd w:id="164"/>
      <w:bookmarkStart w:id="165" w:name="_Toc174866593"/>
      <w:bookmarkEnd w:id="165"/>
      <w:bookmarkStart w:id="166" w:name="_Toc174866642"/>
      <w:bookmarkEnd w:id="166"/>
      <w:bookmarkStart w:id="167" w:name="_Toc174866634"/>
      <w:bookmarkEnd w:id="167"/>
      <w:bookmarkStart w:id="168" w:name="_Toc174866641"/>
      <w:bookmarkEnd w:id="168"/>
      <w:bookmarkStart w:id="169" w:name="_Toc174866632"/>
      <w:bookmarkEnd w:id="169"/>
      <w:bookmarkStart w:id="170" w:name="_Toc174866633"/>
      <w:bookmarkEnd w:id="170"/>
      <w:bookmarkStart w:id="171" w:name="_Toc174866635"/>
      <w:bookmarkEnd w:id="171"/>
      <w:bookmarkStart w:id="172" w:name="_Toc174866631"/>
      <w:bookmarkEnd w:id="172"/>
      <w:bookmarkStart w:id="173" w:name="_Toc174866587"/>
      <w:bookmarkEnd w:id="173"/>
      <w:bookmarkStart w:id="174" w:name="_Toc174866590"/>
      <w:bookmarkEnd w:id="174"/>
      <w:bookmarkStart w:id="175" w:name="_Toc174866595"/>
      <w:bookmarkEnd w:id="175"/>
      <w:bookmarkStart w:id="176" w:name="_Toc174866592"/>
      <w:bookmarkEnd w:id="176"/>
      <w:bookmarkStart w:id="177" w:name="_Toc174866585"/>
      <w:bookmarkEnd w:id="177"/>
      <w:bookmarkStart w:id="178" w:name="_Toc174866589"/>
      <w:bookmarkEnd w:id="178"/>
      <w:bookmarkStart w:id="179" w:name="_Toc174866586"/>
      <w:bookmarkEnd w:id="179"/>
      <w:bookmarkStart w:id="180" w:name="_Toc174866591"/>
      <w:bookmarkEnd w:id="180"/>
      <w:bookmarkStart w:id="181" w:name="_Toc174866638"/>
      <w:bookmarkEnd w:id="181"/>
      <w:bookmarkStart w:id="182" w:name="_Toc174866623"/>
      <w:bookmarkEnd w:id="182"/>
      <w:bookmarkStart w:id="183" w:name="_Toc174866588"/>
      <w:bookmarkEnd w:id="183"/>
      <w:bookmarkStart w:id="184" w:name="_Toc174866640"/>
      <w:bookmarkEnd w:id="184"/>
      <w:bookmarkStart w:id="185" w:name="_Toc174866639"/>
      <w:bookmarkEnd w:id="185"/>
      <w:bookmarkStart w:id="186" w:name="_Toc174866584"/>
      <w:bookmarkEnd w:id="186"/>
      <w:bookmarkStart w:id="187" w:name="_Toc174866636"/>
      <w:bookmarkEnd w:id="187"/>
    </w:p>
    <w:sectPr>
      <w:headerReference r:id="rId34" w:type="first"/>
      <w:footerReference r:id="rId37" w:type="first"/>
      <w:headerReference r:id="rId32" w:type="default"/>
      <w:footerReference r:id="rId35" w:type="default"/>
      <w:headerReference r:id="rId33" w:type="even"/>
      <w:footerReference r:id="rId36" w:type="even"/>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思琦 -" w:date="2025-07-24T11:09:00Z" w:initials="思-">
    <w:p w14:paraId="6D5F9E8C">
      <w:pPr>
        <w:pStyle w:val="28"/>
        <w:ind w:left="3920" w:firstLine="420"/>
      </w:pPr>
      <w:r>
        <w:rPr>
          <w:rFonts w:hint="eastAsia"/>
        </w:rPr>
        <w:t>详述调整前、调整后、调整原因</w:t>
      </w:r>
    </w:p>
  </w:comment>
  <w:comment w:id="1" w:author="QB" w:date="2026-02-28T21:16:00Z" w:initials="Q">
    <w:p w14:paraId="7B7DB7FF">
      <w:pPr>
        <w:pStyle w:val="28"/>
        <w:ind w:left="3920" w:firstLine="420"/>
      </w:pPr>
      <w:r>
        <w:rPr>
          <w:rFonts w:hint="eastAsia"/>
        </w:rPr>
        <w:t>所有软硬件设备调整均需填写此表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5F9E8C" w15:done="0"/>
  <w15:commentEx w15:paraId="7B7DB7F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E0002EFF" w:usb1="C000785B" w:usb2="00000009" w:usb3="00000000" w:csb0="400001FF" w:csb1="FFFF0000"/>
  </w:font>
  <w:font w:name="黑体">
    <w:altName w:val="微软雅黑"/>
    <w:panose1 w:val="02010600030101010101"/>
    <w:charset w:val="00"/>
    <w:family w:val="auto"/>
    <w:pitch w:val="default"/>
    <w:sig w:usb0="00000001" w:usb1="080E0000" w:usb2="00000010" w:usb3="00000000" w:csb0="00040000" w:csb1="00000000"/>
  </w:font>
  <w:font w:name="微软雅黑">
    <w:panose1 w:val="020B0502040204020203"/>
    <w:charset w:val="86"/>
    <w:family w:val="auto"/>
    <w:pitch w:val="default"/>
    <w:sig w:usb0="A00002BF" w:usb1="2ACF7CFB" w:usb2="00000016" w:usb3="00000000" w:csb0="2004019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微软雅黑"/>
    <w:panose1 w:val="02010600030101010101"/>
    <w:charset w:val="86"/>
    <w:family w:val="auto"/>
    <w:pitch w:val="default"/>
    <w:sig w:usb0="00000000" w:usb1="00000000" w:usb2="00000016" w:usb3="00000000" w:csb0="0004000F" w:csb1="00000000"/>
  </w:font>
  <w:font w:name="仿宋">
    <w:altName w:val="微软雅黑"/>
    <w:panose1 w:val="02010609060101010101"/>
    <w:charset w:val="86"/>
    <w:family w:val="modern"/>
    <w:pitch w:val="default"/>
    <w:sig w:usb0="00000000" w:usb1="00000000" w:usb2="00000016" w:usb3="00000000" w:csb0="00040001" w:csb1="00000000"/>
  </w:font>
  <w:font w:name="方正楷体_GBK">
    <w:altName w:val="微软雅黑"/>
    <w:panose1 w:val="00000000000000000000"/>
    <w:charset w:val="86"/>
    <w:family w:val="auto"/>
    <w:pitch w:val="default"/>
    <w:sig w:usb0="00000000" w:usb1="00000000" w:usb2="00000000" w:usb3="00000000" w:csb0="00040000" w:csb1="00000000"/>
  </w:font>
  <w:font w:name="等线 Light">
    <w:altName w:val="SimSun"/>
    <w:panose1 w:val="02010600030101010101"/>
    <w:charset w:val="86"/>
    <w:family w:val="auto"/>
    <w:pitch w:val="default"/>
    <w:sig w:usb0="00000000" w:usb1="00000000" w:usb2="00000016" w:usb3="00000000" w:csb0="0004000F" w:csb1="00000000"/>
  </w:font>
  <w:font w:name="SimSun">
    <w:panose1 w:val="02010600030101010101"/>
    <w:charset w:val="86"/>
    <w:family w:val="auto"/>
    <w:pitch w:val="default"/>
    <w:sig w:usb0="00000003" w:usb1="080E0000" w:usb2="00000000" w:usb3="00000000" w:csb0="00040001" w:csb1="00000000"/>
  </w:font>
  <w:font w:name="Cambria">
    <w:panose1 w:val="02040803050406030204"/>
    <w:charset w:val="00"/>
    <w:family w:val="roman"/>
    <w:pitch w:val="default"/>
    <w:sig w:usb0="E00006FF" w:usb1="4000045F" w:usb2="00000000" w:usb3="00000000" w:csb0="2000019F" w:csb1="00000000"/>
  </w:font>
  <w:font w:name="Microsoft YaHei UI">
    <w:panose1 w:val="020B0502040204020203"/>
    <w:charset w:val="86"/>
    <w:family w:val="swiss"/>
    <w:pitch w:val="default"/>
    <w:sig w:usb0="A00002BF" w:usb1="2ACF7CFB" w:usb2="00000016" w:usb3="00000000" w:csb0="2004019F" w:csb1="00000000"/>
  </w:font>
  <w:font w:name="ˎ̥">
    <w:altName w:val="AR PL UKai CN"/>
    <w:panose1 w:val="00000000000000000000"/>
    <w:charset w:val="00"/>
    <w:family w:val="roman"/>
    <w:pitch w:val="default"/>
    <w:sig w:usb0="00000000" w:usb1="00000000" w:usb2="00000000" w:usb3="00000000" w:csb0="00040001" w:csb1="00000000"/>
  </w:font>
  <w:font w:name="AR PL UKai CN">
    <w:panose1 w:val="02000503000000000000"/>
    <w:charset w:val="86"/>
    <w:family w:val="auto"/>
    <w:pitch w:val="default"/>
    <w:sig w:usb0="A00002FF" w:usb1="3ACFFDFF" w:usb2="00000036" w:usb3="00000000" w:csb0="2016009F" w:csb1="DFD70000"/>
  </w:font>
  <w:font w:name="Verdana">
    <w:panose1 w:val="020B0604030504040204"/>
    <w:charset w:val="00"/>
    <w:family w:val="swiss"/>
    <w:pitch w:val="default"/>
    <w:sig w:usb0="A00006FF" w:usb1="4000205B" w:usb2="00000010" w:usb3="00000000" w:csb0="2000019F" w:csb1="00000000"/>
  </w:font>
  <w:font w:name="楷体_GB2312">
    <w:altName w:val="微软雅黑"/>
    <w:panose1 w:val="00000000000000000000"/>
    <w:charset w:val="86"/>
    <w:family w:val="modern"/>
    <w:pitch w:val="default"/>
    <w:sig w:usb0="00000000" w:usb1="00000000" w:usb2="00000010" w:usb3="00000000" w:csb0="00040000" w:csb1="00000000"/>
  </w:font>
  <w:font w:name="仿宋_GB2312">
    <w:altName w:val="微软雅黑"/>
    <w:panose1 w:val="02010609030101010101"/>
    <w:charset w:val="86"/>
    <w:family w:val="modern"/>
    <w:pitch w:val="default"/>
    <w:sig w:usb0="00000000" w:usb1="00000000" w:usb2="00000010" w:usb3="00000000" w:csb0="00040000" w:csb1="00000000"/>
  </w:font>
  <w:font w:name="华文新魏">
    <w:altName w:val="文泉驿正黑"/>
    <w:panose1 w:val="02010800040101010101"/>
    <w:charset w:val="86"/>
    <w:family w:val="auto"/>
    <w:pitch w:val="default"/>
    <w:sig w:usb0="00000000" w:usb1="00000000" w:usb2="00000010" w:usb3="00000000" w:csb0="00040000" w:csb1="00000000"/>
  </w:font>
  <w:font w:name="文泉驿正黑">
    <w:panose1 w:val="02000603000000000000"/>
    <w:charset w:val="86"/>
    <w:family w:val="auto"/>
    <w:pitch w:val="default"/>
    <w:sig w:usb0="900002BF" w:usb1="2BDF7DFB" w:usb2="00000036" w:usb3="00000000" w:csb0="603E000D" w:csb1="D2D70000"/>
  </w:font>
  <w:font w:name="Arial Narrow">
    <w:altName w:val="Arial"/>
    <w:panose1 w:val="020B0606020202030204"/>
    <w:charset w:val="00"/>
    <w:family w:val="swiss"/>
    <w:pitch w:val="default"/>
    <w:sig w:usb0="00000000" w:usb1="00000000" w:usb2="00000000" w:usb3="00000000" w:csb0="0000009F" w:csb1="00000000"/>
  </w:font>
  <w:font w:name="Book Antiqua">
    <w:altName w:val="Constantia"/>
    <w:panose1 w:val="02040602050305030304"/>
    <w:charset w:val="00"/>
    <w:family w:val="roman"/>
    <w:pitch w:val="default"/>
    <w:sig w:usb0="00000000" w:usb1="00000000" w:usb2="00000000" w:usb3="00000000" w:csb0="0000009F" w:csb1="00000000"/>
  </w:font>
  <w:font w:name="Constantia">
    <w:panose1 w:val="02030602050306030303"/>
    <w:charset w:val="00"/>
    <w:family w:val="auto"/>
    <w:pitch w:val="default"/>
    <w:sig w:usb0="A00002EF" w:usb1="4000204B" w:usb2="00000000" w:usb3="00000000" w:csb0="2000019F" w:csb1="00000000"/>
  </w:font>
  <w:font w:name="宋体fal">
    <w:altName w:val="Calibri"/>
    <w:panose1 w:val="00000000000000000000"/>
    <w:charset w:val="50"/>
    <w:family w:val="auto"/>
    <w:pitch w:val="default"/>
    <w:sig w:usb0="00000000" w:usb1="00000000" w:usb2="00000000" w:usb3="00000000" w:csb0="00040001" w:csb1="00000000"/>
  </w:font>
  <w:font w:name="华文宋体">
    <w:altName w:val="宋体"/>
    <w:panose1 w:val="02010600040101010101"/>
    <w:charset w:val="86"/>
    <w:family w:val="auto"/>
    <w:pitch w:val="default"/>
    <w:sig w:usb0="00000000" w:usb1="00000000" w:usb2="00000010" w:usb3="00000000" w:csb0="0004009F" w:csb1="00000000"/>
  </w:font>
  <w:font w:name="华文中宋">
    <w:altName w:val="宋体"/>
    <w:panose1 w:val="02010600040101010101"/>
    <w:charset w:val="86"/>
    <w:family w:val="auto"/>
    <w:pitch w:val="default"/>
    <w:sig w:usb0="00000000" w:usb1="00000000" w:usb2="00000010" w:usb3="00000000" w:csb0="0004009F" w:csb1="00000000"/>
  </w:font>
  <w:font w:name="华文细黑">
    <w:altName w:val="微软雅黑"/>
    <w:panose1 w:val="02010600040101010101"/>
    <w:charset w:val="86"/>
    <w:family w:val="auto"/>
    <w:pitch w:val="default"/>
    <w:sig w:usb0="00000000" w:usb1="00000000" w:usb2="00000010" w:usb3="00000000" w:csb0="0004009F" w:csb1="00000000"/>
  </w:font>
  <w:font w:name="DejaVu Math TeX Gyre">
    <w:panose1 w:val="02000503000000000000"/>
    <w:charset w:val="00"/>
    <w:family w:val="auto"/>
    <w:pitch w:val="default"/>
    <w:sig w:usb0="A10000EF" w:usb1="4201F9EE" w:usb2="02000000" w:usb3="00000000" w:csb0="60000193" w:csb1="0DD40000"/>
  </w:font>
  <w:font w:name="Cambria Math">
    <w:altName w:val="DejaVu Math TeX Gyre"/>
    <w:panose1 w:val="02040503050406030204"/>
    <w:charset w:val="00"/>
    <w:family w:val="roman"/>
    <w:pitch w:val="default"/>
    <w:sig w:usb0="00000000" w:usb1="00000000" w:usb2="02000000" w:usb3="00000000" w:csb0="0000019F" w:csb1="00000000"/>
  </w:font>
  <w:font w:name="MS Gothic">
    <w:altName w:val="宋体"/>
    <w:panose1 w:val="020B0609070205080204"/>
    <w:charset w:val="80"/>
    <w:family w:val="modern"/>
    <w:pitch w:val="default"/>
    <w:sig w:usb0="00000000" w:usb1="00000000" w:usb2="08000012" w:usb3="00000000" w:csb0="0002009F" w:csb1="00000000"/>
  </w:font>
  <w:font w:name="Microsoft YaHei">
    <w:panose1 w:val="020B0502040204020203"/>
    <w:charset w:val="86"/>
    <w:family w:val="auto"/>
    <w:pitch w:val="default"/>
    <w:sig w:usb0="A00002BF" w:usb1="2ACF7CFB" w:usb2="00000016" w:usb3="00000000" w:csb0="2004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firstLine="0" w:firstLineChars="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framePr w:wrap="around" w:vAnchor="text" w:hAnchor="margin" w:xAlign="center" w:y="1"/>
      <w:ind w:firstLine="360"/>
      <w:rPr>
        <w:rStyle w:val="81"/>
        <w:rFonts w:hint="eastAsia"/>
      </w:rPr>
    </w:pPr>
    <w:r>
      <w:fldChar w:fldCharType="begin"/>
    </w:r>
    <w:r>
      <w:rPr>
        <w:rStyle w:val="81"/>
      </w:rPr>
      <w:instrText xml:space="preserve">PAGE  </w:instrText>
    </w:r>
    <w:r>
      <w:fldChar w:fldCharType="end"/>
    </w:r>
  </w:p>
  <w:p>
    <w:pPr>
      <w:pStyle w:val="38"/>
      <w:ind w:right="360"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firstLine="0" w:firstLineChars="0"/>
      <w:jc w:val="center"/>
      <w:rPr>
        <w:rFonts w:hint="eastAsia"/>
      </w:rPr>
    </w:pPr>
    <w:r>
      <w:fldChar w:fldCharType="begin"/>
    </w:r>
    <w:r>
      <w:instrText xml:space="preserve">PAGE   \* MERGEFORMAT</w:instrText>
    </w:r>
    <w:r>
      <w:fldChar w:fldCharType="separate"/>
    </w:r>
    <w:r>
      <w:rPr>
        <w:lang w:val="zh-CN"/>
      </w:rPr>
      <w:t>45</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firstLine="360"/>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firstLine="360"/>
      <w:rPr>
        <w:rFonts w:hint="eastAsi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firstLine="360"/>
      <w:rPr>
        <w:rFonts w:hint="eastAsia"/>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firstLine="0" w:firstLineChars="0"/>
      <w:jc w:val="center"/>
      <w:rPr>
        <w:rFonts w:hint="eastAsia"/>
      </w:rPr>
    </w:pPr>
    <w:r>
      <w:fldChar w:fldCharType="begin"/>
    </w:r>
    <w:r>
      <w:instrText xml:space="preserve">PAGE   \* MERGEFORMAT</w:instrText>
    </w:r>
    <w:r>
      <w:fldChar w:fldCharType="separate"/>
    </w:r>
    <w:r>
      <w:rPr>
        <w:lang w:val="zh-CN"/>
      </w:rPr>
      <w:t>225</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left="480" w:firstLine="360"/>
      <w:rPr>
        <w:rFonts w:hint="eastAsia"/>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left="480" w:firstLine="360"/>
      <w:rPr>
        <w:rFonts w:hint="eastAsia"/>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firstLine="360"/>
      <w:jc w:val="center"/>
    </w:pPr>
  </w:p>
  <w:p>
    <w:pPr>
      <w:ind w:firstLine="56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firstLine="0" w:firstLineChars="0"/>
      <w:jc w:val="center"/>
      <w:rPr>
        <w:rFonts w:hint="eastAsia"/>
      </w:rPr>
    </w:pPr>
    <w:r>
      <w:fldChar w:fldCharType="begin"/>
    </w:r>
    <w:r>
      <w:instrText xml:space="preserve">PAGE   \* MERGEFORMAT</w:instrText>
    </w:r>
    <w:r>
      <w:fldChar w:fldCharType="separate"/>
    </w:r>
    <w:r>
      <w:rPr>
        <w:lang w:val="zh-CN"/>
      </w:rPr>
      <w:t>315</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firstLine="360"/>
      <w:rPr>
        <w:rFonts w:hint="eastAsia"/>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pBdr>
        <w:bottom w:val="none" w:color="auto" w:sz="0" w:space="0"/>
      </w:pBdr>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2"/>
      <w:ind w:firstLine="5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ind w:firstLine="360"/>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ind w:firstLine="360"/>
      <w:rPr>
        <w:rFonts w:hint="eastAsia"/>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2"/>
      <w:ind w:firstLine="5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ind w:firstLine="360"/>
      <w:rPr>
        <w:rFonts w:hint="eastAsia"/>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ind w:firstLine="360"/>
      <w:rPr>
        <w:rFonts w:hint="eastAsia"/>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5"/>
      <w:ind w:firstLine="480"/>
      <w:rPr>
        <w:rFonts w:hint="eastAsia"/>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ind w:firstLine="360"/>
      <w:rPr>
        <w:rFonts w:hint="eastAsia"/>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ind w:firstLine="360"/>
      <w:rPr>
        <w:rFonts w:hint="eastAsia"/>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56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2"/>
      <w:ind w:firstLine="56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ind w:firstLine="360"/>
      <w:rPr>
        <w:rFonts w:hint="eastAsia"/>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1"/>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EE371"/>
    <w:multiLevelType w:val="singleLevel"/>
    <w:tmpl w:val="8F3EE37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
    <w:nsid w:val="93B31571"/>
    <w:multiLevelType w:val="singleLevel"/>
    <w:tmpl w:val="93B31571"/>
    <w:lvl w:ilvl="0" w:tentative="0">
      <w:start w:val="1"/>
      <w:numFmt w:val="decimal"/>
      <w:suff w:val="nothing"/>
      <w:lvlText w:val="（%1）"/>
      <w:lvlJc w:val="left"/>
      <w:rPr>
        <w:rFonts w:hint="default"/>
        <w:color w:val="auto"/>
      </w:rPr>
    </w:lvl>
  </w:abstractNum>
  <w:abstractNum w:abstractNumId="2">
    <w:nsid w:val="9DAFF7A2"/>
    <w:multiLevelType w:val="singleLevel"/>
    <w:tmpl w:val="9DAFF7A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AFDE87FC"/>
    <w:multiLevelType w:val="singleLevel"/>
    <w:tmpl w:val="AFDE87FC"/>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
    <w:nsid w:val="BE2E806B"/>
    <w:multiLevelType w:val="singleLevel"/>
    <w:tmpl w:val="BE2E806B"/>
    <w:lvl w:ilvl="0" w:tentative="0">
      <w:start w:val="1"/>
      <w:numFmt w:val="decimal"/>
      <w:suff w:val="space"/>
      <w:lvlText w:val="(%1)"/>
      <w:lvlJc w:val="left"/>
    </w:lvl>
  </w:abstractNum>
  <w:abstractNum w:abstractNumId="5">
    <w:nsid w:val="BFFD6F2E"/>
    <w:multiLevelType w:val="singleLevel"/>
    <w:tmpl w:val="BFFD6F2E"/>
    <w:lvl w:ilvl="0" w:tentative="0">
      <w:start w:val="1"/>
      <w:numFmt w:val="decimal"/>
      <w:suff w:val="space"/>
      <w:lvlText w:val="(%1)"/>
      <w:lvlJc w:val="left"/>
    </w:lvl>
  </w:abstractNum>
  <w:abstractNum w:abstractNumId="6">
    <w:nsid w:val="D7AF7CA8"/>
    <w:multiLevelType w:val="singleLevel"/>
    <w:tmpl w:val="D7AF7CA8"/>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7">
    <w:nsid w:val="F4FAAC64"/>
    <w:multiLevelType w:val="singleLevel"/>
    <w:tmpl w:val="F4FAAC64"/>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8">
    <w:nsid w:val="F57E85BC"/>
    <w:multiLevelType w:val="singleLevel"/>
    <w:tmpl w:val="F57E85BC"/>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9">
    <w:nsid w:val="FFFEAC8F"/>
    <w:multiLevelType w:val="singleLevel"/>
    <w:tmpl w:val="FFFEAC8F"/>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0">
    <w:nsid w:val="FFFFFF7C"/>
    <w:multiLevelType w:val="singleLevel"/>
    <w:tmpl w:val="FFFFFF7C"/>
    <w:lvl w:ilvl="0" w:tentative="0">
      <w:start w:val="1"/>
      <w:numFmt w:val="decimal"/>
      <w:pStyle w:val="75"/>
      <w:lvlText w:val="%1."/>
      <w:lvlJc w:val="left"/>
      <w:pPr>
        <w:tabs>
          <w:tab w:val="left" w:pos="2040"/>
        </w:tabs>
        <w:ind w:left="2040" w:leftChars="800" w:hanging="360" w:hangingChars="200"/>
      </w:pPr>
    </w:lvl>
  </w:abstractNum>
  <w:abstractNum w:abstractNumId="11">
    <w:nsid w:val="FFFFFF7D"/>
    <w:multiLevelType w:val="singleLevel"/>
    <w:tmpl w:val="FFFFFF7D"/>
    <w:lvl w:ilvl="0" w:tentative="0">
      <w:start w:val="1"/>
      <w:numFmt w:val="decimal"/>
      <w:pStyle w:val="74"/>
      <w:lvlText w:val="%1."/>
      <w:lvlJc w:val="left"/>
      <w:pPr>
        <w:tabs>
          <w:tab w:val="left" w:pos="1620"/>
        </w:tabs>
        <w:ind w:left="1620" w:leftChars="600" w:hanging="360" w:hangingChars="200"/>
      </w:pPr>
    </w:lvl>
  </w:abstractNum>
  <w:abstractNum w:abstractNumId="12">
    <w:nsid w:val="FFFFFF7E"/>
    <w:multiLevelType w:val="singleLevel"/>
    <w:tmpl w:val="FFFFFF7E"/>
    <w:lvl w:ilvl="0" w:tentative="0">
      <w:start w:val="1"/>
      <w:numFmt w:val="decimal"/>
      <w:pStyle w:val="73"/>
      <w:lvlText w:val="%1."/>
      <w:lvlJc w:val="left"/>
      <w:pPr>
        <w:tabs>
          <w:tab w:val="left" w:pos="1200"/>
        </w:tabs>
        <w:ind w:left="1200" w:leftChars="400" w:hanging="360" w:hangingChars="200"/>
      </w:pPr>
    </w:lvl>
  </w:abstractNum>
  <w:abstractNum w:abstractNumId="13">
    <w:nsid w:val="FFFFFF80"/>
    <w:multiLevelType w:val="singleLevel"/>
    <w:tmpl w:val="FFFFFF80"/>
    <w:lvl w:ilvl="0" w:tentative="0">
      <w:start w:val="1"/>
      <w:numFmt w:val="bullet"/>
      <w:pStyle w:val="65"/>
      <w:lvlText w:val=""/>
      <w:lvlJc w:val="left"/>
      <w:pPr>
        <w:tabs>
          <w:tab w:val="left" w:pos="2040"/>
        </w:tabs>
        <w:ind w:left="2040" w:leftChars="800" w:hanging="360" w:hangingChars="200"/>
      </w:pPr>
      <w:rPr>
        <w:rFonts w:hint="default" w:ascii="Wingdings" w:hAnsi="Wingdings"/>
      </w:rPr>
    </w:lvl>
  </w:abstractNum>
  <w:abstractNum w:abstractNumId="14">
    <w:nsid w:val="FFFFFF81"/>
    <w:multiLevelType w:val="singleLevel"/>
    <w:tmpl w:val="FFFFFF81"/>
    <w:lvl w:ilvl="0" w:tentative="0">
      <w:start w:val="1"/>
      <w:numFmt w:val="bullet"/>
      <w:pStyle w:val="64"/>
      <w:lvlText w:val=""/>
      <w:lvlJc w:val="left"/>
      <w:pPr>
        <w:tabs>
          <w:tab w:val="left" w:pos="1620"/>
        </w:tabs>
        <w:ind w:left="1620" w:leftChars="600" w:hanging="360" w:hangingChars="200"/>
      </w:pPr>
      <w:rPr>
        <w:rFonts w:hint="default" w:ascii="Wingdings" w:hAnsi="Wingdings"/>
      </w:rPr>
    </w:lvl>
  </w:abstractNum>
  <w:abstractNum w:abstractNumId="15">
    <w:nsid w:val="FFFFFF82"/>
    <w:multiLevelType w:val="singleLevel"/>
    <w:tmpl w:val="FFFFFF82"/>
    <w:lvl w:ilvl="0" w:tentative="0">
      <w:start w:val="1"/>
      <w:numFmt w:val="bullet"/>
      <w:pStyle w:val="63"/>
      <w:lvlText w:val=""/>
      <w:lvlJc w:val="left"/>
      <w:pPr>
        <w:tabs>
          <w:tab w:val="left" w:pos="1200"/>
        </w:tabs>
        <w:ind w:left="1200" w:leftChars="400" w:hanging="360" w:hangingChars="200"/>
      </w:pPr>
      <w:rPr>
        <w:rFonts w:hint="default" w:ascii="Wingdings" w:hAnsi="Wingdings"/>
      </w:rPr>
    </w:lvl>
  </w:abstractNum>
  <w:abstractNum w:abstractNumId="16">
    <w:nsid w:val="FFFFFF83"/>
    <w:multiLevelType w:val="singleLevel"/>
    <w:tmpl w:val="FFFFFF83"/>
    <w:lvl w:ilvl="0" w:tentative="0">
      <w:start w:val="1"/>
      <w:numFmt w:val="bullet"/>
      <w:pStyle w:val="62"/>
      <w:lvlText w:val=""/>
      <w:lvlJc w:val="left"/>
      <w:pPr>
        <w:tabs>
          <w:tab w:val="left" w:pos="780"/>
        </w:tabs>
        <w:ind w:left="780" w:leftChars="200" w:hanging="360" w:hangingChars="200"/>
      </w:pPr>
      <w:rPr>
        <w:rFonts w:hint="default" w:ascii="Wingdings" w:hAnsi="Wingdings"/>
      </w:rPr>
    </w:lvl>
  </w:abstractNum>
  <w:abstractNum w:abstractNumId="17">
    <w:nsid w:val="FFFFFF88"/>
    <w:multiLevelType w:val="singleLevel"/>
    <w:tmpl w:val="FFFFFF88"/>
    <w:lvl w:ilvl="0" w:tentative="0">
      <w:start w:val="1"/>
      <w:numFmt w:val="decimal"/>
      <w:pStyle w:val="71"/>
      <w:lvlText w:val="%1."/>
      <w:lvlJc w:val="left"/>
      <w:pPr>
        <w:tabs>
          <w:tab w:val="left" w:pos="360"/>
        </w:tabs>
        <w:ind w:left="360" w:hanging="360"/>
      </w:pPr>
    </w:lvl>
  </w:abstractNum>
  <w:abstractNum w:abstractNumId="18">
    <w:nsid w:val="FFFFFF89"/>
    <w:multiLevelType w:val="singleLevel"/>
    <w:tmpl w:val="FFFFFF89"/>
    <w:lvl w:ilvl="0" w:tentative="0">
      <w:start w:val="1"/>
      <w:numFmt w:val="bullet"/>
      <w:pStyle w:val="61"/>
      <w:lvlText w:val=""/>
      <w:lvlJc w:val="left"/>
      <w:pPr>
        <w:tabs>
          <w:tab w:val="left" w:pos="360"/>
        </w:tabs>
        <w:ind w:left="360" w:hanging="360" w:hangingChars="200"/>
      </w:pPr>
      <w:rPr>
        <w:rFonts w:hint="default" w:ascii="Wingdings" w:hAnsi="Wingdings"/>
      </w:rPr>
    </w:lvl>
  </w:abstractNum>
  <w:abstractNum w:abstractNumId="19">
    <w:nsid w:val="00000020"/>
    <w:multiLevelType w:val="multilevel"/>
    <w:tmpl w:val="00000020"/>
    <w:lvl w:ilvl="0" w:tentative="0">
      <w:start w:val="1"/>
      <w:numFmt w:val="decimal"/>
      <w:pStyle w:val="612"/>
      <w:lvlText w:val="附图%1. "/>
      <w:lvlJc w:val="left"/>
      <w:pPr>
        <w:ind w:left="0" w:firstLine="0"/>
      </w:pPr>
      <w:rPr>
        <w:rFonts w:hint="eastAsia"/>
        <w:sz w:val="16"/>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03423824"/>
    <w:multiLevelType w:val="multilevel"/>
    <w:tmpl w:val="03423824"/>
    <w:lvl w:ilvl="0" w:tentative="0">
      <w:start w:val="1"/>
      <w:numFmt w:val="decimal"/>
      <w:pStyle w:val="498"/>
      <w:suff w:val="space"/>
      <w:lvlText w:val="图%1"/>
      <w:lvlJc w:val="left"/>
      <w:pPr>
        <w:ind w:left="0" w:firstLine="0"/>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decimal"/>
      <w:lvlText w:val="%2)"/>
      <w:lvlJc w:val="left"/>
      <w:pPr>
        <w:ind w:left="1260" w:hanging="360"/>
      </w:pPr>
      <w:rPr>
        <w:rFonts w:hint="default"/>
      </w:rPr>
    </w:lvl>
    <w:lvl w:ilvl="2" w:tentative="0">
      <w:start w:val="1"/>
      <w:numFmt w:val="lowerRoman"/>
      <w:lvlText w:val="%3."/>
      <w:lvlJc w:val="right"/>
      <w:pPr>
        <w:ind w:left="1740" w:hanging="420"/>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1">
    <w:nsid w:val="04392A27"/>
    <w:multiLevelType w:val="multilevel"/>
    <w:tmpl w:val="04392A27"/>
    <w:lvl w:ilvl="0" w:tentative="0">
      <w:start w:val="1"/>
      <w:numFmt w:val="decimal"/>
      <w:pStyle w:val="591"/>
      <w:lvlText w:val="%1)"/>
      <w:lvlJc w:val="left"/>
      <w:pPr>
        <w:tabs>
          <w:tab w:val="left" w:pos="1199"/>
        </w:tabs>
        <w:ind w:left="1140" w:hanging="301"/>
      </w:pPr>
      <w:rPr>
        <w:rFonts w:hint="eastAsia"/>
      </w:r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2">
    <w:nsid w:val="07FA28C8"/>
    <w:multiLevelType w:val="multilevel"/>
    <w:tmpl w:val="07FA28C8"/>
    <w:lvl w:ilvl="0" w:tentative="0">
      <w:start w:val="1"/>
      <w:numFmt w:val="decimal"/>
      <w:pStyle w:val="269"/>
      <w:lvlText w:val="%1."/>
      <w:lvlJc w:val="left"/>
      <w:pPr>
        <w:ind w:left="900" w:hanging="420"/>
      </w:pPr>
    </w:lvl>
    <w:lvl w:ilvl="1" w:tentative="0">
      <w:start w:val="1"/>
      <w:numFmt w:val="lowerLetter"/>
      <w:pStyle w:val="271"/>
      <w:lvlText w:val="%2)"/>
      <w:lvlJc w:val="left"/>
      <w:pPr>
        <w:ind w:left="1320" w:hanging="420"/>
      </w:pPr>
    </w:lvl>
    <w:lvl w:ilvl="2" w:tentative="0">
      <w:start w:val="1"/>
      <w:numFmt w:val="lowerRoman"/>
      <w:pStyle w:val="267"/>
      <w:lvlText w:val="%3."/>
      <w:lvlJc w:val="right"/>
      <w:pPr>
        <w:ind w:left="1740" w:hanging="420"/>
      </w:pPr>
    </w:lvl>
    <w:lvl w:ilvl="3" w:tentative="0">
      <w:start w:val="1"/>
      <w:numFmt w:val="decimal"/>
      <w:lvlText w:val="%4."/>
      <w:lvlJc w:val="left"/>
      <w:pPr>
        <w:ind w:left="2160" w:hanging="420"/>
      </w:pPr>
    </w:lvl>
    <w:lvl w:ilvl="4" w:tentative="0">
      <w:start w:val="1"/>
      <w:numFmt w:val="lowerLetter"/>
      <w:pStyle w:val="270"/>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pStyle w:val="200"/>
      <w:lvlText w:val="%8)"/>
      <w:lvlJc w:val="left"/>
      <w:pPr>
        <w:ind w:left="3840" w:hanging="420"/>
      </w:pPr>
    </w:lvl>
    <w:lvl w:ilvl="8" w:tentative="0">
      <w:start w:val="1"/>
      <w:numFmt w:val="lowerRoman"/>
      <w:pStyle w:val="246"/>
      <w:lvlText w:val="%9."/>
      <w:lvlJc w:val="right"/>
      <w:pPr>
        <w:ind w:left="4260" w:hanging="420"/>
      </w:pPr>
    </w:lvl>
  </w:abstractNum>
  <w:abstractNum w:abstractNumId="23">
    <w:nsid w:val="08612373"/>
    <w:multiLevelType w:val="multilevel"/>
    <w:tmpl w:val="08612373"/>
    <w:lvl w:ilvl="0" w:tentative="0">
      <w:start w:val="1"/>
      <w:numFmt w:val="chineseCountingThousand"/>
      <w:pStyle w:val="619"/>
      <w:lvlText w:val="第%1条"/>
      <w:lvlJc w:val="left"/>
      <w:pPr>
        <w:ind w:left="1130" w:hanging="420"/>
      </w:pPr>
      <w:rPr>
        <w:rFonts w:hint="eastAsia" w:ascii="宋体" w:hAnsi="宋体" w:eastAsia="宋体"/>
        <w:b w:val="0"/>
        <w:bCs/>
        <w:i w:val="0"/>
        <w:color w:val="auto"/>
        <w:sz w:val="24"/>
        <w:szCs w:val="24"/>
      </w:rPr>
    </w:lvl>
    <w:lvl w:ilvl="1" w:tentative="0">
      <w:start w:val="1"/>
      <w:numFmt w:val="decimal"/>
      <w:lvlText w:val="%2)"/>
      <w:lvlJc w:val="left"/>
      <w:pPr>
        <w:ind w:left="-4837" w:hanging="624"/>
      </w:pPr>
      <w:rPr>
        <w:rFonts w:hint="default"/>
      </w:rPr>
    </w:lvl>
    <w:lvl w:ilvl="2" w:tentative="0">
      <w:start w:val="1"/>
      <w:numFmt w:val="lowerRoman"/>
      <w:lvlText w:val="%3."/>
      <w:lvlJc w:val="right"/>
      <w:pPr>
        <w:ind w:left="-4621" w:hanging="420"/>
      </w:pPr>
    </w:lvl>
    <w:lvl w:ilvl="3" w:tentative="0">
      <w:start w:val="1"/>
      <w:numFmt w:val="decimal"/>
      <w:lvlText w:val="%4."/>
      <w:lvlJc w:val="left"/>
      <w:pPr>
        <w:ind w:left="-4201" w:hanging="420"/>
      </w:pPr>
    </w:lvl>
    <w:lvl w:ilvl="4" w:tentative="0">
      <w:start w:val="1"/>
      <w:numFmt w:val="lowerLetter"/>
      <w:lvlText w:val="%5)"/>
      <w:lvlJc w:val="left"/>
      <w:pPr>
        <w:ind w:left="-3781" w:hanging="420"/>
      </w:pPr>
    </w:lvl>
    <w:lvl w:ilvl="5" w:tentative="0">
      <w:start w:val="1"/>
      <w:numFmt w:val="lowerRoman"/>
      <w:lvlText w:val="%6."/>
      <w:lvlJc w:val="right"/>
      <w:pPr>
        <w:ind w:left="-3361" w:hanging="420"/>
      </w:pPr>
    </w:lvl>
    <w:lvl w:ilvl="6" w:tentative="0">
      <w:start w:val="1"/>
      <w:numFmt w:val="decimal"/>
      <w:lvlText w:val="%7."/>
      <w:lvlJc w:val="left"/>
      <w:pPr>
        <w:ind w:left="-2941" w:hanging="420"/>
      </w:pPr>
    </w:lvl>
    <w:lvl w:ilvl="7" w:tentative="0">
      <w:start w:val="1"/>
      <w:numFmt w:val="lowerLetter"/>
      <w:lvlText w:val="%8)"/>
      <w:lvlJc w:val="left"/>
      <w:pPr>
        <w:ind w:left="-2521" w:hanging="420"/>
      </w:pPr>
    </w:lvl>
    <w:lvl w:ilvl="8" w:tentative="0">
      <w:start w:val="1"/>
      <w:numFmt w:val="lowerRoman"/>
      <w:lvlText w:val="%9."/>
      <w:lvlJc w:val="right"/>
      <w:pPr>
        <w:ind w:left="-2101" w:hanging="420"/>
      </w:pPr>
    </w:lvl>
  </w:abstractNum>
  <w:abstractNum w:abstractNumId="24">
    <w:nsid w:val="0EDB2900"/>
    <w:multiLevelType w:val="multilevel"/>
    <w:tmpl w:val="0EDB2900"/>
    <w:lvl w:ilvl="0" w:tentative="0">
      <w:start w:val="1"/>
      <w:numFmt w:val="bullet"/>
      <w:pStyle w:val="380"/>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381"/>
      <w:lvlText w:val=""/>
      <w:lvlJc w:val="left"/>
      <w:pPr>
        <w:tabs>
          <w:tab w:val="left" w:pos="2976"/>
        </w:tabs>
        <w:ind w:left="2976" w:hanging="425"/>
      </w:pPr>
      <w:rPr>
        <w:rFonts w:hint="default" w:ascii="Wingdings" w:hAnsi="Wingdings" w:cs="Wingdings"/>
        <w:sz w:val="16"/>
        <w:szCs w:val="16"/>
      </w:rPr>
    </w:lvl>
    <w:lvl w:ilvl="2" w:tentative="0">
      <w:start w:val="1"/>
      <w:numFmt w:val="bullet"/>
      <w:pStyle w:val="382"/>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5">
    <w:nsid w:val="137A6639"/>
    <w:multiLevelType w:val="multilevel"/>
    <w:tmpl w:val="137A6639"/>
    <w:lvl w:ilvl="0" w:tentative="0">
      <w:start w:val="1"/>
      <w:numFmt w:val="decimal"/>
      <w:pStyle w:val="396"/>
      <w:lvlText w:val="%1."/>
      <w:lvlJc w:val="left"/>
      <w:pPr>
        <w:ind w:left="922" w:hanging="360"/>
      </w:pPr>
      <w:rPr>
        <w:rFonts w:hint="default"/>
      </w:rPr>
    </w:lvl>
    <w:lvl w:ilvl="1" w:tentative="0">
      <w:start w:val="1"/>
      <w:numFmt w:val="lowerLetter"/>
      <w:lvlText w:val="%2)"/>
      <w:lvlJc w:val="left"/>
      <w:pPr>
        <w:ind w:left="1402" w:hanging="420"/>
      </w:pPr>
    </w:lvl>
    <w:lvl w:ilvl="2" w:tentative="0">
      <w:start w:val="1"/>
      <w:numFmt w:val="lowerRoman"/>
      <w:lvlText w:val="%3."/>
      <w:lvlJc w:val="right"/>
      <w:pPr>
        <w:ind w:left="1822" w:hanging="420"/>
      </w:pPr>
    </w:lvl>
    <w:lvl w:ilvl="3" w:tentative="0">
      <w:start w:val="1"/>
      <w:numFmt w:val="decimal"/>
      <w:lvlText w:val="%4."/>
      <w:lvlJc w:val="left"/>
      <w:pPr>
        <w:ind w:left="2242" w:hanging="420"/>
      </w:pPr>
    </w:lvl>
    <w:lvl w:ilvl="4" w:tentative="0">
      <w:start w:val="1"/>
      <w:numFmt w:val="lowerLetter"/>
      <w:lvlText w:val="%5)"/>
      <w:lvlJc w:val="left"/>
      <w:pPr>
        <w:ind w:left="2662" w:hanging="420"/>
      </w:pPr>
    </w:lvl>
    <w:lvl w:ilvl="5" w:tentative="0">
      <w:start w:val="1"/>
      <w:numFmt w:val="lowerRoman"/>
      <w:lvlText w:val="%6."/>
      <w:lvlJc w:val="right"/>
      <w:pPr>
        <w:ind w:left="3082" w:hanging="420"/>
      </w:pPr>
    </w:lvl>
    <w:lvl w:ilvl="6" w:tentative="0">
      <w:start w:val="1"/>
      <w:numFmt w:val="decimal"/>
      <w:lvlText w:val="%7."/>
      <w:lvlJc w:val="left"/>
      <w:pPr>
        <w:ind w:left="3502" w:hanging="420"/>
      </w:pPr>
    </w:lvl>
    <w:lvl w:ilvl="7" w:tentative="0">
      <w:start w:val="1"/>
      <w:numFmt w:val="lowerLetter"/>
      <w:lvlText w:val="%8)"/>
      <w:lvlJc w:val="left"/>
      <w:pPr>
        <w:ind w:left="3922" w:hanging="420"/>
      </w:pPr>
    </w:lvl>
    <w:lvl w:ilvl="8" w:tentative="0">
      <w:start w:val="1"/>
      <w:numFmt w:val="lowerRoman"/>
      <w:lvlText w:val="%9."/>
      <w:lvlJc w:val="right"/>
      <w:pPr>
        <w:ind w:left="4342" w:hanging="420"/>
      </w:pPr>
    </w:lvl>
  </w:abstractNum>
  <w:abstractNum w:abstractNumId="26">
    <w:nsid w:val="1D5755D3"/>
    <w:multiLevelType w:val="multilevel"/>
    <w:tmpl w:val="1D5755D3"/>
    <w:lvl w:ilvl="0" w:tentative="0">
      <w:start w:val="1"/>
      <w:numFmt w:val="bullet"/>
      <w:pStyle w:val="378"/>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7">
    <w:nsid w:val="22960DDD"/>
    <w:multiLevelType w:val="multilevel"/>
    <w:tmpl w:val="22960DDD"/>
    <w:lvl w:ilvl="0" w:tentative="0">
      <w:start w:val="1"/>
      <w:numFmt w:val="chineseCountingThousand"/>
      <w:pStyle w:val="571"/>
      <w:lvlText w:val="(%1)"/>
      <w:lvlJc w:val="left"/>
      <w:pPr>
        <w:ind w:left="1060" w:hanging="420"/>
      </w:pPr>
    </w:lvl>
    <w:lvl w:ilvl="1" w:tentative="0">
      <w:start w:val="1"/>
      <w:numFmt w:val="lowerLetter"/>
      <w:lvlText w:val="%2)"/>
      <w:lvlJc w:val="left"/>
      <w:pPr>
        <w:ind w:left="1480" w:hanging="420"/>
      </w:pPr>
    </w:lvl>
    <w:lvl w:ilvl="2" w:tentative="0">
      <w:start w:val="1"/>
      <w:numFmt w:val="lowerRoman"/>
      <w:lvlText w:val="%3."/>
      <w:lvlJc w:val="right"/>
      <w:pPr>
        <w:ind w:left="1900" w:hanging="420"/>
      </w:pPr>
    </w:lvl>
    <w:lvl w:ilvl="3" w:tentative="0">
      <w:start w:val="1"/>
      <w:numFmt w:val="decimal"/>
      <w:lvlText w:val="%4."/>
      <w:lvlJc w:val="left"/>
      <w:pPr>
        <w:ind w:left="2320" w:hanging="420"/>
      </w:pPr>
    </w:lvl>
    <w:lvl w:ilvl="4" w:tentative="0">
      <w:start w:val="1"/>
      <w:numFmt w:val="lowerLetter"/>
      <w:lvlText w:val="%5)"/>
      <w:lvlJc w:val="left"/>
      <w:pPr>
        <w:ind w:left="2740" w:hanging="420"/>
      </w:pPr>
    </w:lvl>
    <w:lvl w:ilvl="5" w:tentative="0">
      <w:start w:val="1"/>
      <w:numFmt w:val="lowerRoman"/>
      <w:lvlText w:val="%6."/>
      <w:lvlJc w:val="right"/>
      <w:pPr>
        <w:ind w:left="3160" w:hanging="420"/>
      </w:pPr>
    </w:lvl>
    <w:lvl w:ilvl="6" w:tentative="0">
      <w:start w:val="1"/>
      <w:numFmt w:val="decimal"/>
      <w:lvlText w:val="%7."/>
      <w:lvlJc w:val="left"/>
      <w:pPr>
        <w:ind w:left="3580" w:hanging="420"/>
      </w:pPr>
    </w:lvl>
    <w:lvl w:ilvl="7" w:tentative="0">
      <w:start w:val="1"/>
      <w:numFmt w:val="lowerLetter"/>
      <w:lvlText w:val="%8)"/>
      <w:lvlJc w:val="left"/>
      <w:pPr>
        <w:ind w:left="4000" w:hanging="420"/>
      </w:pPr>
    </w:lvl>
    <w:lvl w:ilvl="8" w:tentative="0">
      <w:start w:val="1"/>
      <w:numFmt w:val="lowerRoman"/>
      <w:lvlText w:val="%9."/>
      <w:lvlJc w:val="right"/>
      <w:pPr>
        <w:ind w:left="4420" w:hanging="420"/>
      </w:pPr>
    </w:lvl>
  </w:abstractNum>
  <w:abstractNum w:abstractNumId="28">
    <w:nsid w:val="38A67A9F"/>
    <w:multiLevelType w:val="multilevel"/>
    <w:tmpl w:val="38A67A9F"/>
    <w:lvl w:ilvl="0" w:tentative="0">
      <w:start w:val="1"/>
      <w:numFmt w:val="bullet"/>
      <w:lvlText w:val=""/>
      <w:lvlJc w:val="left"/>
      <w:pPr>
        <w:ind w:left="1060" w:hanging="420"/>
      </w:pPr>
      <w:rPr>
        <w:rFonts w:hint="default" w:ascii="Wingdings" w:hAnsi="Wingdings"/>
      </w:rPr>
    </w:lvl>
    <w:lvl w:ilvl="1" w:tentative="0">
      <w:start w:val="1"/>
      <w:numFmt w:val="bullet"/>
      <w:lvlText w:val=""/>
      <w:lvlJc w:val="left"/>
      <w:pPr>
        <w:ind w:left="1480" w:hanging="420"/>
      </w:pPr>
      <w:rPr>
        <w:rFonts w:hint="default" w:ascii="Wingdings" w:hAnsi="Wingdings"/>
      </w:rPr>
    </w:lvl>
    <w:lvl w:ilvl="2" w:tentative="0">
      <w:start w:val="1"/>
      <w:numFmt w:val="bullet"/>
      <w:lvlText w:val=""/>
      <w:lvlJc w:val="left"/>
      <w:pPr>
        <w:ind w:left="1900" w:hanging="420"/>
      </w:pPr>
      <w:rPr>
        <w:rFonts w:hint="default" w:ascii="Wingdings" w:hAnsi="Wingdings"/>
      </w:rPr>
    </w:lvl>
    <w:lvl w:ilvl="3" w:tentative="0">
      <w:start w:val="1"/>
      <w:numFmt w:val="bullet"/>
      <w:lvlText w:val=""/>
      <w:lvlJc w:val="left"/>
      <w:pPr>
        <w:ind w:left="2320" w:hanging="420"/>
      </w:pPr>
      <w:rPr>
        <w:rFonts w:hint="default" w:ascii="Wingdings" w:hAnsi="Wingdings"/>
      </w:rPr>
    </w:lvl>
    <w:lvl w:ilvl="4" w:tentative="0">
      <w:start w:val="1"/>
      <w:numFmt w:val="bullet"/>
      <w:lvlText w:val=""/>
      <w:lvlJc w:val="left"/>
      <w:pPr>
        <w:ind w:left="2740" w:hanging="420"/>
      </w:pPr>
      <w:rPr>
        <w:rFonts w:hint="default" w:ascii="Wingdings" w:hAnsi="Wingdings"/>
      </w:rPr>
    </w:lvl>
    <w:lvl w:ilvl="5" w:tentative="0">
      <w:start w:val="1"/>
      <w:numFmt w:val="bullet"/>
      <w:lvlText w:val=""/>
      <w:lvlJc w:val="left"/>
      <w:pPr>
        <w:ind w:left="3160" w:hanging="420"/>
      </w:pPr>
      <w:rPr>
        <w:rFonts w:hint="default" w:ascii="Wingdings" w:hAnsi="Wingdings"/>
      </w:rPr>
    </w:lvl>
    <w:lvl w:ilvl="6" w:tentative="0">
      <w:start w:val="1"/>
      <w:numFmt w:val="bullet"/>
      <w:lvlText w:val=""/>
      <w:lvlJc w:val="left"/>
      <w:pPr>
        <w:ind w:left="3580" w:hanging="420"/>
      </w:pPr>
      <w:rPr>
        <w:rFonts w:hint="default" w:ascii="Wingdings" w:hAnsi="Wingdings"/>
      </w:rPr>
    </w:lvl>
    <w:lvl w:ilvl="7" w:tentative="0">
      <w:start w:val="1"/>
      <w:numFmt w:val="bullet"/>
      <w:lvlText w:val=""/>
      <w:lvlJc w:val="left"/>
      <w:pPr>
        <w:ind w:left="4000" w:hanging="420"/>
      </w:pPr>
      <w:rPr>
        <w:rFonts w:hint="default" w:ascii="Wingdings" w:hAnsi="Wingdings"/>
      </w:rPr>
    </w:lvl>
    <w:lvl w:ilvl="8" w:tentative="0">
      <w:start w:val="1"/>
      <w:numFmt w:val="bullet"/>
      <w:lvlText w:val=""/>
      <w:lvlJc w:val="left"/>
      <w:pPr>
        <w:ind w:left="4420" w:hanging="420"/>
      </w:pPr>
      <w:rPr>
        <w:rFonts w:hint="default" w:ascii="Wingdings" w:hAnsi="Wingdings"/>
      </w:rPr>
    </w:lvl>
  </w:abstractNum>
  <w:abstractNum w:abstractNumId="29">
    <w:nsid w:val="3E2021AE"/>
    <w:multiLevelType w:val="multilevel"/>
    <w:tmpl w:val="3E2021AE"/>
    <w:lvl w:ilvl="0" w:tentative="0">
      <w:start w:val="1"/>
      <w:numFmt w:val="bullet"/>
      <w:pStyle w:val="146"/>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0">
    <w:nsid w:val="44B223DA"/>
    <w:multiLevelType w:val="multilevel"/>
    <w:tmpl w:val="44B223DA"/>
    <w:lvl w:ilvl="0" w:tentative="0">
      <w:start w:val="1"/>
      <w:numFmt w:val="lowerLetter"/>
      <w:pStyle w:val="258"/>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1">
    <w:nsid w:val="463C3DB5"/>
    <w:multiLevelType w:val="multilevel"/>
    <w:tmpl w:val="463C3DB5"/>
    <w:lvl w:ilvl="0" w:tentative="0">
      <w:start w:val="1"/>
      <w:numFmt w:val="decimal"/>
      <w:pStyle w:val="501"/>
      <w:lvlText w:val="%1."/>
      <w:lvlJc w:val="left"/>
      <w:pPr>
        <w:tabs>
          <w:tab w:val="left" w:pos="284"/>
        </w:tabs>
        <w:ind w:left="284" w:hanging="284"/>
      </w:pPr>
      <w:rPr>
        <w:rFonts w:hint="eastAsia"/>
      </w:rPr>
    </w:lvl>
    <w:lvl w:ilvl="1" w:tentative="0">
      <w:start w:val="1"/>
      <w:numFmt w:val="decimalEnclosedCircle"/>
      <w:lvlText w:val="%2"/>
      <w:lvlJc w:val="left"/>
      <w:pPr>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52182914"/>
    <w:multiLevelType w:val="multilevel"/>
    <w:tmpl w:val="52182914"/>
    <w:lvl w:ilvl="0" w:tentative="0">
      <w:start w:val="1"/>
      <w:numFmt w:val="bullet"/>
      <w:pStyle w:val="72"/>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33">
    <w:nsid w:val="55AF4349"/>
    <w:multiLevelType w:val="singleLevel"/>
    <w:tmpl w:val="55AF4349"/>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4">
    <w:nsid w:val="55DD374E"/>
    <w:multiLevelType w:val="multilevel"/>
    <w:tmpl w:val="55DD374E"/>
    <w:lvl w:ilvl="0" w:tentative="0">
      <w:start w:val="1"/>
      <w:numFmt w:val="japaneseCounting"/>
      <w:pStyle w:val="603"/>
      <w:lvlText w:val="第%1节"/>
      <w:lvlJc w:val="left"/>
      <w:pPr>
        <w:ind w:left="2250" w:hanging="1125"/>
      </w:pPr>
      <w:rPr>
        <w:rFonts w:hint="default"/>
      </w:rPr>
    </w:lvl>
    <w:lvl w:ilvl="1" w:tentative="0">
      <w:start w:val="1"/>
      <w:numFmt w:val="lowerLetter"/>
      <w:lvlText w:val="%2)"/>
      <w:lvlJc w:val="left"/>
      <w:pPr>
        <w:ind w:left="1965" w:hanging="420"/>
      </w:pPr>
    </w:lvl>
    <w:lvl w:ilvl="2" w:tentative="0">
      <w:start w:val="1"/>
      <w:numFmt w:val="lowerRoman"/>
      <w:lvlText w:val="%3."/>
      <w:lvlJc w:val="right"/>
      <w:pPr>
        <w:ind w:left="2385" w:hanging="420"/>
      </w:pPr>
    </w:lvl>
    <w:lvl w:ilvl="3" w:tentative="0">
      <w:start w:val="1"/>
      <w:numFmt w:val="decimal"/>
      <w:lvlText w:val="%4."/>
      <w:lvlJc w:val="left"/>
      <w:pPr>
        <w:ind w:left="2805" w:hanging="420"/>
      </w:pPr>
    </w:lvl>
    <w:lvl w:ilvl="4" w:tentative="0">
      <w:start w:val="1"/>
      <w:numFmt w:val="lowerLetter"/>
      <w:lvlText w:val="%5)"/>
      <w:lvlJc w:val="left"/>
      <w:pPr>
        <w:ind w:left="3225" w:hanging="420"/>
      </w:pPr>
    </w:lvl>
    <w:lvl w:ilvl="5" w:tentative="0">
      <w:start w:val="1"/>
      <w:numFmt w:val="lowerRoman"/>
      <w:lvlText w:val="%6."/>
      <w:lvlJc w:val="right"/>
      <w:pPr>
        <w:ind w:left="3645" w:hanging="420"/>
      </w:pPr>
    </w:lvl>
    <w:lvl w:ilvl="6" w:tentative="0">
      <w:start w:val="1"/>
      <w:numFmt w:val="decimal"/>
      <w:lvlText w:val="%7."/>
      <w:lvlJc w:val="left"/>
      <w:pPr>
        <w:ind w:left="4065" w:hanging="420"/>
      </w:pPr>
    </w:lvl>
    <w:lvl w:ilvl="7" w:tentative="0">
      <w:start w:val="1"/>
      <w:numFmt w:val="lowerLetter"/>
      <w:lvlText w:val="%8)"/>
      <w:lvlJc w:val="left"/>
      <w:pPr>
        <w:ind w:left="4485" w:hanging="420"/>
      </w:pPr>
    </w:lvl>
    <w:lvl w:ilvl="8" w:tentative="0">
      <w:start w:val="1"/>
      <w:numFmt w:val="lowerRoman"/>
      <w:lvlText w:val="%9."/>
      <w:lvlJc w:val="right"/>
      <w:pPr>
        <w:ind w:left="4905" w:hanging="420"/>
      </w:pPr>
    </w:lvl>
  </w:abstractNum>
  <w:abstractNum w:abstractNumId="35">
    <w:nsid w:val="57A05E99"/>
    <w:multiLevelType w:val="multilevel"/>
    <w:tmpl w:val="57A05E99"/>
    <w:lvl w:ilvl="0" w:tentative="0">
      <w:start w:val="1"/>
      <w:numFmt w:val="decimal"/>
      <w:pStyle w:val="504"/>
      <w:lvlText w:val="%1"/>
      <w:lvlJc w:val="left"/>
      <w:pPr>
        <w:ind w:left="432" w:hanging="432"/>
      </w:pPr>
    </w:lvl>
    <w:lvl w:ilvl="1" w:tentative="0">
      <w:start w:val="1"/>
      <w:numFmt w:val="decimal"/>
      <w:lvlText w:val="%1.%2"/>
      <w:lvlJc w:val="left"/>
      <w:pPr>
        <w:ind w:left="718"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36">
    <w:nsid w:val="5CF14246"/>
    <w:multiLevelType w:val="multilevel"/>
    <w:tmpl w:val="5CF1424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pStyle w:val="7"/>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7">
    <w:nsid w:val="63E3529C"/>
    <w:multiLevelType w:val="multilevel"/>
    <w:tmpl w:val="63E3529C"/>
    <w:lvl w:ilvl="0" w:tentative="0">
      <w:start w:val="1"/>
      <w:numFmt w:val="decimal"/>
      <w:pStyle w:val="229"/>
      <w:lvlText w:val="（%1）"/>
      <w:lvlJc w:val="left"/>
      <w:pPr>
        <w:ind w:left="1280" w:hanging="720"/>
      </w:pPr>
      <w:rPr>
        <w:rFonts w:hint="default" w:ascii="仿宋" w:hAnsi="仿宋" w:eastAsia="宋体" w:cs="Times New Roman"/>
        <w:sz w:val="24"/>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38">
    <w:nsid w:val="6B207DA0"/>
    <w:multiLevelType w:val="multilevel"/>
    <w:tmpl w:val="6B207DA0"/>
    <w:lvl w:ilvl="0" w:tentative="0">
      <w:start w:val="1"/>
      <w:numFmt w:val="decimal"/>
      <w:pStyle w:val="602"/>
      <w:lvlText w:val="%1"/>
      <w:lvlJc w:val="left"/>
      <w:pPr>
        <w:ind w:left="851" w:hanging="425"/>
      </w:pPr>
      <w:rPr>
        <w:rFonts w:hint="eastAsia"/>
        <w:b/>
        <w:bCs w:val="0"/>
        <w:i w:val="0"/>
        <w:iCs w:val="0"/>
        <w:caps w:val="0"/>
        <w:smallCaps w:val="0"/>
        <w:strike w:val="0"/>
        <w:dstrike w:val="0"/>
        <w:vanish w:val="0"/>
        <w:color w:val="000000"/>
        <w:spacing w:val="0"/>
        <w:position w:val="0"/>
        <w:sz w:val="24"/>
        <w:u w:val="none"/>
        <w:vertAlign w:val="baseline"/>
      </w:rPr>
    </w:lvl>
    <w:lvl w:ilvl="1" w:tentative="0">
      <w:start w:val="1"/>
      <w:numFmt w:val="decimal"/>
      <w:lvlText w:val="%1.%2"/>
      <w:lvlJc w:val="left"/>
      <w:pPr>
        <w:ind w:left="1418" w:hanging="567"/>
      </w:pPr>
      <w:rPr>
        <w:rFonts w:hint="eastAsia"/>
      </w:rPr>
    </w:lvl>
    <w:lvl w:ilvl="2" w:tentative="0">
      <w:start w:val="1"/>
      <w:numFmt w:val="decimal"/>
      <w:lvlText w:val="%1.%2.%3"/>
      <w:lvlJc w:val="left"/>
      <w:pPr>
        <w:ind w:left="1844" w:hanging="567"/>
      </w:pPr>
      <w:rPr>
        <w:rFonts w:hint="eastAsia"/>
      </w:rPr>
    </w:lvl>
    <w:lvl w:ilvl="3" w:tentative="0">
      <w:start w:val="1"/>
      <w:numFmt w:val="decimal"/>
      <w:lvlText w:val="%1.%2.%3.%4"/>
      <w:lvlJc w:val="left"/>
      <w:pPr>
        <w:ind w:left="2410" w:hanging="708"/>
      </w:pPr>
      <w:rPr>
        <w:rFonts w:hint="eastAsia"/>
      </w:rPr>
    </w:lvl>
    <w:lvl w:ilvl="4" w:tentative="0">
      <w:start w:val="1"/>
      <w:numFmt w:val="decimal"/>
      <w:lvlText w:val="%4%1.%2.%3..%5"/>
      <w:lvlJc w:val="left"/>
      <w:pPr>
        <w:ind w:left="2977" w:hanging="850"/>
      </w:pPr>
      <w:rPr>
        <w:rFonts w:hint="eastAsia"/>
      </w:rPr>
    </w:lvl>
    <w:lvl w:ilvl="5" w:tentative="0">
      <w:start w:val="1"/>
      <w:numFmt w:val="decimal"/>
      <w:lvlText w:val="%1.%2.%3.%4.%5.%6"/>
      <w:lvlJc w:val="left"/>
      <w:pPr>
        <w:ind w:left="3686" w:hanging="1134"/>
      </w:pPr>
      <w:rPr>
        <w:rFonts w:hint="eastAsia"/>
      </w:rPr>
    </w:lvl>
    <w:lvl w:ilvl="6" w:tentative="0">
      <w:start w:val="1"/>
      <w:numFmt w:val="decimal"/>
      <w:lvlText w:val="%1.%2.%3.%4.%5.%6.%7"/>
      <w:lvlJc w:val="left"/>
      <w:pPr>
        <w:ind w:left="4253" w:hanging="1276"/>
      </w:pPr>
      <w:rPr>
        <w:rFonts w:hint="eastAsia"/>
      </w:rPr>
    </w:lvl>
    <w:lvl w:ilvl="7" w:tentative="0">
      <w:start w:val="1"/>
      <w:numFmt w:val="decimal"/>
      <w:lvlText w:val="%1.%2.%3.%4.%5.%6.%7.%8"/>
      <w:lvlJc w:val="left"/>
      <w:pPr>
        <w:ind w:left="4820" w:hanging="1418"/>
      </w:pPr>
      <w:rPr>
        <w:rFonts w:hint="eastAsia"/>
      </w:rPr>
    </w:lvl>
    <w:lvl w:ilvl="8" w:tentative="0">
      <w:start w:val="1"/>
      <w:numFmt w:val="decimal"/>
      <w:lvlText w:val="%1.%2.%3.%4.%5.%6.%7.%8.%9"/>
      <w:lvlJc w:val="left"/>
      <w:pPr>
        <w:ind w:left="5528" w:hanging="1700"/>
      </w:pPr>
      <w:rPr>
        <w:rFonts w:hint="eastAsia"/>
      </w:rPr>
    </w:lvl>
  </w:abstractNum>
  <w:abstractNum w:abstractNumId="39">
    <w:nsid w:val="6D256051"/>
    <w:multiLevelType w:val="multilevel"/>
    <w:tmpl w:val="6D256051"/>
    <w:lvl w:ilvl="0" w:tentative="0">
      <w:start w:val="6"/>
      <w:numFmt w:val="decimal"/>
      <w:lvlText w:val="（%1）"/>
      <w:lvlJc w:val="left"/>
      <w:pPr>
        <w:ind w:left="1280" w:hanging="720"/>
      </w:pPr>
      <w:rPr>
        <w:rFonts w:hint="default"/>
      </w:rPr>
    </w:lvl>
    <w:lvl w:ilvl="1" w:tentative="0">
      <w:start w:val="3"/>
      <w:numFmt w:val="decimal"/>
      <w:lvlText w:val="%2、"/>
      <w:lvlJc w:val="left"/>
      <w:pPr>
        <w:ind w:left="1700" w:hanging="720"/>
      </w:pPr>
      <w:rPr>
        <w:rFonts w:hint="default"/>
      </w:r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40">
    <w:nsid w:val="77ED00B3"/>
    <w:multiLevelType w:val="multilevel"/>
    <w:tmpl w:val="77ED00B3"/>
    <w:lvl w:ilvl="0" w:tentative="0">
      <w:start w:val="1"/>
      <w:numFmt w:val="decimal"/>
      <w:pStyle w:val="556"/>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1">
    <w:nsid w:val="783E3CB3"/>
    <w:multiLevelType w:val="multilevel"/>
    <w:tmpl w:val="783E3CB3"/>
    <w:lvl w:ilvl="0" w:tentative="0">
      <w:start w:val="1"/>
      <w:numFmt w:val="chineseCountingThousand"/>
      <w:pStyle w:val="2"/>
      <w:suff w:val="space"/>
      <w:lvlText w:val="第%1章"/>
      <w:lvlJc w:val="left"/>
      <w:pPr>
        <w:ind w:left="0" w:firstLine="0"/>
      </w:pPr>
      <w:rPr>
        <w:rFonts w:hint="default" w:ascii="Times New Roman" w:hAnsi="Times New Roman" w:eastAsia="黑体"/>
        <w:b w:val="0"/>
        <w:i w:val="0"/>
        <w:sz w:val="32"/>
      </w:rPr>
    </w:lvl>
    <w:lvl w:ilvl="1" w:tentative="0">
      <w:start w:val="1"/>
      <w:numFmt w:val="decimal"/>
      <w:pStyle w:val="142"/>
      <w:isLgl/>
      <w:suff w:val="space"/>
      <w:lvlText w:val="%1.%2"/>
      <w:lvlJc w:val="left"/>
      <w:pPr>
        <w:ind w:left="0" w:firstLine="0"/>
      </w:pPr>
      <w:rPr>
        <w:rFonts w:hint="default" w:ascii="Times New Roman" w:hAnsi="Times New Roman" w:eastAsia="黑体"/>
        <w:b w:val="0"/>
        <w:i w:val="0"/>
        <w:sz w:val="30"/>
        <w:szCs w:val="36"/>
      </w:rPr>
    </w:lvl>
    <w:lvl w:ilvl="2" w:tentative="0">
      <w:start w:val="1"/>
      <w:numFmt w:val="decimal"/>
      <w:pStyle w:val="108"/>
      <w:isLgl/>
      <w:suff w:val="space"/>
      <w:lvlText w:val="%1.%2.%3"/>
      <w:lvlJc w:val="left"/>
      <w:pPr>
        <w:ind w:left="0" w:firstLine="0"/>
      </w:pPr>
      <w:rPr>
        <w:rFonts w:hint="eastAsia"/>
      </w:rPr>
    </w:lvl>
    <w:lvl w:ilvl="3" w:tentative="0">
      <w:start w:val="1"/>
      <w:numFmt w:val="decimal"/>
      <w:pStyle w:val="109"/>
      <w:isLgl/>
      <w:suff w:val="space"/>
      <w:lvlText w:val="%1.%2.%3.%4"/>
      <w:lvlJc w:val="left"/>
      <w:pPr>
        <w:ind w:left="0" w:firstLine="0"/>
      </w:pPr>
      <w:rPr>
        <w:lang w:bidi="zh-CN"/>
      </w:rPr>
    </w:lvl>
    <w:lvl w:ilvl="4" w:tentative="0">
      <w:start w:val="1"/>
      <w:numFmt w:val="decimal"/>
      <w:pStyle w:val="107"/>
      <w:isLgl/>
      <w:suff w:val="space"/>
      <w:lvlText w:val="%1.%2.%3.%4.%5"/>
      <w:lvlJc w:val="left"/>
      <w:pPr>
        <w:ind w:left="0" w:firstLine="0"/>
      </w:pPr>
    </w:lvl>
    <w:lvl w:ilvl="5" w:tentative="0">
      <w:start w:val="1"/>
      <w:numFmt w:val="decimal"/>
      <w:pStyle w:val="607"/>
      <w:isLgl/>
      <w:suff w:val="space"/>
      <w:lvlText w:val="%1.%2.%3.%4.%5.%6"/>
      <w:lvlJc w:val="left"/>
      <w:pPr>
        <w:ind w:left="0" w:firstLine="0"/>
      </w:pPr>
      <w:rPr>
        <w:rFonts w:hint="eastAsia"/>
      </w:rPr>
    </w:lvl>
    <w:lvl w:ilvl="6" w:tentative="0">
      <w:start w:val="1"/>
      <w:numFmt w:val="decimal"/>
      <w:pStyle w:val="110"/>
      <w:isLgl/>
      <w:suff w:val="space"/>
      <w:lvlText w:val="%1.%2.%3.%4.%5.%6.%7"/>
      <w:lvlJc w:val="left"/>
      <w:pPr>
        <w:ind w:left="0" w:firstLine="0"/>
      </w:pPr>
      <w:rPr>
        <w:rFonts w:hint="eastAsia"/>
      </w:rPr>
    </w:lvl>
    <w:lvl w:ilvl="7" w:tentative="0">
      <w:start w:val="1"/>
      <w:numFmt w:val="decimal"/>
      <w:pStyle w:val="111"/>
      <w:isLgl/>
      <w:suff w:val="space"/>
      <w:lvlText w:val="%1.%2.%3.%4.%5.%6.%7.%8"/>
      <w:lvlJc w:val="left"/>
      <w:pPr>
        <w:ind w:left="0" w:firstLine="0"/>
      </w:pPr>
    </w:lvl>
    <w:lvl w:ilvl="8" w:tentative="0">
      <w:start w:val="1"/>
      <w:numFmt w:val="decimal"/>
      <w:isLgl/>
      <w:suff w:val="space"/>
      <w:lvlText w:val="%1.%2.%3.%4.%5.%6.%7.%8.%9"/>
      <w:lvlJc w:val="left"/>
      <w:pPr>
        <w:ind w:left="0" w:firstLine="0"/>
      </w:pPr>
      <w:rPr>
        <w:rFonts w:hint="eastAsia"/>
      </w:rPr>
    </w:lvl>
  </w:abstractNum>
  <w:abstractNum w:abstractNumId="42">
    <w:nsid w:val="7A6DAD3F"/>
    <w:multiLevelType w:val="singleLevel"/>
    <w:tmpl w:val="7A6DAD3F"/>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43">
    <w:nsid w:val="7E167545"/>
    <w:multiLevelType w:val="multilevel"/>
    <w:tmpl w:val="7E167545"/>
    <w:lvl w:ilvl="0" w:tentative="0">
      <w:start w:val="1"/>
      <w:numFmt w:val="chineseCountingThousand"/>
      <w:suff w:val="space"/>
      <w:lvlText w:val="第%1节"/>
      <w:lvlJc w:val="left"/>
      <w:pPr>
        <w:ind w:left="0" w:firstLine="0"/>
      </w:pPr>
      <w:rPr>
        <w:rFonts w:hint="eastAsia" w:ascii="华文细黑" w:eastAsia="华文细黑"/>
        <w:b/>
        <w:i w:val="0"/>
        <w:iCs w:val="0"/>
        <w:caps w:val="0"/>
        <w:strike w:val="0"/>
        <w:dstrike w:val="0"/>
        <w:snapToGrid/>
        <w:vanish w:val="0"/>
        <w:color w:val="000000"/>
        <w:spacing w:val="0"/>
        <w:w w:val="100"/>
        <w:kern w:val="2"/>
        <w:position w:val="0"/>
        <w:sz w:val="24"/>
        <w:u w:val="none"/>
        <w:vertAlign w:val="baseline"/>
        <w14:shadow w14:blurRad="0" w14:dist="0" w14:dir="0" w14:sx="0" w14:sy="0" w14:kx="0" w14:ky="0" w14:algn="none">
          <w14:srgbClr w14:val="000000"/>
        </w14:shadow>
      </w:rPr>
    </w:lvl>
    <w:lvl w:ilvl="1" w:tentative="0">
      <w:start w:val="1"/>
      <w:numFmt w:val="chineseCountingThousand"/>
      <w:lvlRestart w:val="0"/>
      <w:pStyle w:val="637"/>
      <w:suff w:val="space"/>
      <w:lvlText w:val="第%2条"/>
      <w:lvlJc w:val="left"/>
      <w:pPr>
        <w:ind w:left="0" w:firstLine="482"/>
      </w:pPr>
      <w:rPr>
        <w:rFonts w:hint="eastAsia" w:ascii="华文细黑" w:eastAsia="华文细黑"/>
        <w:b/>
        <w:i w:val="0"/>
        <w:snapToGrid/>
        <w:color w:val="auto"/>
        <w:spacing w:val="0"/>
        <w:w w:val="100"/>
        <w:kern w:val="2"/>
        <w:position w:val="0"/>
        <w:sz w:val="24"/>
        <w:lang w:val="en-US"/>
      </w:rPr>
    </w:lvl>
    <w:lvl w:ilvl="2" w:tentative="0">
      <w:start w:val="1"/>
      <w:numFmt w:val="chineseCountingThousand"/>
      <w:suff w:val="space"/>
      <w:lvlText w:val="（%3）"/>
      <w:lvlJc w:val="left"/>
      <w:pPr>
        <w:ind w:left="0" w:firstLine="482"/>
      </w:pPr>
    </w:lvl>
    <w:lvl w:ilvl="3" w:tentative="0">
      <w:start w:val="1"/>
      <w:numFmt w:val="decimal"/>
      <w:suff w:val="space"/>
      <w:lvlText w:val="%4、"/>
      <w:lvlJc w:val="left"/>
      <w:pPr>
        <w:ind w:left="420" w:firstLine="482"/>
      </w:pPr>
      <w:rPr>
        <w:rFonts w:hint="eastAsia" w:ascii="华文细黑" w:eastAsia="华文细黑"/>
        <w:b w:val="0"/>
        <w:i w:val="0"/>
        <w:snapToGrid/>
        <w:color w:val="auto"/>
        <w:spacing w:val="0"/>
        <w:w w:val="100"/>
        <w:kern w:val="2"/>
        <w:position w:val="0"/>
        <w:sz w:val="24"/>
      </w:rPr>
    </w:lvl>
    <w:lvl w:ilvl="4" w:tentative="0">
      <w:start w:val="1"/>
      <w:numFmt w:val="decimal"/>
      <w:suff w:val="space"/>
      <w:lvlText w:val="（%5）"/>
      <w:lvlJc w:val="left"/>
      <w:pPr>
        <w:ind w:left="839" w:firstLine="482"/>
      </w:pPr>
      <w:rPr>
        <w:rFonts w:hint="eastAsia" w:ascii="华文细黑" w:eastAsia="华文细黑"/>
        <w:b w:val="0"/>
        <w:i w:val="0"/>
        <w:snapToGrid/>
        <w:color w:val="auto"/>
        <w:spacing w:val="0"/>
        <w:w w:val="100"/>
        <w:kern w:val="2"/>
        <w:position w:val="0"/>
        <w:sz w:val="24"/>
      </w:rPr>
    </w:lvl>
    <w:lvl w:ilvl="5" w:tentative="0">
      <w:start w:val="1"/>
      <w:numFmt w:val="upperLetter"/>
      <w:suff w:val="space"/>
      <w:lvlText w:val="（%6）"/>
      <w:lvlJc w:val="left"/>
      <w:pPr>
        <w:ind w:left="1259" w:firstLine="482"/>
      </w:pPr>
      <w:rPr>
        <w:rFonts w:hint="eastAsia" w:ascii="华文细黑" w:eastAsia="华文细黑"/>
        <w:b w:val="0"/>
        <w:i w:val="0"/>
        <w:snapToGrid/>
        <w:color w:val="auto"/>
        <w:spacing w:val="0"/>
        <w:w w:val="100"/>
        <w:kern w:val="2"/>
        <w:position w:val="0"/>
        <w:sz w:val="24"/>
      </w:rPr>
    </w:lvl>
    <w:lvl w:ilvl="6" w:tentative="0">
      <w:start w:val="1"/>
      <w:numFmt w:val="lowerLetter"/>
      <w:suff w:val="space"/>
      <w:lvlText w:val="（%7）"/>
      <w:lvlJc w:val="left"/>
      <w:pPr>
        <w:ind w:left="1678" w:firstLine="482"/>
      </w:pPr>
      <w:rPr>
        <w:rFonts w:hint="eastAsia" w:ascii="华文细黑" w:eastAsia="华文细黑"/>
        <w:b w:val="0"/>
        <w:i w:val="0"/>
        <w:snapToGrid/>
        <w:color w:val="auto"/>
        <w:spacing w:val="0"/>
        <w:w w:val="100"/>
        <w:kern w:val="2"/>
        <w:position w:val="0"/>
        <w:sz w:val="24"/>
      </w:rPr>
    </w:lvl>
    <w:lvl w:ilvl="7" w:tentative="0">
      <w:start w:val="1"/>
      <w:numFmt w:val="upperRoman"/>
      <w:suff w:val="space"/>
      <w:lvlText w:val="（%8）"/>
      <w:lvlJc w:val="left"/>
      <w:pPr>
        <w:ind w:left="2098" w:firstLine="482"/>
      </w:pPr>
      <w:rPr>
        <w:rFonts w:hint="eastAsia" w:ascii="华文细黑" w:eastAsia="华文细黑"/>
        <w:b w:val="0"/>
        <w:i w:val="0"/>
        <w:snapToGrid/>
        <w:color w:val="auto"/>
        <w:spacing w:val="0"/>
        <w:w w:val="100"/>
        <w:kern w:val="2"/>
        <w:position w:val="0"/>
        <w:sz w:val="24"/>
      </w:rPr>
    </w:lvl>
    <w:lvl w:ilvl="8" w:tentative="0">
      <w:start w:val="1"/>
      <w:numFmt w:val="lowerRoman"/>
      <w:suff w:val="space"/>
      <w:lvlText w:val="（%9）"/>
      <w:lvlJc w:val="left"/>
      <w:pPr>
        <w:ind w:left="2517" w:firstLine="482"/>
      </w:pPr>
      <w:rPr>
        <w:rFonts w:hint="eastAsia" w:ascii="华文细黑" w:eastAsia="华文细黑"/>
        <w:b w:val="0"/>
        <w:i w:val="0"/>
        <w:snapToGrid/>
        <w:color w:val="auto"/>
        <w:spacing w:val="0"/>
        <w:w w:val="100"/>
        <w:kern w:val="2"/>
        <w:position w:val="0"/>
        <w:sz w:val="24"/>
      </w:rPr>
    </w:lvl>
  </w:abstractNum>
  <w:abstractNum w:abstractNumId="44">
    <w:nsid w:val="7F773C35"/>
    <w:multiLevelType w:val="multilevel"/>
    <w:tmpl w:val="7F773C35"/>
    <w:lvl w:ilvl="0" w:tentative="0">
      <w:start w:val="1"/>
      <w:numFmt w:val="decimal"/>
      <w:pStyle w:val="391"/>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392"/>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393"/>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394"/>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41"/>
  </w:num>
  <w:num w:numId="2">
    <w:abstractNumId w:val="36"/>
  </w:num>
  <w:num w:numId="3">
    <w:abstractNumId w:val="18"/>
  </w:num>
  <w:num w:numId="4">
    <w:abstractNumId w:val="16"/>
  </w:num>
  <w:num w:numId="5">
    <w:abstractNumId w:val="15"/>
  </w:num>
  <w:num w:numId="6">
    <w:abstractNumId w:val="14"/>
  </w:num>
  <w:num w:numId="7">
    <w:abstractNumId w:val="13"/>
  </w:num>
  <w:num w:numId="8">
    <w:abstractNumId w:val="17"/>
  </w:num>
  <w:num w:numId="9">
    <w:abstractNumId w:val="32"/>
  </w:num>
  <w:num w:numId="10">
    <w:abstractNumId w:val="12"/>
  </w:num>
  <w:num w:numId="11">
    <w:abstractNumId w:val="11"/>
  </w:num>
  <w:num w:numId="12">
    <w:abstractNumId w:val="10"/>
  </w:num>
  <w:num w:numId="13">
    <w:abstractNumId w:val="29"/>
  </w:num>
  <w:num w:numId="14">
    <w:abstractNumId w:val="22"/>
  </w:num>
  <w:num w:numId="15">
    <w:abstractNumId w:val="37"/>
  </w:num>
  <w:num w:numId="16">
    <w:abstractNumId w:val="30"/>
  </w:num>
  <w:num w:numId="17">
    <w:abstractNumId w:val="26"/>
  </w:num>
  <w:num w:numId="18">
    <w:abstractNumId w:val="24"/>
  </w:num>
  <w:num w:numId="19">
    <w:abstractNumId w:val="44"/>
  </w:num>
  <w:num w:numId="20">
    <w:abstractNumId w:val="25"/>
  </w:num>
  <w:num w:numId="21">
    <w:abstractNumId w:val="20"/>
  </w:num>
  <w:num w:numId="22">
    <w:abstractNumId w:val="31"/>
  </w:num>
  <w:num w:numId="23">
    <w:abstractNumId w:val="35"/>
  </w:num>
  <w:num w:numId="24">
    <w:abstractNumId w:val="40"/>
  </w:num>
  <w:num w:numId="25">
    <w:abstractNumId w:val="27"/>
  </w:num>
  <w:num w:numId="26">
    <w:abstractNumId w:val="21"/>
  </w:num>
  <w:num w:numId="27">
    <w:abstractNumId w:val="38"/>
  </w:num>
  <w:num w:numId="28">
    <w:abstractNumId w:val="34"/>
  </w:num>
  <w:num w:numId="29">
    <w:abstractNumId w:val="19"/>
  </w:num>
  <w:num w:numId="30">
    <w:abstractNumId w:val="23"/>
  </w:num>
  <w:num w:numId="31">
    <w:abstractNumId w:val="43"/>
  </w:num>
  <w:num w:numId="32">
    <w:abstractNumId w:val="28"/>
  </w:num>
  <w:num w:numId="33">
    <w:abstractNumId w:val="39"/>
  </w:num>
  <w:num w:numId="34">
    <w:abstractNumId w:val="4"/>
  </w:num>
  <w:num w:numId="35">
    <w:abstractNumId w:val="8"/>
  </w:num>
  <w:num w:numId="36">
    <w:abstractNumId w:val="2"/>
  </w:num>
  <w:num w:numId="37">
    <w:abstractNumId w:val="42"/>
  </w:num>
  <w:num w:numId="38">
    <w:abstractNumId w:val="1"/>
  </w:num>
  <w:num w:numId="39">
    <w:abstractNumId w:val="9"/>
  </w:num>
  <w:num w:numId="40">
    <w:abstractNumId w:val="5"/>
  </w:num>
  <w:num w:numId="41">
    <w:abstractNumId w:val="33"/>
  </w:num>
  <w:num w:numId="42">
    <w:abstractNumId w:val="7"/>
  </w:num>
  <w:num w:numId="43">
    <w:abstractNumId w:val="3"/>
  </w:num>
  <w:num w:numId="44">
    <w:abstractNumId w:val="0"/>
  </w:num>
  <w:num w:numId="45">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思琦 -">
    <w15:presenceInfo w15:providerId="Windows Live" w15:userId="82bd76953c17bc40"/>
  </w15:person>
  <w15:person w15:author="QB">
    <w15:presenceInfo w15:providerId="None" w15:userId="Q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NotTrackMoves/>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1MjAxNDM2NDU4YTcxOTE1NzIxMDYzODRjMWI3OTcifQ=="/>
  </w:docVars>
  <w:rsids>
    <w:rsidRoot w:val="00260908"/>
    <w:rsid w:val="00000201"/>
    <w:rsid w:val="00000621"/>
    <w:rsid w:val="00001933"/>
    <w:rsid w:val="00002606"/>
    <w:rsid w:val="00002CC4"/>
    <w:rsid w:val="00004F98"/>
    <w:rsid w:val="0000593B"/>
    <w:rsid w:val="0000595F"/>
    <w:rsid w:val="00006A23"/>
    <w:rsid w:val="00006B20"/>
    <w:rsid w:val="00007201"/>
    <w:rsid w:val="000072DE"/>
    <w:rsid w:val="0000730C"/>
    <w:rsid w:val="00007A33"/>
    <w:rsid w:val="000109D7"/>
    <w:rsid w:val="00011140"/>
    <w:rsid w:val="00011474"/>
    <w:rsid w:val="00011659"/>
    <w:rsid w:val="00011AE1"/>
    <w:rsid w:val="00011F5E"/>
    <w:rsid w:val="00012A8D"/>
    <w:rsid w:val="00012AE9"/>
    <w:rsid w:val="00012BC9"/>
    <w:rsid w:val="00012DD3"/>
    <w:rsid w:val="0001308E"/>
    <w:rsid w:val="00013EC2"/>
    <w:rsid w:val="00014458"/>
    <w:rsid w:val="00014D22"/>
    <w:rsid w:val="00014FCF"/>
    <w:rsid w:val="00015640"/>
    <w:rsid w:val="00015CDC"/>
    <w:rsid w:val="00015E46"/>
    <w:rsid w:val="000175E2"/>
    <w:rsid w:val="00017F07"/>
    <w:rsid w:val="0002060E"/>
    <w:rsid w:val="000209FF"/>
    <w:rsid w:val="00020C1A"/>
    <w:rsid w:val="00020E32"/>
    <w:rsid w:val="00021215"/>
    <w:rsid w:val="000212EB"/>
    <w:rsid w:val="00021F1A"/>
    <w:rsid w:val="00022E07"/>
    <w:rsid w:val="00023E1E"/>
    <w:rsid w:val="00024972"/>
    <w:rsid w:val="00024A94"/>
    <w:rsid w:val="00024CD7"/>
    <w:rsid w:val="00025A78"/>
    <w:rsid w:val="0002692A"/>
    <w:rsid w:val="00027FB1"/>
    <w:rsid w:val="000300FA"/>
    <w:rsid w:val="00030866"/>
    <w:rsid w:val="00030BA1"/>
    <w:rsid w:val="00031267"/>
    <w:rsid w:val="000315D2"/>
    <w:rsid w:val="000336FC"/>
    <w:rsid w:val="00033DA6"/>
    <w:rsid w:val="00034F0D"/>
    <w:rsid w:val="0003578C"/>
    <w:rsid w:val="00040950"/>
    <w:rsid w:val="00041438"/>
    <w:rsid w:val="00041729"/>
    <w:rsid w:val="00041A62"/>
    <w:rsid w:val="00041F4A"/>
    <w:rsid w:val="00042109"/>
    <w:rsid w:val="0004245C"/>
    <w:rsid w:val="00042E86"/>
    <w:rsid w:val="00043A35"/>
    <w:rsid w:val="00043C38"/>
    <w:rsid w:val="0004459A"/>
    <w:rsid w:val="00044867"/>
    <w:rsid w:val="000455B4"/>
    <w:rsid w:val="0004786D"/>
    <w:rsid w:val="0005043C"/>
    <w:rsid w:val="0005071D"/>
    <w:rsid w:val="0005089D"/>
    <w:rsid w:val="00051FEF"/>
    <w:rsid w:val="00052039"/>
    <w:rsid w:val="0005218B"/>
    <w:rsid w:val="00052816"/>
    <w:rsid w:val="000530AE"/>
    <w:rsid w:val="0005318A"/>
    <w:rsid w:val="00053801"/>
    <w:rsid w:val="00053B04"/>
    <w:rsid w:val="00053E48"/>
    <w:rsid w:val="00053F33"/>
    <w:rsid w:val="000547C0"/>
    <w:rsid w:val="000551BF"/>
    <w:rsid w:val="00055D2E"/>
    <w:rsid w:val="00055D86"/>
    <w:rsid w:val="00056990"/>
    <w:rsid w:val="000603D6"/>
    <w:rsid w:val="00060810"/>
    <w:rsid w:val="00060890"/>
    <w:rsid w:val="00061AB2"/>
    <w:rsid w:val="00062E12"/>
    <w:rsid w:val="000634F7"/>
    <w:rsid w:val="0006372A"/>
    <w:rsid w:val="0006441F"/>
    <w:rsid w:val="00065142"/>
    <w:rsid w:val="00065AD6"/>
    <w:rsid w:val="000661C6"/>
    <w:rsid w:val="000676E1"/>
    <w:rsid w:val="00070A8D"/>
    <w:rsid w:val="00070D28"/>
    <w:rsid w:val="00071569"/>
    <w:rsid w:val="00071773"/>
    <w:rsid w:val="0007208C"/>
    <w:rsid w:val="00073081"/>
    <w:rsid w:val="000735D7"/>
    <w:rsid w:val="00073C5D"/>
    <w:rsid w:val="00074272"/>
    <w:rsid w:val="00075683"/>
    <w:rsid w:val="000756C8"/>
    <w:rsid w:val="00075A73"/>
    <w:rsid w:val="00075B3B"/>
    <w:rsid w:val="00077784"/>
    <w:rsid w:val="000777CE"/>
    <w:rsid w:val="000807B0"/>
    <w:rsid w:val="000807F1"/>
    <w:rsid w:val="00080D08"/>
    <w:rsid w:val="00081BE9"/>
    <w:rsid w:val="000824DC"/>
    <w:rsid w:val="00083F09"/>
    <w:rsid w:val="000841E6"/>
    <w:rsid w:val="00085349"/>
    <w:rsid w:val="00086979"/>
    <w:rsid w:val="000869B9"/>
    <w:rsid w:val="00090249"/>
    <w:rsid w:val="00090FB9"/>
    <w:rsid w:val="00091D33"/>
    <w:rsid w:val="000927D8"/>
    <w:rsid w:val="00092BE9"/>
    <w:rsid w:val="00093771"/>
    <w:rsid w:val="00093B0F"/>
    <w:rsid w:val="000969DE"/>
    <w:rsid w:val="000969F6"/>
    <w:rsid w:val="00096AD2"/>
    <w:rsid w:val="000973C8"/>
    <w:rsid w:val="00097E22"/>
    <w:rsid w:val="000A070F"/>
    <w:rsid w:val="000A09EF"/>
    <w:rsid w:val="000A0A30"/>
    <w:rsid w:val="000A1673"/>
    <w:rsid w:val="000A16FB"/>
    <w:rsid w:val="000A189B"/>
    <w:rsid w:val="000A1E67"/>
    <w:rsid w:val="000A1FA3"/>
    <w:rsid w:val="000A267E"/>
    <w:rsid w:val="000A2D9E"/>
    <w:rsid w:val="000A2E22"/>
    <w:rsid w:val="000A3213"/>
    <w:rsid w:val="000A3469"/>
    <w:rsid w:val="000A375E"/>
    <w:rsid w:val="000A37B6"/>
    <w:rsid w:val="000A4B47"/>
    <w:rsid w:val="000A5088"/>
    <w:rsid w:val="000A50C8"/>
    <w:rsid w:val="000A5B16"/>
    <w:rsid w:val="000A62B6"/>
    <w:rsid w:val="000A6405"/>
    <w:rsid w:val="000A6815"/>
    <w:rsid w:val="000A74C9"/>
    <w:rsid w:val="000B0B01"/>
    <w:rsid w:val="000B1979"/>
    <w:rsid w:val="000B1D9F"/>
    <w:rsid w:val="000B2CFF"/>
    <w:rsid w:val="000B2F01"/>
    <w:rsid w:val="000B2F23"/>
    <w:rsid w:val="000B37B1"/>
    <w:rsid w:val="000B3EDA"/>
    <w:rsid w:val="000B400B"/>
    <w:rsid w:val="000B50DA"/>
    <w:rsid w:val="000B5140"/>
    <w:rsid w:val="000B5C0A"/>
    <w:rsid w:val="000B65EA"/>
    <w:rsid w:val="000C0F9F"/>
    <w:rsid w:val="000C110B"/>
    <w:rsid w:val="000C207A"/>
    <w:rsid w:val="000C2A1C"/>
    <w:rsid w:val="000C2B06"/>
    <w:rsid w:val="000C2BE9"/>
    <w:rsid w:val="000C36A6"/>
    <w:rsid w:val="000C434A"/>
    <w:rsid w:val="000C4C60"/>
    <w:rsid w:val="000C53A0"/>
    <w:rsid w:val="000C64BD"/>
    <w:rsid w:val="000C6935"/>
    <w:rsid w:val="000D0387"/>
    <w:rsid w:val="000D0838"/>
    <w:rsid w:val="000D148B"/>
    <w:rsid w:val="000D1752"/>
    <w:rsid w:val="000D267A"/>
    <w:rsid w:val="000D276E"/>
    <w:rsid w:val="000D28FC"/>
    <w:rsid w:val="000D316F"/>
    <w:rsid w:val="000D51C8"/>
    <w:rsid w:val="000D5306"/>
    <w:rsid w:val="000D5C21"/>
    <w:rsid w:val="000D6B3C"/>
    <w:rsid w:val="000D7CE4"/>
    <w:rsid w:val="000D7E0D"/>
    <w:rsid w:val="000E08FF"/>
    <w:rsid w:val="000E1454"/>
    <w:rsid w:val="000E1A68"/>
    <w:rsid w:val="000E25F1"/>
    <w:rsid w:val="000E4669"/>
    <w:rsid w:val="000E67D6"/>
    <w:rsid w:val="000E74A1"/>
    <w:rsid w:val="000E7632"/>
    <w:rsid w:val="000E79AF"/>
    <w:rsid w:val="000E7FE6"/>
    <w:rsid w:val="000F0561"/>
    <w:rsid w:val="000F06B7"/>
    <w:rsid w:val="000F0FC0"/>
    <w:rsid w:val="000F2C74"/>
    <w:rsid w:val="000F4536"/>
    <w:rsid w:val="000F479D"/>
    <w:rsid w:val="000F54AE"/>
    <w:rsid w:val="000F56A8"/>
    <w:rsid w:val="000F606C"/>
    <w:rsid w:val="000F6820"/>
    <w:rsid w:val="000F6B23"/>
    <w:rsid w:val="000F7A05"/>
    <w:rsid w:val="001000EB"/>
    <w:rsid w:val="00100E6C"/>
    <w:rsid w:val="0010231F"/>
    <w:rsid w:val="00102427"/>
    <w:rsid w:val="001025DF"/>
    <w:rsid w:val="00102F18"/>
    <w:rsid w:val="00102F45"/>
    <w:rsid w:val="001038FF"/>
    <w:rsid w:val="00103C44"/>
    <w:rsid w:val="0010401E"/>
    <w:rsid w:val="001045DF"/>
    <w:rsid w:val="001045E4"/>
    <w:rsid w:val="001056D3"/>
    <w:rsid w:val="00106F3A"/>
    <w:rsid w:val="001070F3"/>
    <w:rsid w:val="0011049F"/>
    <w:rsid w:val="001114FA"/>
    <w:rsid w:val="00111BDF"/>
    <w:rsid w:val="00111D9E"/>
    <w:rsid w:val="00111F0D"/>
    <w:rsid w:val="0011211C"/>
    <w:rsid w:val="00112227"/>
    <w:rsid w:val="00112952"/>
    <w:rsid w:val="00112C53"/>
    <w:rsid w:val="0011311A"/>
    <w:rsid w:val="001143C9"/>
    <w:rsid w:val="001144CD"/>
    <w:rsid w:val="001146BF"/>
    <w:rsid w:val="00114A28"/>
    <w:rsid w:val="001153B8"/>
    <w:rsid w:val="001154C1"/>
    <w:rsid w:val="00115CCE"/>
    <w:rsid w:val="00116A02"/>
    <w:rsid w:val="00121CA6"/>
    <w:rsid w:val="00125811"/>
    <w:rsid w:val="00125C54"/>
    <w:rsid w:val="001260A0"/>
    <w:rsid w:val="0012639C"/>
    <w:rsid w:val="00126F6E"/>
    <w:rsid w:val="00127628"/>
    <w:rsid w:val="00127C49"/>
    <w:rsid w:val="001300EE"/>
    <w:rsid w:val="0013018C"/>
    <w:rsid w:val="00130419"/>
    <w:rsid w:val="00131970"/>
    <w:rsid w:val="00131EE2"/>
    <w:rsid w:val="0013353A"/>
    <w:rsid w:val="00133754"/>
    <w:rsid w:val="00133873"/>
    <w:rsid w:val="00133D07"/>
    <w:rsid w:val="00133E28"/>
    <w:rsid w:val="0013410B"/>
    <w:rsid w:val="001343A3"/>
    <w:rsid w:val="001346C8"/>
    <w:rsid w:val="001347AF"/>
    <w:rsid w:val="00134C18"/>
    <w:rsid w:val="00134CF1"/>
    <w:rsid w:val="00135CC9"/>
    <w:rsid w:val="0013620F"/>
    <w:rsid w:val="00136B49"/>
    <w:rsid w:val="00137738"/>
    <w:rsid w:val="00137F03"/>
    <w:rsid w:val="00140842"/>
    <w:rsid w:val="001415A2"/>
    <w:rsid w:val="00142200"/>
    <w:rsid w:val="00142CDF"/>
    <w:rsid w:val="00143D3E"/>
    <w:rsid w:val="001453EC"/>
    <w:rsid w:val="001457CF"/>
    <w:rsid w:val="00145DD6"/>
    <w:rsid w:val="001460CF"/>
    <w:rsid w:val="00146AC7"/>
    <w:rsid w:val="00146F8B"/>
    <w:rsid w:val="00147162"/>
    <w:rsid w:val="0014721A"/>
    <w:rsid w:val="001504FA"/>
    <w:rsid w:val="001546C5"/>
    <w:rsid w:val="001548AB"/>
    <w:rsid w:val="001549A4"/>
    <w:rsid w:val="00154B2D"/>
    <w:rsid w:val="00154B84"/>
    <w:rsid w:val="00154D39"/>
    <w:rsid w:val="001550EE"/>
    <w:rsid w:val="00155280"/>
    <w:rsid w:val="00155C9D"/>
    <w:rsid w:val="00156B83"/>
    <w:rsid w:val="001570E0"/>
    <w:rsid w:val="00160258"/>
    <w:rsid w:val="001604E8"/>
    <w:rsid w:val="001606AE"/>
    <w:rsid w:val="00160E94"/>
    <w:rsid w:val="001614F2"/>
    <w:rsid w:val="00162844"/>
    <w:rsid w:val="00164496"/>
    <w:rsid w:val="0016501D"/>
    <w:rsid w:val="001661D7"/>
    <w:rsid w:val="00166B22"/>
    <w:rsid w:val="00167CC9"/>
    <w:rsid w:val="00167D66"/>
    <w:rsid w:val="001700F1"/>
    <w:rsid w:val="00170DC9"/>
    <w:rsid w:val="0017191D"/>
    <w:rsid w:val="00171A05"/>
    <w:rsid w:val="00171EAF"/>
    <w:rsid w:val="0017203A"/>
    <w:rsid w:val="00172288"/>
    <w:rsid w:val="00172623"/>
    <w:rsid w:val="001728C0"/>
    <w:rsid w:val="00174464"/>
    <w:rsid w:val="001748F6"/>
    <w:rsid w:val="00174F1D"/>
    <w:rsid w:val="00175338"/>
    <w:rsid w:val="00177463"/>
    <w:rsid w:val="0018008B"/>
    <w:rsid w:val="00181CAA"/>
    <w:rsid w:val="00182005"/>
    <w:rsid w:val="001840A2"/>
    <w:rsid w:val="00184580"/>
    <w:rsid w:val="00184C32"/>
    <w:rsid w:val="00184F11"/>
    <w:rsid w:val="00186735"/>
    <w:rsid w:val="00186942"/>
    <w:rsid w:val="00186E01"/>
    <w:rsid w:val="001876BE"/>
    <w:rsid w:val="00187B98"/>
    <w:rsid w:val="00190396"/>
    <w:rsid w:val="001916E0"/>
    <w:rsid w:val="00191A34"/>
    <w:rsid w:val="00192590"/>
    <w:rsid w:val="00192C17"/>
    <w:rsid w:val="0019326C"/>
    <w:rsid w:val="001942FB"/>
    <w:rsid w:val="0019435E"/>
    <w:rsid w:val="0019525C"/>
    <w:rsid w:val="0019652F"/>
    <w:rsid w:val="001975A0"/>
    <w:rsid w:val="00197B0D"/>
    <w:rsid w:val="001A0233"/>
    <w:rsid w:val="001A199C"/>
    <w:rsid w:val="001A1DC7"/>
    <w:rsid w:val="001A2115"/>
    <w:rsid w:val="001A2ADF"/>
    <w:rsid w:val="001A390A"/>
    <w:rsid w:val="001A4D35"/>
    <w:rsid w:val="001A5590"/>
    <w:rsid w:val="001A59D9"/>
    <w:rsid w:val="001A6ADD"/>
    <w:rsid w:val="001A6F43"/>
    <w:rsid w:val="001A76E5"/>
    <w:rsid w:val="001A7BEE"/>
    <w:rsid w:val="001A7DA0"/>
    <w:rsid w:val="001A7E28"/>
    <w:rsid w:val="001B0F37"/>
    <w:rsid w:val="001B2849"/>
    <w:rsid w:val="001B3037"/>
    <w:rsid w:val="001B30CC"/>
    <w:rsid w:val="001B363C"/>
    <w:rsid w:val="001B4909"/>
    <w:rsid w:val="001B4EB3"/>
    <w:rsid w:val="001B523A"/>
    <w:rsid w:val="001B58DF"/>
    <w:rsid w:val="001B59D9"/>
    <w:rsid w:val="001B7778"/>
    <w:rsid w:val="001C0085"/>
    <w:rsid w:val="001C1368"/>
    <w:rsid w:val="001C2379"/>
    <w:rsid w:val="001C28AE"/>
    <w:rsid w:val="001C2BFC"/>
    <w:rsid w:val="001C31F3"/>
    <w:rsid w:val="001C3D34"/>
    <w:rsid w:val="001C405E"/>
    <w:rsid w:val="001C43DA"/>
    <w:rsid w:val="001C4BDE"/>
    <w:rsid w:val="001C59AD"/>
    <w:rsid w:val="001C5E45"/>
    <w:rsid w:val="001C6E71"/>
    <w:rsid w:val="001C6E9D"/>
    <w:rsid w:val="001C76E2"/>
    <w:rsid w:val="001C7CA1"/>
    <w:rsid w:val="001D004A"/>
    <w:rsid w:val="001D285B"/>
    <w:rsid w:val="001D3568"/>
    <w:rsid w:val="001D35C5"/>
    <w:rsid w:val="001D53E8"/>
    <w:rsid w:val="001D611D"/>
    <w:rsid w:val="001D66EB"/>
    <w:rsid w:val="001D73F8"/>
    <w:rsid w:val="001E08E7"/>
    <w:rsid w:val="001E0C4B"/>
    <w:rsid w:val="001E1255"/>
    <w:rsid w:val="001E1A51"/>
    <w:rsid w:val="001E1F4A"/>
    <w:rsid w:val="001E29CA"/>
    <w:rsid w:val="001E2BC9"/>
    <w:rsid w:val="001E2C11"/>
    <w:rsid w:val="001E3B91"/>
    <w:rsid w:val="001E4B1D"/>
    <w:rsid w:val="001E5D3F"/>
    <w:rsid w:val="001E5E74"/>
    <w:rsid w:val="001E6603"/>
    <w:rsid w:val="001F0498"/>
    <w:rsid w:val="001F05A0"/>
    <w:rsid w:val="001F098B"/>
    <w:rsid w:val="001F0F31"/>
    <w:rsid w:val="001F1848"/>
    <w:rsid w:val="001F2A71"/>
    <w:rsid w:val="001F2FCA"/>
    <w:rsid w:val="001F36FC"/>
    <w:rsid w:val="001F3AE6"/>
    <w:rsid w:val="001F3FCF"/>
    <w:rsid w:val="001F4503"/>
    <w:rsid w:val="001F5480"/>
    <w:rsid w:val="001F5549"/>
    <w:rsid w:val="001F6783"/>
    <w:rsid w:val="001F7264"/>
    <w:rsid w:val="001F797D"/>
    <w:rsid w:val="002015B3"/>
    <w:rsid w:val="00201798"/>
    <w:rsid w:val="002032A1"/>
    <w:rsid w:val="00203337"/>
    <w:rsid w:val="00203810"/>
    <w:rsid w:val="002039A3"/>
    <w:rsid w:val="00203BCC"/>
    <w:rsid w:val="00203C19"/>
    <w:rsid w:val="00203C4E"/>
    <w:rsid w:val="00204FFE"/>
    <w:rsid w:val="002066C1"/>
    <w:rsid w:val="00210131"/>
    <w:rsid w:val="002108B7"/>
    <w:rsid w:val="00210BC9"/>
    <w:rsid w:val="00211893"/>
    <w:rsid w:val="00211E89"/>
    <w:rsid w:val="0021231E"/>
    <w:rsid w:val="002127CF"/>
    <w:rsid w:val="00212BFF"/>
    <w:rsid w:val="002137D3"/>
    <w:rsid w:val="002139C7"/>
    <w:rsid w:val="00213D98"/>
    <w:rsid w:val="00214214"/>
    <w:rsid w:val="00214420"/>
    <w:rsid w:val="002147F0"/>
    <w:rsid w:val="00214F22"/>
    <w:rsid w:val="002152E7"/>
    <w:rsid w:val="0021566D"/>
    <w:rsid w:val="00215989"/>
    <w:rsid w:val="00215D4F"/>
    <w:rsid w:val="00215DA0"/>
    <w:rsid w:val="002165D8"/>
    <w:rsid w:val="002168CB"/>
    <w:rsid w:val="0021770F"/>
    <w:rsid w:val="00217A51"/>
    <w:rsid w:val="00217D87"/>
    <w:rsid w:val="00220004"/>
    <w:rsid w:val="00220C81"/>
    <w:rsid w:val="00221042"/>
    <w:rsid w:val="00221D10"/>
    <w:rsid w:val="00221DA8"/>
    <w:rsid w:val="00221DD0"/>
    <w:rsid w:val="00221E95"/>
    <w:rsid w:val="00223057"/>
    <w:rsid w:val="00223C4A"/>
    <w:rsid w:val="002249AE"/>
    <w:rsid w:val="00224F53"/>
    <w:rsid w:val="002256F6"/>
    <w:rsid w:val="00225773"/>
    <w:rsid w:val="0022596A"/>
    <w:rsid w:val="00225C53"/>
    <w:rsid w:val="00225D3B"/>
    <w:rsid w:val="0022626B"/>
    <w:rsid w:val="002262E5"/>
    <w:rsid w:val="002269A4"/>
    <w:rsid w:val="00226B52"/>
    <w:rsid w:val="00226C48"/>
    <w:rsid w:val="002274CD"/>
    <w:rsid w:val="00227859"/>
    <w:rsid w:val="00227B4E"/>
    <w:rsid w:val="00227C6B"/>
    <w:rsid w:val="00227CBC"/>
    <w:rsid w:val="002308ED"/>
    <w:rsid w:val="00230D58"/>
    <w:rsid w:val="00231276"/>
    <w:rsid w:val="0023176E"/>
    <w:rsid w:val="00231A41"/>
    <w:rsid w:val="00231C5D"/>
    <w:rsid w:val="00232FE2"/>
    <w:rsid w:val="00233297"/>
    <w:rsid w:val="002343FE"/>
    <w:rsid w:val="00234E03"/>
    <w:rsid w:val="00236389"/>
    <w:rsid w:val="00240847"/>
    <w:rsid w:val="002412DA"/>
    <w:rsid w:val="00241E58"/>
    <w:rsid w:val="00242092"/>
    <w:rsid w:val="0024219C"/>
    <w:rsid w:val="0024249A"/>
    <w:rsid w:val="0024279E"/>
    <w:rsid w:val="00243142"/>
    <w:rsid w:val="00243843"/>
    <w:rsid w:val="00243FA8"/>
    <w:rsid w:val="00244B34"/>
    <w:rsid w:val="00244DBD"/>
    <w:rsid w:val="00245252"/>
    <w:rsid w:val="00245B22"/>
    <w:rsid w:val="00246216"/>
    <w:rsid w:val="00246444"/>
    <w:rsid w:val="00247B30"/>
    <w:rsid w:val="00247C33"/>
    <w:rsid w:val="0025032A"/>
    <w:rsid w:val="0025192B"/>
    <w:rsid w:val="00251E07"/>
    <w:rsid w:val="00253F46"/>
    <w:rsid w:val="00254A88"/>
    <w:rsid w:val="002568E0"/>
    <w:rsid w:val="002579A7"/>
    <w:rsid w:val="00260908"/>
    <w:rsid w:val="002626F0"/>
    <w:rsid w:val="00262D20"/>
    <w:rsid w:val="00263329"/>
    <w:rsid w:val="002654F1"/>
    <w:rsid w:val="002664FC"/>
    <w:rsid w:val="002669D4"/>
    <w:rsid w:val="002677D8"/>
    <w:rsid w:val="00267D48"/>
    <w:rsid w:val="0027059F"/>
    <w:rsid w:val="002710CD"/>
    <w:rsid w:val="00271B1D"/>
    <w:rsid w:val="00271B7B"/>
    <w:rsid w:val="00272D22"/>
    <w:rsid w:val="00273012"/>
    <w:rsid w:val="00273064"/>
    <w:rsid w:val="0027306A"/>
    <w:rsid w:val="00273A62"/>
    <w:rsid w:val="0027454D"/>
    <w:rsid w:val="00274822"/>
    <w:rsid w:val="0027618D"/>
    <w:rsid w:val="00276580"/>
    <w:rsid w:val="00276C8F"/>
    <w:rsid w:val="00276D92"/>
    <w:rsid w:val="002773C1"/>
    <w:rsid w:val="00277870"/>
    <w:rsid w:val="00277CFE"/>
    <w:rsid w:val="0028043B"/>
    <w:rsid w:val="002806B1"/>
    <w:rsid w:val="00281233"/>
    <w:rsid w:val="00281E0B"/>
    <w:rsid w:val="00282646"/>
    <w:rsid w:val="00282AB2"/>
    <w:rsid w:val="00282AED"/>
    <w:rsid w:val="00282D64"/>
    <w:rsid w:val="002833DE"/>
    <w:rsid w:val="00283A50"/>
    <w:rsid w:val="00283F12"/>
    <w:rsid w:val="00285928"/>
    <w:rsid w:val="00285E16"/>
    <w:rsid w:val="00286404"/>
    <w:rsid w:val="00286D26"/>
    <w:rsid w:val="002874F0"/>
    <w:rsid w:val="002903C4"/>
    <w:rsid w:val="00291527"/>
    <w:rsid w:val="00292C91"/>
    <w:rsid w:val="00292DB9"/>
    <w:rsid w:val="002932FA"/>
    <w:rsid w:val="00293B76"/>
    <w:rsid w:val="00293C63"/>
    <w:rsid w:val="00293EE2"/>
    <w:rsid w:val="0029532E"/>
    <w:rsid w:val="00295997"/>
    <w:rsid w:val="00296101"/>
    <w:rsid w:val="002962E5"/>
    <w:rsid w:val="00296984"/>
    <w:rsid w:val="002A01DE"/>
    <w:rsid w:val="002A07BA"/>
    <w:rsid w:val="002A128E"/>
    <w:rsid w:val="002A13A5"/>
    <w:rsid w:val="002A18F7"/>
    <w:rsid w:val="002A2408"/>
    <w:rsid w:val="002A2C36"/>
    <w:rsid w:val="002A2C3C"/>
    <w:rsid w:val="002A3606"/>
    <w:rsid w:val="002A3785"/>
    <w:rsid w:val="002A3B6A"/>
    <w:rsid w:val="002A4FE3"/>
    <w:rsid w:val="002A5884"/>
    <w:rsid w:val="002A69EC"/>
    <w:rsid w:val="002A78FF"/>
    <w:rsid w:val="002A7935"/>
    <w:rsid w:val="002A7F06"/>
    <w:rsid w:val="002B083C"/>
    <w:rsid w:val="002B0857"/>
    <w:rsid w:val="002B0B57"/>
    <w:rsid w:val="002B0B86"/>
    <w:rsid w:val="002B0C08"/>
    <w:rsid w:val="002B0E29"/>
    <w:rsid w:val="002B2123"/>
    <w:rsid w:val="002B2AFE"/>
    <w:rsid w:val="002B2E1D"/>
    <w:rsid w:val="002B382F"/>
    <w:rsid w:val="002B43A4"/>
    <w:rsid w:val="002B4E94"/>
    <w:rsid w:val="002B5424"/>
    <w:rsid w:val="002B5D1B"/>
    <w:rsid w:val="002B5D51"/>
    <w:rsid w:val="002B65C7"/>
    <w:rsid w:val="002B6634"/>
    <w:rsid w:val="002B6664"/>
    <w:rsid w:val="002B739C"/>
    <w:rsid w:val="002B78FE"/>
    <w:rsid w:val="002B7A3A"/>
    <w:rsid w:val="002B7EBE"/>
    <w:rsid w:val="002C22C3"/>
    <w:rsid w:val="002C22C5"/>
    <w:rsid w:val="002C44D8"/>
    <w:rsid w:val="002C47A5"/>
    <w:rsid w:val="002C59F8"/>
    <w:rsid w:val="002C6374"/>
    <w:rsid w:val="002C76CE"/>
    <w:rsid w:val="002C7D0E"/>
    <w:rsid w:val="002D13CC"/>
    <w:rsid w:val="002D1D95"/>
    <w:rsid w:val="002D3762"/>
    <w:rsid w:val="002D38D8"/>
    <w:rsid w:val="002D3E37"/>
    <w:rsid w:val="002D4142"/>
    <w:rsid w:val="002D42E3"/>
    <w:rsid w:val="002D47CA"/>
    <w:rsid w:val="002D4953"/>
    <w:rsid w:val="002D5BBA"/>
    <w:rsid w:val="002D5F6E"/>
    <w:rsid w:val="002D67EE"/>
    <w:rsid w:val="002D7770"/>
    <w:rsid w:val="002D7FE7"/>
    <w:rsid w:val="002E1934"/>
    <w:rsid w:val="002E193C"/>
    <w:rsid w:val="002E5AEB"/>
    <w:rsid w:val="002E5C65"/>
    <w:rsid w:val="002E5D1A"/>
    <w:rsid w:val="002E76DB"/>
    <w:rsid w:val="002E79C9"/>
    <w:rsid w:val="002E7D3A"/>
    <w:rsid w:val="002E7D43"/>
    <w:rsid w:val="002E7DC9"/>
    <w:rsid w:val="002F09B7"/>
    <w:rsid w:val="002F0E58"/>
    <w:rsid w:val="002F15A9"/>
    <w:rsid w:val="002F1EE7"/>
    <w:rsid w:val="002F21DC"/>
    <w:rsid w:val="002F2228"/>
    <w:rsid w:val="002F2342"/>
    <w:rsid w:val="002F3A2B"/>
    <w:rsid w:val="002F5011"/>
    <w:rsid w:val="002F58AB"/>
    <w:rsid w:val="002F61F0"/>
    <w:rsid w:val="002F6BB9"/>
    <w:rsid w:val="002F6DD0"/>
    <w:rsid w:val="00301146"/>
    <w:rsid w:val="00301434"/>
    <w:rsid w:val="00301FEB"/>
    <w:rsid w:val="0030230E"/>
    <w:rsid w:val="00302968"/>
    <w:rsid w:val="00303A17"/>
    <w:rsid w:val="00303AE0"/>
    <w:rsid w:val="00303E34"/>
    <w:rsid w:val="00304563"/>
    <w:rsid w:val="0030569A"/>
    <w:rsid w:val="00305AF5"/>
    <w:rsid w:val="00305BEB"/>
    <w:rsid w:val="00306E1B"/>
    <w:rsid w:val="00306E96"/>
    <w:rsid w:val="003071D3"/>
    <w:rsid w:val="003073F8"/>
    <w:rsid w:val="003074B4"/>
    <w:rsid w:val="003107B8"/>
    <w:rsid w:val="00310B40"/>
    <w:rsid w:val="00310E15"/>
    <w:rsid w:val="0031170E"/>
    <w:rsid w:val="003117B5"/>
    <w:rsid w:val="0031258D"/>
    <w:rsid w:val="00312835"/>
    <w:rsid w:val="00313090"/>
    <w:rsid w:val="00313545"/>
    <w:rsid w:val="00313796"/>
    <w:rsid w:val="003145E7"/>
    <w:rsid w:val="0031566F"/>
    <w:rsid w:val="0031598B"/>
    <w:rsid w:val="00315A21"/>
    <w:rsid w:val="0031654D"/>
    <w:rsid w:val="003167B3"/>
    <w:rsid w:val="003201F3"/>
    <w:rsid w:val="00321195"/>
    <w:rsid w:val="00321C3F"/>
    <w:rsid w:val="00321E71"/>
    <w:rsid w:val="00322747"/>
    <w:rsid w:val="00325376"/>
    <w:rsid w:val="003267A1"/>
    <w:rsid w:val="003300C1"/>
    <w:rsid w:val="00330953"/>
    <w:rsid w:val="003313B2"/>
    <w:rsid w:val="003326DC"/>
    <w:rsid w:val="00333550"/>
    <w:rsid w:val="00334285"/>
    <w:rsid w:val="003352A1"/>
    <w:rsid w:val="00335696"/>
    <w:rsid w:val="003359B5"/>
    <w:rsid w:val="00335AEF"/>
    <w:rsid w:val="00337015"/>
    <w:rsid w:val="003370B3"/>
    <w:rsid w:val="00337714"/>
    <w:rsid w:val="0033786F"/>
    <w:rsid w:val="0034069F"/>
    <w:rsid w:val="003422F6"/>
    <w:rsid w:val="00342A7B"/>
    <w:rsid w:val="00342BBF"/>
    <w:rsid w:val="00342EF0"/>
    <w:rsid w:val="00343030"/>
    <w:rsid w:val="003437F5"/>
    <w:rsid w:val="00343A9E"/>
    <w:rsid w:val="00344210"/>
    <w:rsid w:val="003457C3"/>
    <w:rsid w:val="0034580E"/>
    <w:rsid w:val="0034622C"/>
    <w:rsid w:val="003468D0"/>
    <w:rsid w:val="00346A9D"/>
    <w:rsid w:val="00346D5E"/>
    <w:rsid w:val="003478FF"/>
    <w:rsid w:val="003479EB"/>
    <w:rsid w:val="0035004A"/>
    <w:rsid w:val="00350ED2"/>
    <w:rsid w:val="00351334"/>
    <w:rsid w:val="0035320F"/>
    <w:rsid w:val="003534BE"/>
    <w:rsid w:val="00354DB4"/>
    <w:rsid w:val="00355B6E"/>
    <w:rsid w:val="00356B35"/>
    <w:rsid w:val="00356E4B"/>
    <w:rsid w:val="00357750"/>
    <w:rsid w:val="00357B29"/>
    <w:rsid w:val="00357F26"/>
    <w:rsid w:val="0036121B"/>
    <w:rsid w:val="00362147"/>
    <w:rsid w:val="00362678"/>
    <w:rsid w:val="003639F0"/>
    <w:rsid w:val="00363A1C"/>
    <w:rsid w:val="00365795"/>
    <w:rsid w:val="00365835"/>
    <w:rsid w:val="0036583C"/>
    <w:rsid w:val="00365EAC"/>
    <w:rsid w:val="003665E1"/>
    <w:rsid w:val="00366600"/>
    <w:rsid w:val="0036661F"/>
    <w:rsid w:val="003673A7"/>
    <w:rsid w:val="00367CBA"/>
    <w:rsid w:val="00367F04"/>
    <w:rsid w:val="00370880"/>
    <w:rsid w:val="0037149F"/>
    <w:rsid w:val="003719A5"/>
    <w:rsid w:val="00372788"/>
    <w:rsid w:val="00372F63"/>
    <w:rsid w:val="0037346A"/>
    <w:rsid w:val="0037395D"/>
    <w:rsid w:val="00374808"/>
    <w:rsid w:val="00374973"/>
    <w:rsid w:val="003749E3"/>
    <w:rsid w:val="003767A9"/>
    <w:rsid w:val="00380449"/>
    <w:rsid w:val="00380F52"/>
    <w:rsid w:val="00380FEE"/>
    <w:rsid w:val="00382919"/>
    <w:rsid w:val="00383AF3"/>
    <w:rsid w:val="00383B59"/>
    <w:rsid w:val="00384CCB"/>
    <w:rsid w:val="00386345"/>
    <w:rsid w:val="00386EB0"/>
    <w:rsid w:val="003873F5"/>
    <w:rsid w:val="0039037C"/>
    <w:rsid w:val="003905D3"/>
    <w:rsid w:val="003909F6"/>
    <w:rsid w:val="00390AB8"/>
    <w:rsid w:val="00390D24"/>
    <w:rsid w:val="00390D7B"/>
    <w:rsid w:val="00391ED9"/>
    <w:rsid w:val="003939F3"/>
    <w:rsid w:val="00394AC2"/>
    <w:rsid w:val="0039596D"/>
    <w:rsid w:val="00397D93"/>
    <w:rsid w:val="003A09D3"/>
    <w:rsid w:val="003A2B70"/>
    <w:rsid w:val="003A2E9A"/>
    <w:rsid w:val="003A3252"/>
    <w:rsid w:val="003A40E0"/>
    <w:rsid w:val="003A474F"/>
    <w:rsid w:val="003A497C"/>
    <w:rsid w:val="003A54CE"/>
    <w:rsid w:val="003A553E"/>
    <w:rsid w:val="003A6655"/>
    <w:rsid w:val="003A7072"/>
    <w:rsid w:val="003A7398"/>
    <w:rsid w:val="003A7654"/>
    <w:rsid w:val="003B0CD7"/>
    <w:rsid w:val="003B1196"/>
    <w:rsid w:val="003B1817"/>
    <w:rsid w:val="003B1F49"/>
    <w:rsid w:val="003B2026"/>
    <w:rsid w:val="003B2410"/>
    <w:rsid w:val="003B3004"/>
    <w:rsid w:val="003B362D"/>
    <w:rsid w:val="003B3C7E"/>
    <w:rsid w:val="003B5AFB"/>
    <w:rsid w:val="003B65CF"/>
    <w:rsid w:val="003B6E71"/>
    <w:rsid w:val="003B77AB"/>
    <w:rsid w:val="003C014C"/>
    <w:rsid w:val="003C11A3"/>
    <w:rsid w:val="003C18FA"/>
    <w:rsid w:val="003C1CB4"/>
    <w:rsid w:val="003C22CB"/>
    <w:rsid w:val="003C2AC9"/>
    <w:rsid w:val="003C2B46"/>
    <w:rsid w:val="003C48C3"/>
    <w:rsid w:val="003C51FC"/>
    <w:rsid w:val="003C5247"/>
    <w:rsid w:val="003C5350"/>
    <w:rsid w:val="003C5494"/>
    <w:rsid w:val="003C6600"/>
    <w:rsid w:val="003C668F"/>
    <w:rsid w:val="003C6799"/>
    <w:rsid w:val="003C7F6A"/>
    <w:rsid w:val="003D0658"/>
    <w:rsid w:val="003D0ADB"/>
    <w:rsid w:val="003D0D41"/>
    <w:rsid w:val="003D0F91"/>
    <w:rsid w:val="003D1667"/>
    <w:rsid w:val="003D2593"/>
    <w:rsid w:val="003D38F3"/>
    <w:rsid w:val="003D3EFF"/>
    <w:rsid w:val="003D406E"/>
    <w:rsid w:val="003D4BD0"/>
    <w:rsid w:val="003D4E14"/>
    <w:rsid w:val="003D587A"/>
    <w:rsid w:val="003D7932"/>
    <w:rsid w:val="003D7A75"/>
    <w:rsid w:val="003E0955"/>
    <w:rsid w:val="003E0D63"/>
    <w:rsid w:val="003E114B"/>
    <w:rsid w:val="003E2047"/>
    <w:rsid w:val="003E23DA"/>
    <w:rsid w:val="003E31DE"/>
    <w:rsid w:val="003E4A93"/>
    <w:rsid w:val="003E517F"/>
    <w:rsid w:val="003E5477"/>
    <w:rsid w:val="003E557E"/>
    <w:rsid w:val="003E570B"/>
    <w:rsid w:val="003E60B8"/>
    <w:rsid w:val="003E6BD7"/>
    <w:rsid w:val="003E7033"/>
    <w:rsid w:val="003E7133"/>
    <w:rsid w:val="003E75EF"/>
    <w:rsid w:val="003E7F02"/>
    <w:rsid w:val="003F0062"/>
    <w:rsid w:val="003F0CCC"/>
    <w:rsid w:val="003F1ABD"/>
    <w:rsid w:val="003F2191"/>
    <w:rsid w:val="003F2AE6"/>
    <w:rsid w:val="003F2C7A"/>
    <w:rsid w:val="003F3074"/>
    <w:rsid w:val="003F30FC"/>
    <w:rsid w:val="003F3194"/>
    <w:rsid w:val="003F3345"/>
    <w:rsid w:val="003F40D2"/>
    <w:rsid w:val="003F468D"/>
    <w:rsid w:val="003F572B"/>
    <w:rsid w:val="003F617E"/>
    <w:rsid w:val="003F654D"/>
    <w:rsid w:val="003F6762"/>
    <w:rsid w:val="003F794F"/>
    <w:rsid w:val="003F79E7"/>
    <w:rsid w:val="00400548"/>
    <w:rsid w:val="004011AF"/>
    <w:rsid w:val="00403A49"/>
    <w:rsid w:val="004043F4"/>
    <w:rsid w:val="00404DEC"/>
    <w:rsid w:val="0040506A"/>
    <w:rsid w:val="004051B4"/>
    <w:rsid w:val="00405574"/>
    <w:rsid w:val="00405962"/>
    <w:rsid w:val="00406102"/>
    <w:rsid w:val="004068E1"/>
    <w:rsid w:val="00406CD5"/>
    <w:rsid w:val="0041031D"/>
    <w:rsid w:val="0041123A"/>
    <w:rsid w:val="00411F6B"/>
    <w:rsid w:val="00412738"/>
    <w:rsid w:val="00412BD3"/>
    <w:rsid w:val="00412C50"/>
    <w:rsid w:val="0041431B"/>
    <w:rsid w:val="00414951"/>
    <w:rsid w:val="00414CBB"/>
    <w:rsid w:val="00415907"/>
    <w:rsid w:val="00415D27"/>
    <w:rsid w:val="00416346"/>
    <w:rsid w:val="00416D21"/>
    <w:rsid w:val="00416D62"/>
    <w:rsid w:val="00416FAE"/>
    <w:rsid w:val="00416FDC"/>
    <w:rsid w:val="00417465"/>
    <w:rsid w:val="00417BD4"/>
    <w:rsid w:val="00417C93"/>
    <w:rsid w:val="00421776"/>
    <w:rsid w:val="0042185A"/>
    <w:rsid w:val="004218F5"/>
    <w:rsid w:val="00421B8B"/>
    <w:rsid w:val="00422040"/>
    <w:rsid w:val="0042216B"/>
    <w:rsid w:val="00422D9E"/>
    <w:rsid w:val="00423797"/>
    <w:rsid w:val="00424896"/>
    <w:rsid w:val="00425AE3"/>
    <w:rsid w:val="0042629A"/>
    <w:rsid w:val="004262E6"/>
    <w:rsid w:val="00426A57"/>
    <w:rsid w:val="00426CE3"/>
    <w:rsid w:val="004275AE"/>
    <w:rsid w:val="004277D4"/>
    <w:rsid w:val="00430701"/>
    <w:rsid w:val="0043079D"/>
    <w:rsid w:val="00431114"/>
    <w:rsid w:val="0043188B"/>
    <w:rsid w:val="004326C7"/>
    <w:rsid w:val="00432714"/>
    <w:rsid w:val="00432B4A"/>
    <w:rsid w:val="00435879"/>
    <w:rsid w:val="004361A5"/>
    <w:rsid w:val="00436B23"/>
    <w:rsid w:val="00437775"/>
    <w:rsid w:val="00440CCD"/>
    <w:rsid w:val="00441E0C"/>
    <w:rsid w:val="00441FEB"/>
    <w:rsid w:val="004420EA"/>
    <w:rsid w:val="00442443"/>
    <w:rsid w:val="00442A7B"/>
    <w:rsid w:val="00442BDB"/>
    <w:rsid w:val="00442EF5"/>
    <w:rsid w:val="00443261"/>
    <w:rsid w:val="0044367F"/>
    <w:rsid w:val="004437A4"/>
    <w:rsid w:val="00443BFB"/>
    <w:rsid w:val="00444C92"/>
    <w:rsid w:val="00444D94"/>
    <w:rsid w:val="00445788"/>
    <w:rsid w:val="00445CAE"/>
    <w:rsid w:val="00446E7D"/>
    <w:rsid w:val="00446F83"/>
    <w:rsid w:val="00450296"/>
    <w:rsid w:val="00450650"/>
    <w:rsid w:val="00450FF0"/>
    <w:rsid w:val="00451850"/>
    <w:rsid w:val="004536D6"/>
    <w:rsid w:val="00453796"/>
    <w:rsid w:val="004539D6"/>
    <w:rsid w:val="00454CC2"/>
    <w:rsid w:val="004551ED"/>
    <w:rsid w:val="00455329"/>
    <w:rsid w:val="004559CC"/>
    <w:rsid w:val="00455A85"/>
    <w:rsid w:val="00455B14"/>
    <w:rsid w:val="004563C2"/>
    <w:rsid w:val="00456908"/>
    <w:rsid w:val="0045762C"/>
    <w:rsid w:val="004606C0"/>
    <w:rsid w:val="00460B39"/>
    <w:rsid w:val="004619B0"/>
    <w:rsid w:val="004626FE"/>
    <w:rsid w:val="00462AAD"/>
    <w:rsid w:val="00462FE5"/>
    <w:rsid w:val="00463049"/>
    <w:rsid w:val="0046370C"/>
    <w:rsid w:val="004638C0"/>
    <w:rsid w:val="00465DC7"/>
    <w:rsid w:val="0046636F"/>
    <w:rsid w:val="004665EB"/>
    <w:rsid w:val="00467B84"/>
    <w:rsid w:val="004702BF"/>
    <w:rsid w:val="00471635"/>
    <w:rsid w:val="00473606"/>
    <w:rsid w:val="004755BE"/>
    <w:rsid w:val="00475AFC"/>
    <w:rsid w:val="00475D12"/>
    <w:rsid w:val="00475EBE"/>
    <w:rsid w:val="00475F43"/>
    <w:rsid w:val="00476198"/>
    <w:rsid w:val="00476908"/>
    <w:rsid w:val="0047717A"/>
    <w:rsid w:val="00477EF2"/>
    <w:rsid w:val="00480D8D"/>
    <w:rsid w:val="00480FF2"/>
    <w:rsid w:val="00481373"/>
    <w:rsid w:val="004816E3"/>
    <w:rsid w:val="00482515"/>
    <w:rsid w:val="004826C9"/>
    <w:rsid w:val="00483075"/>
    <w:rsid w:val="0048395F"/>
    <w:rsid w:val="00483A9B"/>
    <w:rsid w:val="00484205"/>
    <w:rsid w:val="00484A05"/>
    <w:rsid w:val="00484E0B"/>
    <w:rsid w:val="00485DF4"/>
    <w:rsid w:val="00486193"/>
    <w:rsid w:val="00486665"/>
    <w:rsid w:val="004877B1"/>
    <w:rsid w:val="00490601"/>
    <w:rsid w:val="0049085C"/>
    <w:rsid w:val="00490DFD"/>
    <w:rsid w:val="00490FFA"/>
    <w:rsid w:val="004911C3"/>
    <w:rsid w:val="0049127C"/>
    <w:rsid w:val="004912AB"/>
    <w:rsid w:val="00491FC4"/>
    <w:rsid w:val="0049293E"/>
    <w:rsid w:val="004938C2"/>
    <w:rsid w:val="0049484B"/>
    <w:rsid w:val="0049495B"/>
    <w:rsid w:val="004950A0"/>
    <w:rsid w:val="00495600"/>
    <w:rsid w:val="004A02A1"/>
    <w:rsid w:val="004A02AC"/>
    <w:rsid w:val="004A147C"/>
    <w:rsid w:val="004A1582"/>
    <w:rsid w:val="004A1DAC"/>
    <w:rsid w:val="004A2054"/>
    <w:rsid w:val="004A224F"/>
    <w:rsid w:val="004A24E2"/>
    <w:rsid w:val="004A310D"/>
    <w:rsid w:val="004A398B"/>
    <w:rsid w:val="004A4120"/>
    <w:rsid w:val="004A446B"/>
    <w:rsid w:val="004A44F8"/>
    <w:rsid w:val="004A499F"/>
    <w:rsid w:val="004A4B35"/>
    <w:rsid w:val="004A55C2"/>
    <w:rsid w:val="004A628C"/>
    <w:rsid w:val="004A74AE"/>
    <w:rsid w:val="004A7B08"/>
    <w:rsid w:val="004B017E"/>
    <w:rsid w:val="004B0291"/>
    <w:rsid w:val="004B0567"/>
    <w:rsid w:val="004B1109"/>
    <w:rsid w:val="004B1143"/>
    <w:rsid w:val="004B1331"/>
    <w:rsid w:val="004B1441"/>
    <w:rsid w:val="004B1765"/>
    <w:rsid w:val="004B19AD"/>
    <w:rsid w:val="004B1D2F"/>
    <w:rsid w:val="004B3366"/>
    <w:rsid w:val="004B43DA"/>
    <w:rsid w:val="004B47CC"/>
    <w:rsid w:val="004B4C64"/>
    <w:rsid w:val="004B5729"/>
    <w:rsid w:val="004B5A32"/>
    <w:rsid w:val="004B5AE9"/>
    <w:rsid w:val="004B6A08"/>
    <w:rsid w:val="004B76FF"/>
    <w:rsid w:val="004B7936"/>
    <w:rsid w:val="004B7997"/>
    <w:rsid w:val="004C0361"/>
    <w:rsid w:val="004C2BAE"/>
    <w:rsid w:val="004C3DF6"/>
    <w:rsid w:val="004C5366"/>
    <w:rsid w:val="004C5F53"/>
    <w:rsid w:val="004C6477"/>
    <w:rsid w:val="004C64C1"/>
    <w:rsid w:val="004C6A4F"/>
    <w:rsid w:val="004C6C81"/>
    <w:rsid w:val="004C7442"/>
    <w:rsid w:val="004D0B5A"/>
    <w:rsid w:val="004D1B12"/>
    <w:rsid w:val="004D1B87"/>
    <w:rsid w:val="004D1EF6"/>
    <w:rsid w:val="004D2C4A"/>
    <w:rsid w:val="004D34E7"/>
    <w:rsid w:val="004D3D89"/>
    <w:rsid w:val="004D516E"/>
    <w:rsid w:val="004D5665"/>
    <w:rsid w:val="004D6F00"/>
    <w:rsid w:val="004D7BBB"/>
    <w:rsid w:val="004E00F6"/>
    <w:rsid w:val="004E0306"/>
    <w:rsid w:val="004E0BD1"/>
    <w:rsid w:val="004E161D"/>
    <w:rsid w:val="004E2A09"/>
    <w:rsid w:val="004E2F2E"/>
    <w:rsid w:val="004E415B"/>
    <w:rsid w:val="004E42CB"/>
    <w:rsid w:val="004E4885"/>
    <w:rsid w:val="004E4BCF"/>
    <w:rsid w:val="004E5074"/>
    <w:rsid w:val="004E52F1"/>
    <w:rsid w:val="004E5F2F"/>
    <w:rsid w:val="004E68F8"/>
    <w:rsid w:val="004E6DA6"/>
    <w:rsid w:val="004E723F"/>
    <w:rsid w:val="004E7CB2"/>
    <w:rsid w:val="004F0844"/>
    <w:rsid w:val="004F28D0"/>
    <w:rsid w:val="004F368C"/>
    <w:rsid w:val="004F482F"/>
    <w:rsid w:val="004F53E4"/>
    <w:rsid w:val="004F7552"/>
    <w:rsid w:val="00500063"/>
    <w:rsid w:val="005006A0"/>
    <w:rsid w:val="005009E4"/>
    <w:rsid w:val="00501161"/>
    <w:rsid w:val="00501A82"/>
    <w:rsid w:val="00501AAB"/>
    <w:rsid w:val="0050344B"/>
    <w:rsid w:val="005034E7"/>
    <w:rsid w:val="00503875"/>
    <w:rsid w:val="0050468E"/>
    <w:rsid w:val="005051A5"/>
    <w:rsid w:val="00505717"/>
    <w:rsid w:val="0050605B"/>
    <w:rsid w:val="00506F69"/>
    <w:rsid w:val="00506FD9"/>
    <w:rsid w:val="00507D68"/>
    <w:rsid w:val="00507DBF"/>
    <w:rsid w:val="00510389"/>
    <w:rsid w:val="00510B98"/>
    <w:rsid w:val="00511AA5"/>
    <w:rsid w:val="00513C2E"/>
    <w:rsid w:val="00513C51"/>
    <w:rsid w:val="00513EB0"/>
    <w:rsid w:val="00514BAF"/>
    <w:rsid w:val="00515D77"/>
    <w:rsid w:val="005166B5"/>
    <w:rsid w:val="005179D0"/>
    <w:rsid w:val="005206B6"/>
    <w:rsid w:val="005218D0"/>
    <w:rsid w:val="005218FE"/>
    <w:rsid w:val="00521978"/>
    <w:rsid w:val="00522254"/>
    <w:rsid w:val="0052399C"/>
    <w:rsid w:val="0052425E"/>
    <w:rsid w:val="0052435B"/>
    <w:rsid w:val="00526A40"/>
    <w:rsid w:val="0052784F"/>
    <w:rsid w:val="00530990"/>
    <w:rsid w:val="00531E96"/>
    <w:rsid w:val="00532214"/>
    <w:rsid w:val="00532ED2"/>
    <w:rsid w:val="00532FB4"/>
    <w:rsid w:val="00534579"/>
    <w:rsid w:val="0053486D"/>
    <w:rsid w:val="00534D1E"/>
    <w:rsid w:val="00534EAA"/>
    <w:rsid w:val="00535334"/>
    <w:rsid w:val="0053596C"/>
    <w:rsid w:val="00535CC6"/>
    <w:rsid w:val="00535E38"/>
    <w:rsid w:val="00536AF0"/>
    <w:rsid w:val="00536F49"/>
    <w:rsid w:val="00541C50"/>
    <w:rsid w:val="005422FB"/>
    <w:rsid w:val="005422FF"/>
    <w:rsid w:val="00542E80"/>
    <w:rsid w:val="00544424"/>
    <w:rsid w:val="005453BC"/>
    <w:rsid w:val="005456D5"/>
    <w:rsid w:val="00546EAD"/>
    <w:rsid w:val="00547981"/>
    <w:rsid w:val="00551789"/>
    <w:rsid w:val="00552107"/>
    <w:rsid w:val="005527DC"/>
    <w:rsid w:val="0055290B"/>
    <w:rsid w:val="00553017"/>
    <w:rsid w:val="0055311B"/>
    <w:rsid w:val="00553601"/>
    <w:rsid w:val="00553653"/>
    <w:rsid w:val="00553F3B"/>
    <w:rsid w:val="00553F59"/>
    <w:rsid w:val="00555467"/>
    <w:rsid w:val="0055622A"/>
    <w:rsid w:val="00557C85"/>
    <w:rsid w:val="00557EDA"/>
    <w:rsid w:val="00560E7E"/>
    <w:rsid w:val="00561877"/>
    <w:rsid w:val="005618A0"/>
    <w:rsid w:val="00561A14"/>
    <w:rsid w:val="00562923"/>
    <w:rsid w:val="0056322C"/>
    <w:rsid w:val="00563254"/>
    <w:rsid w:val="0056437A"/>
    <w:rsid w:val="00564E44"/>
    <w:rsid w:val="00564E6A"/>
    <w:rsid w:val="00565107"/>
    <w:rsid w:val="005655EB"/>
    <w:rsid w:val="005658A0"/>
    <w:rsid w:val="005660EA"/>
    <w:rsid w:val="005661BD"/>
    <w:rsid w:val="005669A1"/>
    <w:rsid w:val="00567487"/>
    <w:rsid w:val="0056775D"/>
    <w:rsid w:val="00567DD1"/>
    <w:rsid w:val="005700BE"/>
    <w:rsid w:val="00570FD5"/>
    <w:rsid w:val="005710B9"/>
    <w:rsid w:val="005711A8"/>
    <w:rsid w:val="005714EF"/>
    <w:rsid w:val="00571936"/>
    <w:rsid w:val="00571AB0"/>
    <w:rsid w:val="00572777"/>
    <w:rsid w:val="00573161"/>
    <w:rsid w:val="0057381A"/>
    <w:rsid w:val="00574B37"/>
    <w:rsid w:val="00574D57"/>
    <w:rsid w:val="00574D95"/>
    <w:rsid w:val="00575A22"/>
    <w:rsid w:val="00575B9A"/>
    <w:rsid w:val="00575E40"/>
    <w:rsid w:val="00576483"/>
    <w:rsid w:val="00576543"/>
    <w:rsid w:val="0057692F"/>
    <w:rsid w:val="00576C80"/>
    <w:rsid w:val="0057761F"/>
    <w:rsid w:val="0057780A"/>
    <w:rsid w:val="00580608"/>
    <w:rsid w:val="00580F72"/>
    <w:rsid w:val="00581F23"/>
    <w:rsid w:val="0058295D"/>
    <w:rsid w:val="00583FDB"/>
    <w:rsid w:val="00584E36"/>
    <w:rsid w:val="00584E4C"/>
    <w:rsid w:val="00586B6C"/>
    <w:rsid w:val="00587511"/>
    <w:rsid w:val="0059087D"/>
    <w:rsid w:val="00590FD2"/>
    <w:rsid w:val="005915D7"/>
    <w:rsid w:val="00591B42"/>
    <w:rsid w:val="00591F46"/>
    <w:rsid w:val="00592B1B"/>
    <w:rsid w:val="00592C2E"/>
    <w:rsid w:val="00592FBA"/>
    <w:rsid w:val="005945BC"/>
    <w:rsid w:val="00594609"/>
    <w:rsid w:val="005952C0"/>
    <w:rsid w:val="00595E0B"/>
    <w:rsid w:val="00596161"/>
    <w:rsid w:val="00596AA5"/>
    <w:rsid w:val="005971E1"/>
    <w:rsid w:val="005978C1"/>
    <w:rsid w:val="00597AD7"/>
    <w:rsid w:val="005A0B66"/>
    <w:rsid w:val="005A0DDB"/>
    <w:rsid w:val="005A1993"/>
    <w:rsid w:val="005A395A"/>
    <w:rsid w:val="005A56C8"/>
    <w:rsid w:val="005A5DD6"/>
    <w:rsid w:val="005A660D"/>
    <w:rsid w:val="005A71B1"/>
    <w:rsid w:val="005B01E6"/>
    <w:rsid w:val="005B0694"/>
    <w:rsid w:val="005B139A"/>
    <w:rsid w:val="005B1C64"/>
    <w:rsid w:val="005B21B7"/>
    <w:rsid w:val="005B2476"/>
    <w:rsid w:val="005B2EB3"/>
    <w:rsid w:val="005B3273"/>
    <w:rsid w:val="005B345A"/>
    <w:rsid w:val="005B4114"/>
    <w:rsid w:val="005B4FA6"/>
    <w:rsid w:val="005B5FE9"/>
    <w:rsid w:val="005B66DF"/>
    <w:rsid w:val="005B6AE1"/>
    <w:rsid w:val="005B6BA7"/>
    <w:rsid w:val="005B6BBA"/>
    <w:rsid w:val="005C031A"/>
    <w:rsid w:val="005C047D"/>
    <w:rsid w:val="005C1316"/>
    <w:rsid w:val="005C27FF"/>
    <w:rsid w:val="005C2A5B"/>
    <w:rsid w:val="005C320E"/>
    <w:rsid w:val="005C3DA2"/>
    <w:rsid w:val="005C5A61"/>
    <w:rsid w:val="005C5F14"/>
    <w:rsid w:val="005C661B"/>
    <w:rsid w:val="005C6AFA"/>
    <w:rsid w:val="005C6F50"/>
    <w:rsid w:val="005C71FB"/>
    <w:rsid w:val="005C775C"/>
    <w:rsid w:val="005D0577"/>
    <w:rsid w:val="005D1606"/>
    <w:rsid w:val="005D299E"/>
    <w:rsid w:val="005D2FB8"/>
    <w:rsid w:val="005D42BF"/>
    <w:rsid w:val="005D4690"/>
    <w:rsid w:val="005D4990"/>
    <w:rsid w:val="005D4B94"/>
    <w:rsid w:val="005D4E7B"/>
    <w:rsid w:val="005D5224"/>
    <w:rsid w:val="005D5C0C"/>
    <w:rsid w:val="005D70B8"/>
    <w:rsid w:val="005D77A0"/>
    <w:rsid w:val="005D7B0D"/>
    <w:rsid w:val="005E0B92"/>
    <w:rsid w:val="005E0C84"/>
    <w:rsid w:val="005E2616"/>
    <w:rsid w:val="005E2818"/>
    <w:rsid w:val="005E3164"/>
    <w:rsid w:val="005E3B5F"/>
    <w:rsid w:val="005E3D21"/>
    <w:rsid w:val="005E43ED"/>
    <w:rsid w:val="005E48A9"/>
    <w:rsid w:val="005E53FF"/>
    <w:rsid w:val="005E56E9"/>
    <w:rsid w:val="005E6644"/>
    <w:rsid w:val="005E6D04"/>
    <w:rsid w:val="005E741A"/>
    <w:rsid w:val="005E7B0D"/>
    <w:rsid w:val="005F0019"/>
    <w:rsid w:val="005F044E"/>
    <w:rsid w:val="005F13F4"/>
    <w:rsid w:val="005F16E9"/>
    <w:rsid w:val="005F2ECD"/>
    <w:rsid w:val="005F2FBF"/>
    <w:rsid w:val="005F45EB"/>
    <w:rsid w:val="005F4C80"/>
    <w:rsid w:val="005F5A89"/>
    <w:rsid w:val="005F5C89"/>
    <w:rsid w:val="005F5F6D"/>
    <w:rsid w:val="005F6645"/>
    <w:rsid w:val="005F68DA"/>
    <w:rsid w:val="005F6C07"/>
    <w:rsid w:val="005F7F6C"/>
    <w:rsid w:val="00600290"/>
    <w:rsid w:val="00601AFA"/>
    <w:rsid w:val="00601BE8"/>
    <w:rsid w:val="006036E6"/>
    <w:rsid w:val="006042E8"/>
    <w:rsid w:val="00604768"/>
    <w:rsid w:val="0060480D"/>
    <w:rsid w:val="00604987"/>
    <w:rsid w:val="00604EEB"/>
    <w:rsid w:val="006051E2"/>
    <w:rsid w:val="006059C8"/>
    <w:rsid w:val="0060664C"/>
    <w:rsid w:val="00607145"/>
    <w:rsid w:val="0060737B"/>
    <w:rsid w:val="006102ED"/>
    <w:rsid w:val="00610608"/>
    <w:rsid w:val="00613028"/>
    <w:rsid w:val="00614057"/>
    <w:rsid w:val="006146F6"/>
    <w:rsid w:val="0061474A"/>
    <w:rsid w:val="00614D7E"/>
    <w:rsid w:val="006153C0"/>
    <w:rsid w:val="006158C1"/>
    <w:rsid w:val="00616058"/>
    <w:rsid w:val="00616D79"/>
    <w:rsid w:val="00617568"/>
    <w:rsid w:val="006175F5"/>
    <w:rsid w:val="0061797B"/>
    <w:rsid w:val="00620238"/>
    <w:rsid w:val="00621896"/>
    <w:rsid w:val="00621B2A"/>
    <w:rsid w:val="00621B56"/>
    <w:rsid w:val="00622B7C"/>
    <w:rsid w:val="00622D4E"/>
    <w:rsid w:val="0062333A"/>
    <w:rsid w:val="006238BB"/>
    <w:rsid w:val="0062393B"/>
    <w:rsid w:val="00623F8C"/>
    <w:rsid w:val="0062421B"/>
    <w:rsid w:val="00624AA6"/>
    <w:rsid w:val="00624BB5"/>
    <w:rsid w:val="00624E24"/>
    <w:rsid w:val="00624E33"/>
    <w:rsid w:val="006252AC"/>
    <w:rsid w:val="0062565C"/>
    <w:rsid w:val="006258C2"/>
    <w:rsid w:val="00625A7C"/>
    <w:rsid w:val="006268F5"/>
    <w:rsid w:val="00626D2A"/>
    <w:rsid w:val="006275F2"/>
    <w:rsid w:val="0062799B"/>
    <w:rsid w:val="00630035"/>
    <w:rsid w:val="00630E64"/>
    <w:rsid w:val="00630E80"/>
    <w:rsid w:val="006333CA"/>
    <w:rsid w:val="0063343B"/>
    <w:rsid w:val="006338E2"/>
    <w:rsid w:val="006344E9"/>
    <w:rsid w:val="00634D2A"/>
    <w:rsid w:val="00635704"/>
    <w:rsid w:val="006359CE"/>
    <w:rsid w:val="00635AB3"/>
    <w:rsid w:val="00636260"/>
    <w:rsid w:val="0063711E"/>
    <w:rsid w:val="006371D1"/>
    <w:rsid w:val="006375CD"/>
    <w:rsid w:val="00640C98"/>
    <w:rsid w:val="00641B2E"/>
    <w:rsid w:val="00643DAF"/>
    <w:rsid w:val="00644839"/>
    <w:rsid w:val="006453D6"/>
    <w:rsid w:val="006455CE"/>
    <w:rsid w:val="00645B17"/>
    <w:rsid w:val="00645F2D"/>
    <w:rsid w:val="0064615F"/>
    <w:rsid w:val="00647158"/>
    <w:rsid w:val="006472E8"/>
    <w:rsid w:val="00647450"/>
    <w:rsid w:val="006502EF"/>
    <w:rsid w:val="00650345"/>
    <w:rsid w:val="0065055D"/>
    <w:rsid w:val="00651373"/>
    <w:rsid w:val="00651FAC"/>
    <w:rsid w:val="00652C2F"/>
    <w:rsid w:val="0065396B"/>
    <w:rsid w:val="0065410C"/>
    <w:rsid w:val="00654582"/>
    <w:rsid w:val="006554F3"/>
    <w:rsid w:val="006555AD"/>
    <w:rsid w:val="00656321"/>
    <w:rsid w:val="00656C27"/>
    <w:rsid w:val="006576F2"/>
    <w:rsid w:val="00660265"/>
    <w:rsid w:val="00660310"/>
    <w:rsid w:val="00661E2B"/>
    <w:rsid w:val="006620EA"/>
    <w:rsid w:val="006627E6"/>
    <w:rsid w:val="00662C6D"/>
    <w:rsid w:val="00662C86"/>
    <w:rsid w:val="00663B3C"/>
    <w:rsid w:val="00664267"/>
    <w:rsid w:val="00664536"/>
    <w:rsid w:val="006651CA"/>
    <w:rsid w:val="00665B12"/>
    <w:rsid w:val="00665CC8"/>
    <w:rsid w:val="00667429"/>
    <w:rsid w:val="00667EB8"/>
    <w:rsid w:val="00667FAB"/>
    <w:rsid w:val="00672883"/>
    <w:rsid w:val="00672AF4"/>
    <w:rsid w:val="00672F9C"/>
    <w:rsid w:val="00673DA0"/>
    <w:rsid w:val="00674D1F"/>
    <w:rsid w:val="00674FF1"/>
    <w:rsid w:val="00675B2A"/>
    <w:rsid w:val="00675B33"/>
    <w:rsid w:val="006760E3"/>
    <w:rsid w:val="006762F3"/>
    <w:rsid w:val="00676338"/>
    <w:rsid w:val="0067680A"/>
    <w:rsid w:val="00676DBF"/>
    <w:rsid w:val="00677CFA"/>
    <w:rsid w:val="006806B6"/>
    <w:rsid w:val="00680ABB"/>
    <w:rsid w:val="00680C6E"/>
    <w:rsid w:val="0068115A"/>
    <w:rsid w:val="00681281"/>
    <w:rsid w:val="006814AF"/>
    <w:rsid w:val="0068199B"/>
    <w:rsid w:val="00681FAD"/>
    <w:rsid w:val="0068211E"/>
    <w:rsid w:val="00682608"/>
    <w:rsid w:val="00682624"/>
    <w:rsid w:val="006826C3"/>
    <w:rsid w:val="006838F8"/>
    <w:rsid w:val="00683EF3"/>
    <w:rsid w:val="0068488F"/>
    <w:rsid w:val="00684C4D"/>
    <w:rsid w:val="00685143"/>
    <w:rsid w:val="00685254"/>
    <w:rsid w:val="006856DE"/>
    <w:rsid w:val="006863F7"/>
    <w:rsid w:val="006864E1"/>
    <w:rsid w:val="006866A9"/>
    <w:rsid w:val="00686862"/>
    <w:rsid w:val="006875DD"/>
    <w:rsid w:val="00687984"/>
    <w:rsid w:val="006907E0"/>
    <w:rsid w:val="006909E6"/>
    <w:rsid w:val="00690B1E"/>
    <w:rsid w:val="00690E1F"/>
    <w:rsid w:val="00691C08"/>
    <w:rsid w:val="006922BB"/>
    <w:rsid w:val="00692AF8"/>
    <w:rsid w:val="00692DDA"/>
    <w:rsid w:val="00692DDD"/>
    <w:rsid w:val="00693A57"/>
    <w:rsid w:val="00693BFF"/>
    <w:rsid w:val="00693F1B"/>
    <w:rsid w:val="006944DE"/>
    <w:rsid w:val="00695515"/>
    <w:rsid w:val="00695597"/>
    <w:rsid w:val="006963F4"/>
    <w:rsid w:val="006968A9"/>
    <w:rsid w:val="006A0AC1"/>
    <w:rsid w:val="006A0F05"/>
    <w:rsid w:val="006A17C0"/>
    <w:rsid w:val="006A2793"/>
    <w:rsid w:val="006A2D5D"/>
    <w:rsid w:val="006A310F"/>
    <w:rsid w:val="006A41FF"/>
    <w:rsid w:val="006A5111"/>
    <w:rsid w:val="006A536A"/>
    <w:rsid w:val="006A6439"/>
    <w:rsid w:val="006A6BBB"/>
    <w:rsid w:val="006A733C"/>
    <w:rsid w:val="006A7383"/>
    <w:rsid w:val="006A7845"/>
    <w:rsid w:val="006B0045"/>
    <w:rsid w:val="006B0C69"/>
    <w:rsid w:val="006B1736"/>
    <w:rsid w:val="006B175B"/>
    <w:rsid w:val="006B1E1A"/>
    <w:rsid w:val="006B2842"/>
    <w:rsid w:val="006B28BD"/>
    <w:rsid w:val="006B3048"/>
    <w:rsid w:val="006B3849"/>
    <w:rsid w:val="006B3B93"/>
    <w:rsid w:val="006B477B"/>
    <w:rsid w:val="006B4D3F"/>
    <w:rsid w:val="006B5798"/>
    <w:rsid w:val="006B5913"/>
    <w:rsid w:val="006B5B89"/>
    <w:rsid w:val="006B6648"/>
    <w:rsid w:val="006B6FA3"/>
    <w:rsid w:val="006B7571"/>
    <w:rsid w:val="006B7D35"/>
    <w:rsid w:val="006C03DB"/>
    <w:rsid w:val="006C11CB"/>
    <w:rsid w:val="006C2533"/>
    <w:rsid w:val="006C2693"/>
    <w:rsid w:val="006C2CC4"/>
    <w:rsid w:val="006C2E0C"/>
    <w:rsid w:val="006C323A"/>
    <w:rsid w:val="006C3AD6"/>
    <w:rsid w:val="006C420C"/>
    <w:rsid w:val="006C43EA"/>
    <w:rsid w:val="006C444E"/>
    <w:rsid w:val="006C4560"/>
    <w:rsid w:val="006C4628"/>
    <w:rsid w:val="006C46DB"/>
    <w:rsid w:val="006C520C"/>
    <w:rsid w:val="006C561F"/>
    <w:rsid w:val="006C5D3D"/>
    <w:rsid w:val="006C69E8"/>
    <w:rsid w:val="006C6B5D"/>
    <w:rsid w:val="006C6B68"/>
    <w:rsid w:val="006C7EB1"/>
    <w:rsid w:val="006D05EE"/>
    <w:rsid w:val="006D0854"/>
    <w:rsid w:val="006D2416"/>
    <w:rsid w:val="006D2F1A"/>
    <w:rsid w:val="006D44FD"/>
    <w:rsid w:val="006D4642"/>
    <w:rsid w:val="006D4ABF"/>
    <w:rsid w:val="006D543D"/>
    <w:rsid w:val="006D6CA7"/>
    <w:rsid w:val="006D7D20"/>
    <w:rsid w:val="006E0F0A"/>
    <w:rsid w:val="006E0F63"/>
    <w:rsid w:val="006E1A00"/>
    <w:rsid w:val="006E1B2D"/>
    <w:rsid w:val="006E3801"/>
    <w:rsid w:val="006E3C18"/>
    <w:rsid w:val="006E3D44"/>
    <w:rsid w:val="006E4470"/>
    <w:rsid w:val="006E47EB"/>
    <w:rsid w:val="006E4E66"/>
    <w:rsid w:val="006E5DA7"/>
    <w:rsid w:val="006E6631"/>
    <w:rsid w:val="006E7AE9"/>
    <w:rsid w:val="006E7B0E"/>
    <w:rsid w:val="006F085D"/>
    <w:rsid w:val="006F0C10"/>
    <w:rsid w:val="006F1806"/>
    <w:rsid w:val="006F1980"/>
    <w:rsid w:val="006F1E28"/>
    <w:rsid w:val="006F2156"/>
    <w:rsid w:val="006F2243"/>
    <w:rsid w:val="006F25C7"/>
    <w:rsid w:val="006F2BDB"/>
    <w:rsid w:val="006F36FB"/>
    <w:rsid w:val="006F458D"/>
    <w:rsid w:val="006F53B3"/>
    <w:rsid w:val="006F558B"/>
    <w:rsid w:val="006F595B"/>
    <w:rsid w:val="006F6D8C"/>
    <w:rsid w:val="006F6E01"/>
    <w:rsid w:val="006F7699"/>
    <w:rsid w:val="0070079B"/>
    <w:rsid w:val="0070251C"/>
    <w:rsid w:val="00702AAE"/>
    <w:rsid w:val="00702CBB"/>
    <w:rsid w:val="00703759"/>
    <w:rsid w:val="0070447D"/>
    <w:rsid w:val="0070469A"/>
    <w:rsid w:val="007047A3"/>
    <w:rsid w:val="00704B26"/>
    <w:rsid w:val="00704B5C"/>
    <w:rsid w:val="00704D88"/>
    <w:rsid w:val="0070535B"/>
    <w:rsid w:val="007068BE"/>
    <w:rsid w:val="00706D54"/>
    <w:rsid w:val="00707062"/>
    <w:rsid w:val="00707953"/>
    <w:rsid w:val="00711356"/>
    <w:rsid w:val="007113AE"/>
    <w:rsid w:val="00711A87"/>
    <w:rsid w:val="00711C4E"/>
    <w:rsid w:val="00711D9D"/>
    <w:rsid w:val="00712BE5"/>
    <w:rsid w:val="00712F24"/>
    <w:rsid w:val="00713BE6"/>
    <w:rsid w:val="00713CFC"/>
    <w:rsid w:val="007162B3"/>
    <w:rsid w:val="00716A2E"/>
    <w:rsid w:val="00716DE5"/>
    <w:rsid w:val="00716E29"/>
    <w:rsid w:val="0071739B"/>
    <w:rsid w:val="00717795"/>
    <w:rsid w:val="007179E0"/>
    <w:rsid w:val="007206C8"/>
    <w:rsid w:val="0072077C"/>
    <w:rsid w:val="0072128B"/>
    <w:rsid w:val="00721892"/>
    <w:rsid w:val="00722A40"/>
    <w:rsid w:val="00723EF5"/>
    <w:rsid w:val="00724896"/>
    <w:rsid w:val="00724DDD"/>
    <w:rsid w:val="007253EE"/>
    <w:rsid w:val="007256AB"/>
    <w:rsid w:val="00725770"/>
    <w:rsid w:val="0072618E"/>
    <w:rsid w:val="0072635D"/>
    <w:rsid w:val="007264D8"/>
    <w:rsid w:val="00726CC7"/>
    <w:rsid w:val="00727C30"/>
    <w:rsid w:val="007302B1"/>
    <w:rsid w:val="00730539"/>
    <w:rsid w:val="00733117"/>
    <w:rsid w:val="00733BA5"/>
    <w:rsid w:val="00733ECC"/>
    <w:rsid w:val="00733FBA"/>
    <w:rsid w:val="007342C1"/>
    <w:rsid w:val="00734574"/>
    <w:rsid w:val="00735373"/>
    <w:rsid w:val="00737253"/>
    <w:rsid w:val="007407FA"/>
    <w:rsid w:val="007408B1"/>
    <w:rsid w:val="00740CD2"/>
    <w:rsid w:val="00741214"/>
    <w:rsid w:val="00741B22"/>
    <w:rsid w:val="00741C47"/>
    <w:rsid w:val="00742836"/>
    <w:rsid w:val="00742C69"/>
    <w:rsid w:val="0074326B"/>
    <w:rsid w:val="007463D7"/>
    <w:rsid w:val="00746CE2"/>
    <w:rsid w:val="007476A3"/>
    <w:rsid w:val="0074776B"/>
    <w:rsid w:val="00747B69"/>
    <w:rsid w:val="00751660"/>
    <w:rsid w:val="00752126"/>
    <w:rsid w:val="0075236E"/>
    <w:rsid w:val="00752770"/>
    <w:rsid w:val="00752A95"/>
    <w:rsid w:val="00753DF9"/>
    <w:rsid w:val="0075412B"/>
    <w:rsid w:val="00754B3A"/>
    <w:rsid w:val="00754C5F"/>
    <w:rsid w:val="00754EE9"/>
    <w:rsid w:val="007552BC"/>
    <w:rsid w:val="0075618B"/>
    <w:rsid w:val="00756A43"/>
    <w:rsid w:val="0075724A"/>
    <w:rsid w:val="00757883"/>
    <w:rsid w:val="00757DE4"/>
    <w:rsid w:val="00757DFB"/>
    <w:rsid w:val="00761065"/>
    <w:rsid w:val="00762560"/>
    <w:rsid w:val="0076261C"/>
    <w:rsid w:val="00762875"/>
    <w:rsid w:val="0076338F"/>
    <w:rsid w:val="00763CC1"/>
    <w:rsid w:val="00763D84"/>
    <w:rsid w:val="007659E5"/>
    <w:rsid w:val="00766C1E"/>
    <w:rsid w:val="00766FF1"/>
    <w:rsid w:val="00767771"/>
    <w:rsid w:val="00770087"/>
    <w:rsid w:val="00770A1F"/>
    <w:rsid w:val="0077157B"/>
    <w:rsid w:val="00772205"/>
    <w:rsid w:val="007722C4"/>
    <w:rsid w:val="0077261D"/>
    <w:rsid w:val="00773046"/>
    <w:rsid w:val="00773224"/>
    <w:rsid w:val="00774B2D"/>
    <w:rsid w:val="00774E60"/>
    <w:rsid w:val="007755FE"/>
    <w:rsid w:val="00776335"/>
    <w:rsid w:val="007764BC"/>
    <w:rsid w:val="0077785F"/>
    <w:rsid w:val="00777CCF"/>
    <w:rsid w:val="00777DA6"/>
    <w:rsid w:val="00777FF4"/>
    <w:rsid w:val="00780B43"/>
    <w:rsid w:val="007811A3"/>
    <w:rsid w:val="007816A6"/>
    <w:rsid w:val="007819E5"/>
    <w:rsid w:val="00781A9E"/>
    <w:rsid w:val="00782751"/>
    <w:rsid w:val="007847B5"/>
    <w:rsid w:val="00784A07"/>
    <w:rsid w:val="0078612D"/>
    <w:rsid w:val="00787C4A"/>
    <w:rsid w:val="007902FE"/>
    <w:rsid w:val="007920C2"/>
    <w:rsid w:val="00793171"/>
    <w:rsid w:val="00793500"/>
    <w:rsid w:val="007936FD"/>
    <w:rsid w:val="007940DA"/>
    <w:rsid w:val="007944C4"/>
    <w:rsid w:val="00794A1E"/>
    <w:rsid w:val="00794D3E"/>
    <w:rsid w:val="007A1167"/>
    <w:rsid w:val="007A1A5B"/>
    <w:rsid w:val="007A2468"/>
    <w:rsid w:val="007A269A"/>
    <w:rsid w:val="007A276F"/>
    <w:rsid w:val="007A2879"/>
    <w:rsid w:val="007A29CE"/>
    <w:rsid w:val="007A30E4"/>
    <w:rsid w:val="007A3589"/>
    <w:rsid w:val="007A385F"/>
    <w:rsid w:val="007A3C55"/>
    <w:rsid w:val="007A4825"/>
    <w:rsid w:val="007A4C60"/>
    <w:rsid w:val="007A6380"/>
    <w:rsid w:val="007A63AB"/>
    <w:rsid w:val="007A6BF0"/>
    <w:rsid w:val="007B11A8"/>
    <w:rsid w:val="007B18AF"/>
    <w:rsid w:val="007B24C4"/>
    <w:rsid w:val="007B3D78"/>
    <w:rsid w:val="007B401F"/>
    <w:rsid w:val="007B466E"/>
    <w:rsid w:val="007B4A4C"/>
    <w:rsid w:val="007B4DA8"/>
    <w:rsid w:val="007B6FB1"/>
    <w:rsid w:val="007B7182"/>
    <w:rsid w:val="007C00DB"/>
    <w:rsid w:val="007C0E9F"/>
    <w:rsid w:val="007C148D"/>
    <w:rsid w:val="007C1913"/>
    <w:rsid w:val="007C23B9"/>
    <w:rsid w:val="007C2A6A"/>
    <w:rsid w:val="007C2F75"/>
    <w:rsid w:val="007C314E"/>
    <w:rsid w:val="007C31EB"/>
    <w:rsid w:val="007C3C1F"/>
    <w:rsid w:val="007C3FEB"/>
    <w:rsid w:val="007C41AB"/>
    <w:rsid w:val="007C4244"/>
    <w:rsid w:val="007C4840"/>
    <w:rsid w:val="007C512B"/>
    <w:rsid w:val="007C5DD5"/>
    <w:rsid w:val="007C6444"/>
    <w:rsid w:val="007C64B1"/>
    <w:rsid w:val="007C6AD8"/>
    <w:rsid w:val="007C6AFF"/>
    <w:rsid w:val="007C6E1F"/>
    <w:rsid w:val="007C6E70"/>
    <w:rsid w:val="007C6F4A"/>
    <w:rsid w:val="007C7F74"/>
    <w:rsid w:val="007D0F75"/>
    <w:rsid w:val="007D0FE5"/>
    <w:rsid w:val="007D1383"/>
    <w:rsid w:val="007D3733"/>
    <w:rsid w:val="007D5214"/>
    <w:rsid w:val="007D5525"/>
    <w:rsid w:val="007D630D"/>
    <w:rsid w:val="007D7041"/>
    <w:rsid w:val="007D7C74"/>
    <w:rsid w:val="007E0392"/>
    <w:rsid w:val="007E1835"/>
    <w:rsid w:val="007E1E52"/>
    <w:rsid w:val="007E2C51"/>
    <w:rsid w:val="007E3294"/>
    <w:rsid w:val="007E42EF"/>
    <w:rsid w:val="007E444F"/>
    <w:rsid w:val="007E4DFA"/>
    <w:rsid w:val="007E5EC9"/>
    <w:rsid w:val="007E637E"/>
    <w:rsid w:val="007E7005"/>
    <w:rsid w:val="007E739A"/>
    <w:rsid w:val="007E75EF"/>
    <w:rsid w:val="007E781C"/>
    <w:rsid w:val="007F0604"/>
    <w:rsid w:val="007F087C"/>
    <w:rsid w:val="007F0C90"/>
    <w:rsid w:val="007F13B4"/>
    <w:rsid w:val="007F18AE"/>
    <w:rsid w:val="007F1FB7"/>
    <w:rsid w:val="007F2100"/>
    <w:rsid w:val="007F4C07"/>
    <w:rsid w:val="007F5605"/>
    <w:rsid w:val="007F657F"/>
    <w:rsid w:val="007F718D"/>
    <w:rsid w:val="00800417"/>
    <w:rsid w:val="008029FF"/>
    <w:rsid w:val="00802E61"/>
    <w:rsid w:val="008041B2"/>
    <w:rsid w:val="00804F40"/>
    <w:rsid w:val="008052D6"/>
    <w:rsid w:val="008059FF"/>
    <w:rsid w:val="00805EDF"/>
    <w:rsid w:val="008067EF"/>
    <w:rsid w:val="0080707F"/>
    <w:rsid w:val="00807A76"/>
    <w:rsid w:val="008101C0"/>
    <w:rsid w:val="00810A63"/>
    <w:rsid w:val="00810D78"/>
    <w:rsid w:val="008111B1"/>
    <w:rsid w:val="0081297A"/>
    <w:rsid w:val="00812C1F"/>
    <w:rsid w:val="00813E47"/>
    <w:rsid w:val="00814043"/>
    <w:rsid w:val="0081415F"/>
    <w:rsid w:val="00814249"/>
    <w:rsid w:val="008148E4"/>
    <w:rsid w:val="00814B39"/>
    <w:rsid w:val="008152E5"/>
    <w:rsid w:val="00815EFA"/>
    <w:rsid w:val="00815F22"/>
    <w:rsid w:val="008166CA"/>
    <w:rsid w:val="0081716F"/>
    <w:rsid w:val="008172C9"/>
    <w:rsid w:val="00820217"/>
    <w:rsid w:val="008202B0"/>
    <w:rsid w:val="0082041E"/>
    <w:rsid w:val="00821C41"/>
    <w:rsid w:val="00823312"/>
    <w:rsid w:val="00823840"/>
    <w:rsid w:val="0082452C"/>
    <w:rsid w:val="00824551"/>
    <w:rsid w:val="00824ABE"/>
    <w:rsid w:val="00824C28"/>
    <w:rsid w:val="00825233"/>
    <w:rsid w:val="00825686"/>
    <w:rsid w:val="00830422"/>
    <w:rsid w:val="00832016"/>
    <w:rsid w:val="00832489"/>
    <w:rsid w:val="008327BD"/>
    <w:rsid w:val="00832EAC"/>
    <w:rsid w:val="008340EC"/>
    <w:rsid w:val="00837235"/>
    <w:rsid w:val="0084170A"/>
    <w:rsid w:val="00841B2D"/>
    <w:rsid w:val="0084354F"/>
    <w:rsid w:val="00844CF9"/>
    <w:rsid w:val="00845573"/>
    <w:rsid w:val="008455D8"/>
    <w:rsid w:val="00845BFE"/>
    <w:rsid w:val="00847148"/>
    <w:rsid w:val="0084756B"/>
    <w:rsid w:val="00847B3B"/>
    <w:rsid w:val="00847CC4"/>
    <w:rsid w:val="008509F7"/>
    <w:rsid w:val="00851474"/>
    <w:rsid w:val="0085174A"/>
    <w:rsid w:val="008518EC"/>
    <w:rsid w:val="00851C7A"/>
    <w:rsid w:val="00851CA1"/>
    <w:rsid w:val="00852EF5"/>
    <w:rsid w:val="00852FA0"/>
    <w:rsid w:val="00853856"/>
    <w:rsid w:val="008539F1"/>
    <w:rsid w:val="00853E91"/>
    <w:rsid w:val="0085426B"/>
    <w:rsid w:val="008550B4"/>
    <w:rsid w:val="00855BEA"/>
    <w:rsid w:val="00857C14"/>
    <w:rsid w:val="008606DC"/>
    <w:rsid w:val="0086391F"/>
    <w:rsid w:val="00863C46"/>
    <w:rsid w:val="008660F8"/>
    <w:rsid w:val="00866169"/>
    <w:rsid w:val="008674B6"/>
    <w:rsid w:val="0087044F"/>
    <w:rsid w:val="00871A67"/>
    <w:rsid w:val="00871C15"/>
    <w:rsid w:val="00872072"/>
    <w:rsid w:val="0087283C"/>
    <w:rsid w:val="00872A21"/>
    <w:rsid w:val="00873464"/>
    <w:rsid w:val="008739A7"/>
    <w:rsid w:val="008749AF"/>
    <w:rsid w:val="008750B2"/>
    <w:rsid w:val="00875140"/>
    <w:rsid w:val="00875544"/>
    <w:rsid w:val="008758CC"/>
    <w:rsid w:val="00875982"/>
    <w:rsid w:val="00876AA7"/>
    <w:rsid w:val="008772B0"/>
    <w:rsid w:val="00877523"/>
    <w:rsid w:val="008805D2"/>
    <w:rsid w:val="00880D96"/>
    <w:rsid w:val="008811B0"/>
    <w:rsid w:val="008811FB"/>
    <w:rsid w:val="00881965"/>
    <w:rsid w:val="008822AC"/>
    <w:rsid w:val="008838C9"/>
    <w:rsid w:val="008845A7"/>
    <w:rsid w:val="008856C0"/>
    <w:rsid w:val="008860C8"/>
    <w:rsid w:val="008864A2"/>
    <w:rsid w:val="00886B2A"/>
    <w:rsid w:val="00887211"/>
    <w:rsid w:val="00887403"/>
    <w:rsid w:val="00887686"/>
    <w:rsid w:val="00887D04"/>
    <w:rsid w:val="0089059A"/>
    <w:rsid w:val="00891039"/>
    <w:rsid w:val="00891092"/>
    <w:rsid w:val="00891934"/>
    <w:rsid w:val="00891BF7"/>
    <w:rsid w:val="0089269B"/>
    <w:rsid w:val="008926CA"/>
    <w:rsid w:val="008931D2"/>
    <w:rsid w:val="008932FC"/>
    <w:rsid w:val="0089343A"/>
    <w:rsid w:val="00894A3A"/>
    <w:rsid w:val="00896B1C"/>
    <w:rsid w:val="008A0E14"/>
    <w:rsid w:val="008A0F1A"/>
    <w:rsid w:val="008A1208"/>
    <w:rsid w:val="008A1781"/>
    <w:rsid w:val="008A3697"/>
    <w:rsid w:val="008A3F0A"/>
    <w:rsid w:val="008A41BC"/>
    <w:rsid w:val="008A45E5"/>
    <w:rsid w:val="008A4C1E"/>
    <w:rsid w:val="008A4E8B"/>
    <w:rsid w:val="008A586A"/>
    <w:rsid w:val="008A5DC4"/>
    <w:rsid w:val="008A64D8"/>
    <w:rsid w:val="008A7220"/>
    <w:rsid w:val="008A7FB1"/>
    <w:rsid w:val="008B064F"/>
    <w:rsid w:val="008B14F4"/>
    <w:rsid w:val="008B18F3"/>
    <w:rsid w:val="008B23F3"/>
    <w:rsid w:val="008B2CCA"/>
    <w:rsid w:val="008B4983"/>
    <w:rsid w:val="008B4CFE"/>
    <w:rsid w:val="008B4D8A"/>
    <w:rsid w:val="008B5D13"/>
    <w:rsid w:val="008B62BF"/>
    <w:rsid w:val="008B6D1F"/>
    <w:rsid w:val="008B7664"/>
    <w:rsid w:val="008B76E0"/>
    <w:rsid w:val="008C0C78"/>
    <w:rsid w:val="008C0D6C"/>
    <w:rsid w:val="008C18AF"/>
    <w:rsid w:val="008C286D"/>
    <w:rsid w:val="008C2996"/>
    <w:rsid w:val="008C2F78"/>
    <w:rsid w:val="008C3165"/>
    <w:rsid w:val="008C3585"/>
    <w:rsid w:val="008C3587"/>
    <w:rsid w:val="008C396F"/>
    <w:rsid w:val="008C4BAE"/>
    <w:rsid w:val="008C4BFA"/>
    <w:rsid w:val="008C4D6C"/>
    <w:rsid w:val="008C5244"/>
    <w:rsid w:val="008C581F"/>
    <w:rsid w:val="008C6485"/>
    <w:rsid w:val="008C6D3E"/>
    <w:rsid w:val="008C71ED"/>
    <w:rsid w:val="008D061B"/>
    <w:rsid w:val="008D20EA"/>
    <w:rsid w:val="008D253A"/>
    <w:rsid w:val="008D275F"/>
    <w:rsid w:val="008D29CB"/>
    <w:rsid w:val="008D3283"/>
    <w:rsid w:val="008D35D7"/>
    <w:rsid w:val="008D3E70"/>
    <w:rsid w:val="008D4961"/>
    <w:rsid w:val="008D4DBC"/>
    <w:rsid w:val="008D5C5E"/>
    <w:rsid w:val="008D79D3"/>
    <w:rsid w:val="008D7D59"/>
    <w:rsid w:val="008E181C"/>
    <w:rsid w:val="008E24C8"/>
    <w:rsid w:val="008E3116"/>
    <w:rsid w:val="008E372A"/>
    <w:rsid w:val="008E3D43"/>
    <w:rsid w:val="008E40C9"/>
    <w:rsid w:val="008E47BA"/>
    <w:rsid w:val="008E49FC"/>
    <w:rsid w:val="008E594E"/>
    <w:rsid w:val="008E6467"/>
    <w:rsid w:val="008E67E8"/>
    <w:rsid w:val="008E728A"/>
    <w:rsid w:val="008E766E"/>
    <w:rsid w:val="008F0C64"/>
    <w:rsid w:val="008F23E2"/>
    <w:rsid w:val="008F2950"/>
    <w:rsid w:val="008F2AE9"/>
    <w:rsid w:val="008F2B0E"/>
    <w:rsid w:val="008F31B2"/>
    <w:rsid w:val="008F3453"/>
    <w:rsid w:val="008F36E8"/>
    <w:rsid w:val="008F44E1"/>
    <w:rsid w:val="008F48F6"/>
    <w:rsid w:val="008F548F"/>
    <w:rsid w:val="008F55F0"/>
    <w:rsid w:val="008F5E0A"/>
    <w:rsid w:val="008F5E16"/>
    <w:rsid w:val="008F5E98"/>
    <w:rsid w:val="008F6711"/>
    <w:rsid w:val="008F6A70"/>
    <w:rsid w:val="009011D1"/>
    <w:rsid w:val="009014D9"/>
    <w:rsid w:val="00901B8B"/>
    <w:rsid w:val="00901D37"/>
    <w:rsid w:val="00902143"/>
    <w:rsid w:val="009030E6"/>
    <w:rsid w:val="0090347B"/>
    <w:rsid w:val="00903C1D"/>
    <w:rsid w:val="00904B39"/>
    <w:rsid w:val="009052DA"/>
    <w:rsid w:val="0090675D"/>
    <w:rsid w:val="00906C3B"/>
    <w:rsid w:val="009078A3"/>
    <w:rsid w:val="009100FD"/>
    <w:rsid w:val="0091025F"/>
    <w:rsid w:val="009113D5"/>
    <w:rsid w:val="009116E2"/>
    <w:rsid w:val="009117ED"/>
    <w:rsid w:val="00911EF8"/>
    <w:rsid w:val="009121BD"/>
    <w:rsid w:val="00912326"/>
    <w:rsid w:val="00913559"/>
    <w:rsid w:val="00913982"/>
    <w:rsid w:val="00913AAD"/>
    <w:rsid w:val="0091484D"/>
    <w:rsid w:val="00914916"/>
    <w:rsid w:val="00915C73"/>
    <w:rsid w:val="00915C9E"/>
    <w:rsid w:val="00916023"/>
    <w:rsid w:val="00916CDD"/>
    <w:rsid w:val="00916D68"/>
    <w:rsid w:val="009200FE"/>
    <w:rsid w:val="0092184A"/>
    <w:rsid w:val="00922B5E"/>
    <w:rsid w:val="00922F8F"/>
    <w:rsid w:val="00923A43"/>
    <w:rsid w:val="00923BF7"/>
    <w:rsid w:val="00923EBE"/>
    <w:rsid w:val="00924B09"/>
    <w:rsid w:val="00925EC4"/>
    <w:rsid w:val="0092631C"/>
    <w:rsid w:val="009263DC"/>
    <w:rsid w:val="009266CA"/>
    <w:rsid w:val="00927295"/>
    <w:rsid w:val="00927480"/>
    <w:rsid w:val="00927FED"/>
    <w:rsid w:val="00930C57"/>
    <w:rsid w:val="00932473"/>
    <w:rsid w:val="0093276F"/>
    <w:rsid w:val="009329D9"/>
    <w:rsid w:val="00932C27"/>
    <w:rsid w:val="00932E70"/>
    <w:rsid w:val="00932EC0"/>
    <w:rsid w:val="00933943"/>
    <w:rsid w:val="00935CBF"/>
    <w:rsid w:val="00936BC6"/>
    <w:rsid w:val="009371B7"/>
    <w:rsid w:val="009375CB"/>
    <w:rsid w:val="0094122B"/>
    <w:rsid w:val="00941841"/>
    <w:rsid w:val="00941A7C"/>
    <w:rsid w:val="00942877"/>
    <w:rsid w:val="00943433"/>
    <w:rsid w:val="009436AA"/>
    <w:rsid w:val="00944150"/>
    <w:rsid w:val="00944695"/>
    <w:rsid w:val="009447D2"/>
    <w:rsid w:val="00944D40"/>
    <w:rsid w:val="00945DD6"/>
    <w:rsid w:val="00945F4A"/>
    <w:rsid w:val="009469EF"/>
    <w:rsid w:val="00946C02"/>
    <w:rsid w:val="00946C34"/>
    <w:rsid w:val="00947C58"/>
    <w:rsid w:val="00952269"/>
    <w:rsid w:val="00953AB6"/>
    <w:rsid w:val="00954807"/>
    <w:rsid w:val="0095556C"/>
    <w:rsid w:val="0095579D"/>
    <w:rsid w:val="00957985"/>
    <w:rsid w:val="00957B19"/>
    <w:rsid w:val="00960772"/>
    <w:rsid w:val="00960ACC"/>
    <w:rsid w:val="00960D33"/>
    <w:rsid w:val="0096122A"/>
    <w:rsid w:val="009613BB"/>
    <w:rsid w:val="00961EA4"/>
    <w:rsid w:val="00962CFC"/>
    <w:rsid w:val="00962F79"/>
    <w:rsid w:val="0096372A"/>
    <w:rsid w:val="0096396D"/>
    <w:rsid w:val="00963AE6"/>
    <w:rsid w:val="00963CFA"/>
    <w:rsid w:val="00963DF4"/>
    <w:rsid w:val="00964011"/>
    <w:rsid w:val="0096429E"/>
    <w:rsid w:val="00965C2C"/>
    <w:rsid w:val="00966497"/>
    <w:rsid w:val="00966F31"/>
    <w:rsid w:val="00966F77"/>
    <w:rsid w:val="0096726E"/>
    <w:rsid w:val="00967E81"/>
    <w:rsid w:val="00970667"/>
    <w:rsid w:val="00970B2A"/>
    <w:rsid w:val="00970FB7"/>
    <w:rsid w:val="00971060"/>
    <w:rsid w:val="009724A2"/>
    <w:rsid w:val="00973587"/>
    <w:rsid w:val="00973C3C"/>
    <w:rsid w:val="00973EE1"/>
    <w:rsid w:val="00974066"/>
    <w:rsid w:val="00974CCF"/>
    <w:rsid w:val="00974F0C"/>
    <w:rsid w:val="0097669E"/>
    <w:rsid w:val="00976CBC"/>
    <w:rsid w:val="00976F27"/>
    <w:rsid w:val="00977545"/>
    <w:rsid w:val="00977A7B"/>
    <w:rsid w:val="00977B5D"/>
    <w:rsid w:val="00977BD7"/>
    <w:rsid w:val="00980954"/>
    <w:rsid w:val="00980B0F"/>
    <w:rsid w:val="00980FB4"/>
    <w:rsid w:val="009815C2"/>
    <w:rsid w:val="009816FA"/>
    <w:rsid w:val="00981F66"/>
    <w:rsid w:val="009820BA"/>
    <w:rsid w:val="00982790"/>
    <w:rsid w:val="00982DF4"/>
    <w:rsid w:val="009839E6"/>
    <w:rsid w:val="00983B62"/>
    <w:rsid w:val="00983C1B"/>
    <w:rsid w:val="00983C6B"/>
    <w:rsid w:val="0098406F"/>
    <w:rsid w:val="0098489D"/>
    <w:rsid w:val="009851B5"/>
    <w:rsid w:val="009858C8"/>
    <w:rsid w:val="009867AF"/>
    <w:rsid w:val="00986969"/>
    <w:rsid w:val="00986CBC"/>
    <w:rsid w:val="009875C0"/>
    <w:rsid w:val="009877E2"/>
    <w:rsid w:val="009920FF"/>
    <w:rsid w:val="00993568"/>
    <w:rsid w:val="009937F9"/>
    <w:rsid w:val="00993A7D"/>
    <w:rsid w:val="009943A8"/>
    <w:rsid w:val="009963C4"/>
    <w:rsid w:val="009967E5"/>
    <w:rsid w:val="00996F83"/>
    <w:rsid w:val="009A003D"/>
    <w:rsid w:val="009A00FC"/>
    <w:rsid w:val="009A1B42"/>
    <w:rsid w:val="009A2E82"/>
    <w:rsid w:val="009A2F5D"/>
    <w:rsid w:val="009A59C8"/>
    <w:rsid w:val="009A662B"/>
    <w:rsid w:val="009A6A42"/>
    <w:rsid w:val="009A7082"/>
    <w:rsid w:val="009B0FFD"/>
    <w:rsid w:val="009B2535"/>
    <w:rsid w:val="009B2A07"/>
    <w:rsid w:val="009B2F7C"/>
    <w:rsid w:val="009B4B21"/>
    <w:rsid w:val="009B5759"/>
    <w:rsid w:val="009B595A"/>
    <w:rsid w:val="009B5AD5"/>
    <w:rsid w:val="009B5EE4"/>
    <w:rsid w:val="009B6926"/>
    <w:rsid w:val="009B6C04"/>
    <w:rsid w:val="009B7355"/>
    <w:rsid w:val="009B7899"/>
    <w:rsid w:val="009B7BFC"/>
    <w:rsid w:val="009B7DE7"/>
    <w:rsid w:val="009C1C62"/>
    <w:rsid w:val="009C2CDB"/>
    <w:rsid w:val="009C53E6"/>
    <w:rsid w:val="009C5D42"/>
    <w:rsid w:val="009C68BE"/>
    <w:rsid w:val="009C698F"/>
    <w:rsid w:val="009C7653"/>
    <w:rsid w:val="009C7763"/>
    <w:rsid w:val="009C7F37"/>
    <w:rsid w:val="009D022C"/>
    <w:rsid w:val="009D07F5"/>
    <w:rsid w:val="009D0ACB"/>
    <w:rsid w:val="009D2716"/>
    <w:rsid w:val="009D43CE"/>
    <w:rsid w:val="009D47AF"/>
    <w:rsid w:val="009D55E4"/>
    <w:rsid w:val="009D5964"/>
    <w:rsid w:val="009D6166"/>
    <w:rsid w:val="009D69C1"/>
    <w:rsid w:val="009E03BB"/>
    <w:rsid w:val="009E0595"/>
    <w:rsid w:val="009E23A7"/>
    <w:rsid w:val="009E329F"/>
    <w:rsid w:val="009E4127"/>
    <w:rsid w:val="009E419C"/>
    <w:rsid w:val="009E4AE5"/>
    <w:rsid w:val="009E5269"/>
    <w:rsid w:val="009E5DF2"/>
    <w:rsid w:val="009E6549"/>
    <w:rsid w:val="009E6AD0"/>
    <w:rsid w:val="009E7252"/>
    <w:rsid w:val="009E72E3"/>
    <w:rsid w:val="009E7AB4"/>
    <w:rsid w:val="009E7C98"/>
    <w:rsid w:val="009E7CEA"/>
    <w:rsid w:val="009E7E21"/>
    <w:rsid w:val="009F1941"/>
    <w:rsid w:val="009F1C31"/>
    <w:rsid w:val="009F22E8"/>
    <w:rsid w:val="009F2DDD"/>
    <w:rsid w:val="009F3A30"/>
    <w:rsid w:val="009F45D4"/>
    <w:rsid w:val="009F48F9"/>
    <w:rsid w:val="009F5113"/>
    <w:rsid w:val="009F7548"/>
    <w:rsid w:val="009F771B"/>
    <w:rsid w:val="009F7A44"/>
    <w:rsid w:val="009F7E3E"/>
    <w:rsid w:val="00A01291"/>
    <w:rsid w:val="00A0161A"/>
    <w:rsid w:val="00A01B1E"/>
    <w:rsid w:val="00A023B6"/>
    <w:rsid w:val="00A02806"/>
    <w:rsid w:val="00A03133"/>
    <w:rsid w:val="00A04F7D"/>
    <w:rsid w:val="00A062B1"/>
    <w:rsid w:val="00A0701E"/>
    <w:rsid w:val="00A071E7"/>
    <w:rsid w:val="00A07691"/>
    <w:rsid w:val="00A07711"/>
    <w:rsid w:val="00A07B9D"/>
    <w:rsid w:val="00A10379"/>
    <w:rsid w:val="00A10A88"/>
    <w:rsid w:val="00A13345"/>
    <w:rsid w:val="00A14533"/>
    <w:rsid w:val="00A14822"/>
    <w:rsid w:val="00A14E34"/>
    <w:rsid w:val="00A15647"/>
    <w:rsid w:val="00A15C4C"/>
    <w:rsid w:val="00A15C68"/>
    <w:rsid w:val="00A1631D"/>
    <w:rsid w:val="00A163F5"/>
    <w:rsid w:val="00A1694A"/>
    <w:rsid w:val="00A202A0"/>
    <w:rsid w:val="00A20692"/>
    <w:rsid w:val="00A209CE"/>
    <w:rsid w:val="00A211EA"/>
    <w:rsid w:val="00A220E0"/>
    <w:rsid w:val="00A22DCB"/>
    <w:rsid w:val="00A23119"/>
    <w:rsid w:val="00A238DE"/>
    <w:rsid w:val="00A23B37"/>
    <w:rsid w:val="00A23ED2"/>
    <w:rsid w:val="00A240D2"/>
    <w:rsid w:val="00A24BD3"/>
    <w:rsid w:val="00A25316"/>
    <w:rsid w:val="00A25F10"/>
    <w:rsid w:val="00A2613D"/>
    <w:rsid w:val="00A262A4"/>
    <w:rsid w:val="00A2694B"/>
    <w:rsid w:val="00A274F9"/>
    <w:rsid w:val="00A302A4"/>
    <w:rsid w:val="00A30A87"/>
    <w:rsid w:val="00A315DA"/>
    <w:rsid w:val="00A31D2A"/>
    <w:rsid w:val="00A32EC5"/>
    <w:rsid w:val="00A3359B"/>
    <w:rsid w:val="00A34113"/>
    <w:rsid w:val="00A34C1F"/>
    <w:rsid w:val="00A36292"/>
    <w:rsid w:val="00A362C5"/>
    <w:rsid w:val="00A3682C"/>
    <w:rsid w:val="00A36A32"/>
    <w:rsid w:val="00A36D9C"/>
    <w:rsid w:val="00A36FA7"/>
    <w:rsid w:val="00A376F5"/>
    <w:rsid w:val="00A37ADD"/>
    <w:rsid w:val="00A37C6E"/>
    <w:rsid w:val="00A37E1D"/>
    <w:rsid w:val="00A40958"/>
    <w:rsid w:val="00A40A80"/>
    <w:rsid w:val="00A40BD7"/>
    <w:rsid w:val="00A40E21"/>
    <w:rsid w:val="00A40EF5"/>
    <w:rsid w:val="00A40F9D"/>
    <w:rsid w:val="00A42199"/>
    <w:rsid w:val="00A43E46"/>
    <w:rsid w:val="00A45603"/>
    <w:rsid w:val="00A45D09"/>
    <w:rsid w:val="00A45D28"/>
    <w:rsid w:val="00A45E20"/>
    <w:rsid w:val="00A4617F"/>
    <w:rsid w:val="00A46657"/>
    <w:rsid w:val="00A4686C"/>
    <w:rsid w:val="00A47F35"/>
    <w:rsid w:val="00A50057"/>
    <w:rsid w:val="00A5034F"/>
    <w:rsid w:val="00A505F1"/>
    <w:rsid w:val="00A51B45"/>
    <w:rsid w:val="00A53233"/>
    <w:rsid w:val="00A534D1"/>
    <w:rsid w:val="00A5370B"/>
    <w:rsid w:val="00A5393B"/>
    <w:rsid w:val="00A53CE0"/>
    <w:rsid w:val="00A54919"/>
    <w:rsid w:val="00A54FF7"/>
    <w:rsid w:val="00A551D5"/>
    <w:rsid w:val="00A55F76"/>
    <w:rsid w:val="00A56824"/>
    <w:rsid w:val="00A5712D"/>
    <w:rsid w:val="00A5772D"/>
    <w:rsid w:val="00A60205"/>
    <w:rsid w:val="00A6050B"/>
    <w:rsid w:val="00A60A38"/>
    <w:rsid w:val="00A614F2"/>
    <w:rsid w:val="00A62159"/>
    <w:rsid w:val="00A63DA1"/>
    <w:rsid w:val="00A63E13"/>
    <w:rsid w:val="00A63EDE"/>
    <w:rsid w:val="00A655FF"/>
    <w:rsid w:val="00A66363"/>
    <w:rsid w:val="00A667D8"/>
    <w:rsid w:val="00A67762"/>
    <w:rsid w:val="00A70607"/>
    <w:rsid w:val="00A712D7"/>
    <w:rsid w:val="00A71983"/>
    <w:rsid w:val="00A72512"/>
    <w:rsid w:val="00A72B67"/>
    <w:rsid w:val="00A73102"/>
    <w:rsid w:val="00A75D07"/>
    <w:rsid w:val="00A7694E"/>
    <w:rsid w:val="00A77476"/>
    <w:rsid w:val="00A77F32"/>
    <w:rsid w:val="00A807F4"/>
    <w:rsid w:val="00A8148C"/>
    <w:rsid w:val="00A81D65"/>
    <w:rsid w:val="00A8350C"/>
    <w:rsid w:val="00A836E8"/>
    <w:rsid w:val="00A848A3"/>
    <w:rsid w:val="00A854F7"/>
    <w:rsid w:val="00A85A39"/>
    <w:rsid w:val="00A85F62"/>
    <w:rsid w:val="00A862D9"/>
    <w:rsid w:val="00A86AD0"/>
    <w:rsid w:val="00A87336"/>
    <w:rsid w:val="00A87960"/>
    <w:rsid w:val="00A92977"/>
    <w:rsid w:val="00A92C54"/>
    <w:rsid w:val="00A932EF"/>
    <w:rsid w:val="00A937BF"/>
    <w:rsid w:val="00A93C12"/>
    <w:rsid w:val="00A94A9F"/>
    <w:rsid w:val="00A94DEB"/>
    <w:rsid w:val="00A95EBC"/>
    <w:rsid w:val="00A96878"/>
    <w:rsid w:val="00AA04EC"/>
    <w:rsid w:val="00AA0AD1"/>
    <w:rsid w:val="00AA155D"/>
    <w:rsid w:val="00AA15A3"/>
    <w:rsid w:val="00AA1619"/>
    <w:rsid w:val="00AA19E0"/>
    <w:rsid w:val="00AA1CAB"/>
    <w:rsid w:val="00AA2661"/>
    <w:rsid w:val="00AA2A21"/>
    <w:rsid w:val="00AA2C0D"/>
    <w:rsid w:val="00AA2C2A"/>
    <w:rsid w:val="00AA368B"/>
    <w:rsid w:val="00AA3896"/>
    <w:rsid w:val="00AA4C8F"/>
    <w:rsid w:val="00AA61C1"/>
    <w:rsid w:val="00AA6BF2"/>
    <w:rsid w:val="00AA6E14"/>
    <w:rsid w:val="00AA6EC6"/>
    <w:rsid w:val="00AA6F54"/>
    <w:rsid w:val="00AB071D"/>
    <w:rsid w:val="00AB1673"/>
    <w:rsid w:val="00AB1B3D"/>
    <w:rsid w:val="00AB213C"/>
    <w:rsid w:val="00AB2789"/>
    <w:rsid w:val="00AB3A0B"/>
    <w:rsid w:val="00AB4A02"/>
    <w:rsid w:val="00AB4C8F"/>
    <w:rsid w:val="00AB5069"/>
    <w:rsid w:val="00AB6E8B"/>
    <w:rsid w:val="00AB70CA"/>
    <w:rsid w:val="00AB7F18"/>
    <w:rsid w:val="00AC0093"/>
    <w:rsid w:val="00AC182C"/>
    <w:rsid w:val="00AC1899"/>
    <w:rsid w:val="00AC1AA4"/>
    <w:rsid w:val="00AC1DDD"/>
    <w:rsid w:val="00AC395C"/>
    <w:rsid w:val="00AC42D3"/>
    <w:rsid w:val="00AC4C47"/>
    <w:rsid w:val="00AC5857"/>
    <w:rsid w:val="00AC6B7F"/>
    <w:rsid w:val="00AC6E4A"/>
    <w:rsid w:val="00AC7C66"/>
    <w:rsid w:val="00AD11D1"/>
    <w:rsid w:val="00AD1AA8"/>
    <w:rsid w:val="00AD1C06"/>
    <w:rsid w:val="00AD236B"/>
    <w:rsid w:val="00AD3AC1"/>
    <w:rsid w:val="00AD3E19"/>
    <w:rsid w:val="00AD583B"/>
    <w:rsid w:val="00AD5B89"/>
    <w:rsid w:val="00AD5D91"/>
    <w:rsid w:val="00AD6611"/>
    <w:rsid w:val="00AD6FF7"/>
    <w:rsid w:val="00AD7E68"/>
    <w:rsid w:val="00AE094C"/>
    <w:rsid w:val="00AE0C97"/>
    <w:rsid w:val="00AE1E29"/>
    <w:rsid w:val="00AE1F2A"/>
    <w:rsid w:val="00AE2365"/>
    <w:rsid w:val="00AE2D00"/>
    <w:rsid w:val="00AE305F"/>
    <w:rsid w:val="00AE30E8"/>
    <w:rsid w:val="00AE3275"/>
    <w:rsid w:val="00AE5812"/>
    <w:rsid w:val="00AE5874"/>
    <w:rsid w:val="00AE66BA"/>
    <w:rsid w:val="00AE758C"/>
    <w:rsid w:val="00AE77B2"/>
    <w:rsid w:val="00AF15AC"/>
    <w:rsid w:val="00AF192E"/>
    <w:rsid w:val="00AF199D"/>
    <w:rsid w:val="00AF349C"/>
    <w:rsid w:val="00AF40A5"/>
    <w:rsid w:val="00AF4A66"/>
    <w:rsid w:val="00AF4C18"/>
    <w:rsid w:val="00AF4E64"/>
    <w:rsid w:val="00AF55C1"/>
    <w:rsid w:val="00AF55D9"/>
    <w:rsid w:val="00AF5AF1"/>
    <w:rsid w:val="00AF5CA3"/>
    <w:rsid w:val="00AF5CE8"/>
    <w:rsid w:val="00AF671E"/>
    <w:rsid w:val="00AF7759"/>
    <w:rsid w:val="00AF7913"/>
    <w:rsid w:val="00AF7961"/>
    <w:rsid w:val="00AF7B02"/>
    <w:rsid w:val="00B014FD"/>
    <w:rsid w:val="00B01824"/>
    <w:rsid w:val="00B02560"/>
    <w:rsid w:val="00B03DC8"/>
    <w:rsid w:val="00B05AE4"/>
    <w:rsid w:val="00B073A9"/>
    <w:rsid w:val="00B07E98"/>
    <w:rsid w:val="00B10AB3"/>
    <w:rsid w:val="00B11105"/>
    <w:rsid w:val="00B120C6"/>
    <w:rsid w:val="00B122CF"/>
    <w:rsid w:val="00B1296C"/>
    <w:rsid w:val="00B134E9"/>
    <w:rsid w:val="00B13F6E"/>
    <w:rsid w:val="00B14298"/>
    <w:rsid w:val="00B14AFA"/>
    <w:rsid w:val="00B154DE"/>
    <w:rsid w:val="00B15D50"/>
    <w:rsid w:val="00B16205"/>
    <w:rsid w:val="00B2019B"/>
    <w:rsid w:val="00B201C9"/>
    <w:rsid w:val="00B20D0F"/>
    <w:rsid w:val="00B22C26"/>
    <w:rsid w:val="00B22DC9"/>
    <w:rsid w:val="00B23CBE"/>
    <w:rsid w:val="00B262BC"/>
    <w:rsid w:val="00B26313"/>
    <w:rsid w:val="00B26325"/>
    <w:rsid w:val="00B264B0"/>
    <w:rsid w:val="00B26CA0"/>
    <w:rsid w:val="00B26E0C"/>
    <w:rsid w:val="00B275BE"/>
    <w:rsid w:val="00B3048B"/>
    <w:rsid w:val="00B3048C"/>
    <w:rsid w:val="00B307BB"/>
    <w:rsid w:val="00B30BDD"/>
    <w:rsid w:val="00B312D4"/>
    <w:rsid w:val="00B3151E"/>
    <w:rsid w:val="00B323C4"/>
    <w:rsid w:val="00B327FF"/>
    <w:rsid w:val="00B3283F"/>
    <w:rsid w:val="00B3286A"/>
    <w:rsid w:val="00B32F2B"/>
    <w:rsid w:val="00B3345F"/>
    <w:rsid w:val="00B34004"/>
    <w:rsid w:val="00B3560D"/>
    <w:rsid w:val="00B361CB"/>
    <w:rsid w:val="00B36343"/>
    <w:rsid w:val="00B36AC8"/>
    <w:rsid w:val="00B36D0F"/>
    <w:rsid w:val="00B36E9B"/>
    <w:rsid w:val="00B4033C"/>
    <w:rsid w:val="00B409DB"/>
    <w:rsid w:val="00B41D6C"/>
    <w:rsid w:val="00B41DF1"/>
    <w:rsid w:val="00B42397"/>
    <w:rsid w:val="00B427D0"/>
    <w:rsid w:val="00B42D43"/>
    <w:rsid w:val="00B43995"/>
    <w:rsid w:val="00B4503A"/>
    <w:rsid w:val="00B45508"/>
    <w:rsid w:val="00B45F18"/>
    <w:rsid w:val="00B46DB0"/>
    <w:rsid w:val="00B47088"/>
    <w:rsid w:val="00B470F8"/>
    <w:rsid w:val="00B47481"/>
    <w:rsid w:val="00B47C14"/>
    <w:rsid w:val="00B503C8"/>
    <w:rsid w:val="00B5094B"/>
    <w:rsid w:val="00B50978"/>
    <w:rsid w:val="00B513D7"/>
    <w:rsid w:val="00B51B93"/>
    <w:rsid w:val="00B51E80"/>
    <w:rsid w:val="00B51F26"/>
    <w:rsid w:val="00B5254C"/>
    <w:rsid w:val="00B52796"/>
    <w:rsid w:val="00B5357C"/>
    <w:rsid w:val="00B53CB9"/>
    <w:rsid w:val="00B5419B"/>
    <w:rsid w:val="00B54F67"/>
    <w:rsid w:val="00B55723"/>
    <w:rsid w:val="00B5588D"/>
    <w:rsid w:val="00B56376"/>
    <w:rsid w:val="00B5679D"/>
    <w:rsid w:val="00B571E9"/>
    <w:rsid w:val="00B577FC"/>
    <w:rsid w:val="00B60DF0"/>
    <w:rsid w:val="00B61EC6"/>
    <w:rsid w:val="00B623FD"/>
    <w:rsid w:val="00B63BC8"/>
    <w:rsid w:val="00B6425B"/>
    <w:rsid w:val="00B64493"/>
    <w:rsid w:val="00B6497C"/>
    <w:rsid w:val="00B65319"/>
    <w:rsid w:val="00B66DFD"/>
    <w:rsid w:val="00B70A0A"/>
    <w:rsid w:val="00B70B0B"/>
    <w:rsid w:val="00B70E0F"/>
    <w:rsid w:val="00B72134"/>
    <w:rsid w:val="00B7281D"/>
    <w:rsid w:val="00B73D03"/>
    <w:rsid w:val="00B73F2D"/>
    <w:rsid w:val="00B742CE"/>
    <w:rsid w:val="00B74DD4"/>
    <w:rsid w:val="00B753FE"/>
    <w:rsid w:val="00B75485"/>
    <w:rsid w:val="00B759AE"/>
    <w:rsid w:val="00B75EF3"/>
    <w:rsid w:val="00B7782B"/>
    <w:rsid w:val="00B77C14"/>
    <w:rsid w:val="00B80584"/>
    <w:rsid w:val="00B811DC"/>
    <w:rsid w:val="00B81B9D"/>
    <w:rsid w:val="00B81F6C"/>
    <w:rsid w:val="00B82908"/>
    <w:rsid w:val="00B82B5C"/>
    <w:rsid w:val="00B837F1"/>
    <w:rsid w:val="00B83C14"/>
    <w:rsid w:val="00B84707"/>
    <w:rsid w:val="00B84CA1"/>
    <w:rsid w:val="00B854C4"/>
    <w:rsid w:val="00B85C2D"/>
    <w:rsid w:val="00B86AEF"/>
    <w:rsid w:val="00B86BF2"/>
    <w:rsid w:val="00B87F15"/>
    <w:rsid w:val="00B9019C"/>
    <w:rsid w:val="00B91FF2"/>
    <w:rsid w:val="00B925B0"/>
    <w:rsid w:val="00B93253"/>
    <w:rsid w:val="00B93AE0"/>
    <w:rsid w:val="00B93D29"/>
    <w:rsid w:val="00B94A57"/>
    <w:rsid w:val="00B950BE"/>
    <w:rsid w:val="00BA0925"/>
    <w:rsid w:val="00BA0A0F"/>
    <w:rsid w:val="00BA1034"/>
    <w:rsid w:val="00BA1952"/>
    <w:rsid w:val="00BA19C4"/>
    <w:rsid w:val="00BA1A30"/>
    <w:rsid w:val="00BA2C5B"/>
    <w:rsid w:val="00BA2FEF"/>
    <w:rsid w:val="00BA3131"/>
    <w:rsid w:val="00BA3A0C"/>
    <w:rsid w:val="00BA4A9F"/>
    <w:rsid w:val="00BA5B70"/>
    <w:rsid w:val="00BA5CA0"/>
    <w:rsid w:val="00BA66AE"/>
    <w:rsid w:val="00BA6EB0"/>
    <w:rsid w:val="00BA7D0F"/>
    <w:rsid w:val="00BB006D"/>
    <w:rsid w:val="00BB00FB"/>
    <w:rsid w:val="00BB0612"/>
    <w:rsid w:val="00BB0D96"/>
    <w:rsid w:val="00BB0DCC"/>
    <w:rsid w:val="00BB0FF6"/>
    <w:rsid w:val="00BB1F4F"/>
    <w:rsid w:val="00BB32BC"/>
    <w:rsid w:val="00BB33A9"/>
    <w:rsid w:val="00BB3A36"/>
    <w:rsid w:val="00BB3E5D"/>
    <w:rsid w:val="00BB4E52"/>
    <w:rsid w:val="00BB5D64"/>
    <w:rsid w:val="00BC069E"/>
    <w:rsid w:val="00BC11D2"/>
    <w:rsid w:val="00BC1862"/>
    <w:rsid w:val="00BC18C8"/>
    <w:rsid w:val="00BC1C5F"/>
    <w:rsid w:val="00BC1FD5"/>
    <w:rsid w:val="00BC2D09"/>
    <w:rsid w:val="00BC35FE"/>
    <w:rsid w:val="00BC3AE7"/>
    <w:rsid w:val="00BC3F4D"/>
    <w:rsid w:val="00BC4127"/>
    <w:rsid w:val="00BC59B7"/>
    <w:rsid w:val="00BC5F74"/>
    <w:rsid w:val="00BC6121"/>
    <w:rsid w:val="00BC6207"/>
    <w:rsid w:val="00BC6750"/>
    <w:rsid w:val="00BC79E5"/>
    <w:rsid w:val="00BC7E2D"/>
    <w:rsid w:val="00BD001F"/>
    <w:rsid w:val="00BD12A1"/>
    <w:rsid w:val="00BD12EA"/>
    <w:rsid w:val="00BD13D8"/>
    <w:rsid w:val="00BD231D"/>
    <w:rsid w:val="00BD4439"/>
    <w:rsid w:val="00BD476A"/>
    <w:rsid w:val="00BD476D"/>
    <w:rsid w:val="00BD47C4"/>
    <w:rsid w:val="00BD51BA"/>
    <w:rsid w:val="00BD52DA"/>
    <w:rsid w:val="00BD53A0"/>
    <w:rsid w:val="00BD560C"/>
    <w:rsid w:val="00BD61F4"/>
    <w:rsid w:val="00BD63B5"/>
    <w:rsid w:val="00BD660D"/>
    <w:rsid w:val="00BD6C74"/>
    <w:rsid w:val="00BD6EB7"/>
    <w:rsid w:val="00BD721E"/>
    <w:rsid w:val="00BE0241"/>
    <w:rsid w:val="00BE0A47"/>
    <w:rsid w:val="00BE0A88"/>
    <w:rsid w:val="00BE217E"/>
    <w:rsid w:val="00BE2FBF"/>
    <w:rsid w:val="00BE32B2"/>
    <w:rsid w:val="00BE6034"/>
    <w:rsid w:val="00BE611F"/>
    <w:rsid w:val="00BE6A48"/>
    <w:rsid w:val="00BE74FE"/>
    <w:rsid w:val="00BE7571"/>
    <w:rsid w:val="00BE776B"/>
    <w:rsid w:val="00BE7C4B"/>
    <w:rsid w:val="00BF0191"/>
    <w:rsid w:val="00BF0B3A"/>
    <w:rsid w:val="00BF0BF6"/>
    <w:rsid w:val="00BF0FBA"/>
    <w:rsid w:val="00BF1510"/>
    <w:rsid w:val="00BF1D27"/>
    <w:rsid w:val="00BF1F1F"/>
    <w:rsid w:val="00BF2906"/>
    <w:rsid w:val="00BF3A19"/>
    <w:rsid w:val="00BF3B1D"/>
    <w:rsid w:val="00BF3C5C"/>
    <w:rsid w:val="00BF4C72"/>
    <w:rsid w:val="00BF4E10"/>
    <w:rsid w:val="00BF624F"/>
    <w:rsid w:val="00BF6787"/>
    <w:rsid w:val="00BF73ED"/>
    <w:rsid w:val="00BF75E4"/>
    <w:rsid w:val="00C00AE7"/>
    <w:rsid w:val="00C00BE2"/>
    <w:rsid w:val="00C0185F"/>
    <w:rsid w:val="00C02F2E"/>
    <w:rsid w:val="00C031F7"/>
    <w:rsid w:val="00C0375F"/>
    <w:rsid w:val="00C037E0"/>
    <w:rsid w:val="00C03E1E"/>
    <w:rsid w:val="00C04238"/>
    <w:rsid w:val="00C048CD"/>
    <w:rsid w:val="00C04D10"/>
    <w:rsid w:val="00C054D3"/>
    <w:rsid w:val="00C05770"/>
    <w:rsid w:val="00C05C07"/>
    <w:rsid w:val="00C0753C"/>
    <w:rsid w:val="00C118E0"/>
    <w:rsid w:val="00C11DB7"/>
    <w:rsid w:val="00C12475"/>
    <w:rsid w:val="00C13221"/>
    <w:rsid w:val="00C134CB"/>
    <w:rsid w:val="00C138E5"/>
    <w:rsid w:val="00C13DD4"/>
    <w:rsid w:val="00C14218"/>
    <w:rsid w:val="00C14C05"/>
    <w:rsid w:val="00C16642"/>
    <w:rsid w:val="00C1681C"/>
    <w:rsid w:val="00C16DDC"/>
    <w:rsid w:val="00C172D3"/>
    <w:rsid w:val="00C176D3"/>
    <w:rsid w:val="00C17B2D"/>
    <w:rsid w:val="00C17DF8"/>
    <w:rsid w:val="00C208D3"/>
    <w:rsid w:val="00C20D1C"/>
    <w:rsid w:val="00C2103B"/>
    <w:rsid w:val="00C214B3"/>
    <w:rsid w:val="00C21623"/>
    <w:rsid w:val="00C2176A"/>
    <w:rsid w:val="00C21B55"/>
    <w:rsid w:val="00C224EC"/>
    <w:rsid w:val="00C234F2"/>
    <w:rsid w:val="00C2359B"/>
    <w:rsid w:val="00C23712"/>
    <w:rsid w:val="00C23A39"/>
    <w:rsid w:val="00C23B46"/>
    <w:rsid w:val="00C23C51"/>
    <w:rsid w:val="00C2560E"/>
    <w:rsid w:val="00C25E5E"/>
    <w:rsid w:val="00C25E79"/>
    <w:rsid w:val="00C26B68"/>
    <w:rsid w:val="00C30000"/>
    <w:rsid w:val="00C30938"/>
    <w:rsid w:val="00C30BE9"/>
    <w:rsid w:val="00C30E04"/>
    <w:rsid w:val="00C30E53"/>
    <w:rsid w:val="00C322B2"/>
    <w:rsid w:val="00C3359C"/>
    <w:rsid w:val="00C346FC"/>
    <w:rsid w:val="00C347A3"/>
    <w:rsid w:val="00C355A6"/>
    <w:rsid w:val="00C35DA5"/>
    <w:rsid w:val="00C36179"/>
    <w:rsid w:val="00C3644C"/>
    <w:rsid w:val="00C402EA"/>
    <w:rsid w:val="00C40AB1"/>
    <w:rsid w:val="00C41322"/>
    <w:rsid w:val="00C415AA"/>
    <w:rsid w:val="00C41B5B"/>
    <w:rsid w:val="00C4298E"/>
    <w:rsid w:val="00C44339"/>
    <w:rsid w:val="00C46512"/>
    <w:rsid w:val="00C4691B"/>
    <w:rsid w:val="00C501AB"/>
    <w:rsid w:val="00C50B22"/>
    <w:rsid w:val="00C50D62"/>
    <w:rsid w:val="00C511E6"/>
    <w:rsid w:val="00C51348"/>
    <w:rsid w:val="00C51D8F"/>
    <w:rsid w:val="00C51F96"/>
    <w:rsid w:val="00C5268A"/>
    <w:rsid w:val="00C52D98"/>
    <w:rsid w:val="00C5437F"/>
    <w:rsid w:val="00C54C47"/>
    <w:rsid w:val="00C55EC3"/>
    <w:rsid w:val="00C5691F"/>
    <w:rsid w:val="00C56C53"/>
    <w:rsid w:val="00C57D4D"/>
    <w:rsid w:val="00C57D99"/>
    <w:rsid w:val="00C57DB2"/>
    <w:rsid w:val="00C604A1"/>
    <w:rsid w:val="00C6091F"/>
    <w:rsid w:val="00C60B4E"/>
    <w:rsid w:val="00C6100F"/>
    <w:rsid w:val="00C6147D"/>
    <w:rsid w:val="00C61664"/>
    <w:rsid w:val="00C625AB"/>
    <w:rsid w:val="00C62A4E"/>
    <w:rsid w:val="00C63295"/>
    <w:rsid w:val="00C632C4"/>
    <w:rsid w:val="00C63B4A"/>
    <w:rsid w:val="00C64277"/>
    <w:rsid w:val="00C64F3B"/>
    <w:rsid w:val="00C65C36"/>
    <w:rsid w:val="00C65FBC"/>
    <w:rsid w:val="00C66012"/>
    <w:rsid w:val="00C6617E"/>
    <w:rsid w:val="00C664BD"/>
    <w:rsid w:val="00C66DEC"/>
    <w:rsid w:val="00C67F6C"/>
    <w:rsid w:val="00C70063"/>
    <w:rsid w:val="00C70266"/>
    <w:rsid w:val="00C705F6"/>
    <w:rsid w:val="00C7086D"/>
    <w:rsid w:val="00C712AC"/>
    <w:rsid w:val="00C745DD"/>
    <w:rsid w:val="00C76414"/>
    <w:rsid w:val="00C766BF"/>
    <w:rsid w:val="00C7745D"/>
    <w:rsid w:val="00C77C96"/>
    <w:rsid w:val="00C805CC"/>
    <w:rsid w:val="00C81BC2"/>
    <w:rsid w:val="00C824A7"/>
    <w:rsid w:val="00C82E41"/>
    <w:rsid w:val="00C83051"/>
    <w:rsid w:val="00C83177"/>
    <w:rsid w:val="00C83568"/>
    <w:rsid w:val="00C84682"/>
    <w:rsid w:val="00C84AA1"/>
    <w:rsid w:val="00C84D06"/>
    <w:rsid w:val="00C85A76"/>
    <w:rsid w:val="00C860A8"/>
    <w:rsid w:val="00C87E9C"/>
    <w:rsid w:val="00C90F68"/>
    <w:rsid w:val="00C914A3"/>
    <w:rsid w:val="00C92264"/>
    <w:rsid w:val="00C922CE"/>
    <w:rsid w:val="00C9241C"/>
    <w:rsid w:val="00C9398E"/>
    <w:rsid w:val="00C93BED"/>
    <w:rsid w:val="00C947A5"/>
    <w:rsid w:val="00C94BC3"/>
    <w:rsid w:val="00C94F74"/>
    <w:rsid w:val="00C94F92"/>
    <w:rsid w:val="00C95721"/>
    <w:rsid w:val="00C957D3"/>
    <w:rsid w:val="00C95A0F"/>
    <w:rsid w:val="00C975A5"/>
    <w:rsid w:val="00C97DDD"/>
    <w:rsid w:val="00CA192D"/>
    <w:rsid w:val="00CA22AB"/>
    <w:rsid w:val="00CA28B5"/>
    <w:rsid w:val="00CA28C0"/>
    <w:rsid w:val="00CA2B7A"/>
    <w:rsid w:val="00CA2CC4"/>
    <w:rsid w:val="00CA2E97"/>
    <w:rsid w:val="00CA3014"/>
    <w:rsid w:val="00CA3553"/>
    <w:rsid w:val="00CA3949"/>
    <w:rsid w:val="00CA442A"/>
    <w:rsid w:val="00CA4C05"/>
    <w:rsid w:val="00CA4FAC"/>
    <w:rsid w:val="00CA536E"/>
    <w:rsid w:val="00CA5544"/>
    <w:rsid w:val="00CA5700"/>
    <w:rsid w:val="00CA5F4A"/>
    <w:rsid w:val="00CA68AC"/>
    <w:rsid w:val="00CA6CFF"/>
    <w:rsid w:val="00CA7A8F"/>
    <w:rsid w:val="00CA7E46"/>
    <w:rsid w:val="00CB0D0B"/>
    <w:rsid w:val="00CB44B5"/>
    <w:rsid w:val="00CB4708"/>
    <w:rsid w:val="00CB5397"/>
    <w:rsid w:val="00CB5EDC"/>
    <w:rsid w:val="00CB632E"/>
    <w:rsid w:val="00CB6E54"/>
    <w:rsid w:val="00CC03D5"/>
    <w:rsid w:val="00CC05C0"/>
    <w:rsid w:val="00CC1073"/>
    <w:rsid w:val="00CC1CFE"/>
    <w:rsid w:val="00CC207A"/>
    <w:rsid w:val="00CC2680"/>
    <w:rsid w:val="00CC298B"/>
    <w:rsid w:val="00CC2C84"/>
    <w:rsid w:val="00CC2CB4"/>
    <w:rsid w:val="00CC3470"/>
    <w:rsid w:val="00CC3DF2"/>
    <w:rsid w:val="00CC4F4D"/>
    <w:rsid w:val="00CC5480"/>
    <w:rsid w:val="00CC5C00"/>
    <w:rsid w:val="00CC7079"/>
    <w:rsid w:val="00CC71F3"/>
    <w:rsid w:val="00CC78DD"/>
    <w:rsid w:val="00CC7AB8"/>
    <w:rsid w:val="00CC7EE0"/>
    <w:rsid w:val="00CD0071"/>
    <w:rsid w:val="00CD038B"/>
    <w:rsid w:val="00CD06E2"/>
    <w:rsid w:val="00CD09A3"/>
    <w:rsid w:val="00CD0DF6"/>
    <w:rsid w:val="00CD1A34"/>
    <w:rsid w:val="00CD1C9E"/>
    <w:rsid w:val="00CD218A"/>
    <w:rsid w:val="00CD3045"/>
    <w:rsid w:val="00CD30A4"/>
    <w:rsid w:val="00CD3366"/>
    <w:rsid w:val="00CD408A"/>
    <w:rsid w:val="00CD4363"/>
    <w:rsid w:val="00CD4B88"/>
    <w:rsid w:val="00CD535F"/>
    <w:rsid w:val="00CD5AED"/>
    <w:rsid w:val="00CD5F7C"/>
    <w:rsid w:val="00CD6063"/>
    <w:rsid w:val="00CD68E5"/>
    <w:rsid w:val="00CD6A75"/>
    <w:rsid w:val="00CD6CA9"/>
    <w:rsid w:val="00CD6D78"/>
    <w:rsid w:val="00CD6DD5"/>
    <w:rsid w:val="00CD6E27"/>
    <w:rsid w:val="00CD729E"/>
    <w:rsid w:val="00CE01BE"/>
    <w:rsid w:val="00CE0B95"/>
    <w:rsid w:val="00CE2AB0"/>
    <w:rsid w:val="00CE2DB4"/>
    <w:rsid w:val="00CE2EA3"/>
    <w:rsid w:val="00CE332F"/>
    <w:rsid w:val="00CE3359"/>
    <w:rsid w:val="00CE3512"/>
    <w:rsid w:val="00CE39AB"/>
    <w:rsid w:val="00CE4CFF"/>
    <w:rsid w:val="00CE4D84"/>
    <w:rsid w:val="00CE5343"/>
    <w:rsid w:val="00CE6EAF"/>
    <w:rsid w:val="00CE7B77"/>
    <w:rsid w:val="00CF003F"/>
    <w:rsid w:val="00CF0052"/>
    <w:rsid w:val="00CF01AC"/>
    <w:rsid w:val="00CF120A"/>
    <w:rsid w:val="00CF1391"/>
    <w:rsid w:val="00CF1725"/>
    <w:rsid w:val="00CF1AC1"/>
    <w:rsid w:val="00CF3676"/>
    <w:rsid w:val="00CF36BD"/>
    <w:rsid w:val="00CF3781"/>
    <w:rsid w:val="00CF395D"/>
    <w:rsid w:val="00CF4516"/>
    <w:rsid w:val="00CF484B"/>
    <w:rsid w:val="00CF4E9F"/>
    <w:rsid w:val="00CF50BB"/>
    <w:rsid w:val="00CF5806"/>
    <w:rsid w:val="00CF5F7F"/>
    <w:rsid w:val="00CF63A1"/>
    <w:rsid w:val="00CF6484"/>
    <w:rsid w:val="00CF6F54"/>
    <w:rsid w:val="00CF7A24"/>
    <w:rsid w:val="00D00EDB"/>
    <w:rsid w:val="00D01A5A"/>
    <w:rsid w:val="00D01D22"/>
    <w:rsid w:val="00D022DA"/>
    <w:rsid w:val="00D02DAD"/>
    <w:rsid w:val="00D02E3E"/>
    <w:rsid w:val="00D02FEF"/>
    <w:rsid w:val="00D031CA"/>
    <w:rsid w:val="00D04E92"/>
    <w:rsid w:val="00D04F9C"/>
    <w:rsid w:val="00D058EB"/>
    <w:rsid w:val="00D05D6A"/>
    <w:rsid w:val="00D05DAF"/>
    <w:rsid w:val="00D061F9"/>
    <w:rsid w:val="00D06497"/>
    <w:rsid w:val="00D0657F"/>
    <w:rsid w:val="00D102F0"/>
    <w:rsid w:val="00D10D46"/>
    <w:rsid w:val="00D1256F"/>
    <w:rsid w:val="00D136F4"/>
    <w:rsid w:val="00D149EF"/>
    <w:rsid w:val="00D164D5"/>
    <w:rsid w:val="00D1650F"/>
    <w:rsid w:val="00D16A36"/>
    <w:rsid w:val="00D16D7A"/>
    <w:rsid w:val="00D17931"/>
    <w:rsid w:val="00D20101"/>
    <w:rsid w:val="00D20A80"/>
    <w:rsid w:val="00D20B58"/>
    <w:rsid w:val="00D21181"/>
    <w:rsid w:val="00D21F6F"/>
    <w:rsid w:val="00D2392C"/>
    <w:rsid w:val="00D23EEC"/>
    <w:rsid w:val="00D2499C"/>
    <w:rsid w:val="00D24AB7"/>
    <w:rsid w:val="00D25081"/>
    <w:rsid w:val="00D25480"/>
    <w:rsid w:val="00D25C38"/>
    <w:rsid w:val="00D2740A"/>
    <w:rsid w:val="00D27770"/>
    <w:rsid w:val="00D27C37"/>
    <w:rsid w:val="00D27E0E"/>
    <w:rsid w:val="00D27E59"/>
    <w:rsid w:val="00D30621"/>
    <w:rsid w:val="00D32E62"/>
    <w:rsid w:val="00D34077"/>
    <w:rsid w:val="00D340E5"/>
    <w:rsid w:val="00D35C62"/>
    <w:rsid w:val="00D36755"/>
    <w:rsid w:val="00D36D53"/>
    <w:rsid w:val="00D37977"/>
    <w:rsid w:val="00D4076E"/>
    <w:rsid w:val="00D414B7"/>
    <w:rsid w:val="00D4159D"/>
    <w:rsid w:val="00D4178F"/>
    <w:rsid w:val="00D41BBB"/>
    <w:rsid w:val="00D42337"/>
    <w:rsid w:val="00D4272D"/>
    <w:rsid w:val="00D42752"/>
    <w:rsid w:val="00D4319E"/>
    <w:rsid w:val="00D43C21"/>
    <w:rsid w:val="00D446A1"/>
    <w:rsid w:val="00D44E72"/>
    <w:rsid w:val="00D4528C"/>
    <w:rsid w:val="00D45988"/>
    <w:rsid w:val="00D46074"/>
    <w:rsid w:val="00D462FB"/>
    <w:rsid w:val="00D47C8F"/>
    <w:rsid w:val="00D47F93"/>
    <w:rsid w:val="00D5013A"/>
    <w:rsid w:val="00D50ABA"/>
    <w:rsid w:val="00D51A44"/>
    <w:rsid w:val="00D51F66"/>
    <w:rsid w:val="00D524A5"/>
    <w:rsid w:val="00D52F00"/>
    <w:rsid w:val="00D52F82"/>
    <w:rsid w:val="00D52F92"/>
    <w:rsid w:val="00D53EDE"/>
    <w:rsid w:val="00D53FF5"/>
    <w:rsid w:val="00D546AF"/>
    <w:rsid w:val="00D567D5"/>
    <w:rsid w:val="00D56D92"/>
    <w:rsid w:val="00D577AA"/>
    <w:rsid w:val="00D57949"/>
    <w:rsid w:val="00D604C9"/>
    <w:rsid w:val="00D618BE"/>
    <w:rsid w:val="00D61B3D"/>
    <w:rsid w:val="00D61C1C"/>
    <w:rsid w:val="00D622FA"/>
    <w:rsid w:val="00D626CB"/>
    <w:rsid w:val="00D62B3E"/>
    <w:rsid w:val="00D62BB7"/>
    <w:rsid w:val="00D635FF"/>
    <w:rsid w:val="00D6386E"/>
    <w:rsid w:val="00D64876"/>
    <w:rsid w:val="00D65269"/>
    <w:rsid w:val="00D65806"/>
    <w:rsid w:val="00D65AFF"/>
    <w:rsid w:val="00D65C8E"/>
    <w:rsid w:val="00D66009"/>
    <w:rsid w:val="00D66268"/>
    <w:rsid w:val="00D66993"/>
    <w:rsid w:val="00D66B0B"/>
    <w:rsid w:val="00D7068F"/>
    <w:rsid w:val="00D71798"/>
    <w:rsid w:val="00D71FDC"/>
    <w:rsid w:val="00D72AE2"/>
    <w:rsid w:val="00D735F8"/>
    <w:rsid w:val="00D7436B"/>
    <w:rsid w:val="00D75176"/>
    <w:rsid w:val="00D7604F"/>
    <w:rsid w:val="00D76783"/>
    <w:rsid w:val="00D769C7"/>
    <w:rsid w:val="00D77DB4"/>
    <w:rsid w:val="00D80089"/>
    <w:rsid w:val="00D816A0"/>
    <w:rsid w:val="00D819A2"/>
    <w:rsid w:val="00D82836"/>
    <w:rsid w:val="00D82AF9"/>
    <w:rsid w:val="00D82B1D"/>
    <w:rsid w:val="00D83EBC"/>
    <w:rsid w:val="00D84C0E"/>
    <w:rsid w:val="00D859E2"/>
    <w:rsid w:val="00D87288"/>
    <w:rsid w:val="00D87A0A"/>
    <w:rsid w:val="00D90114"/>
    <w:rsid w:val="00D90492"/>
    <w:rsid w:val="00D90A48"/>
    <w:rsid w:val="00D91022"/>
    <w:rsid w:val="00D9134E"/>
    <w:rsid w:val="00D9284E"/>
    <w:rsid w:val="00D92E7D"/>
    <w:rsid w:val="00D9347C"/>
    <w:rsid w:val="00D9508B"/>
    <w:rsid w:val="00D956B0"/>
    <w:rsid w:val="00D95FA9"/>
    <w:rsid w:val="00D96446"/>
    <w:rsid w:val="00D96C15"/>
    <w:rsid w:val="00D96E09"/>
    <w:rsid w:val="00D979F8"/>
    <w:rsid w:val="00D97C17"/>
    <w:rsid w:val="00DA00AF"/>
    <w:rsid w:val="00DA0514"/>
    <w:rsid w:val="00DA060E"/>
    <w:rsid w:val="00DA096A"/>
    <w:rsid w:val="00DA0AF7"/>
    <w:rsid w:val="00DA0EAC"/>
    <w:rsid w:val="00DA103A"/>
    <w:rsid w:val="00DA322A"/>
    <w:rsid w:val="00DA3959"/>
    <w:rsid w:val="00DA484D"/>
    <w:rsid w:val="00DA4B3A"/>
    <w:rsid w:val="00DA5AB5"/>
    <w:rsid w:val="00DA5F8A"/>
    <w:rsid w:val="00DA603F"/>
    <w:rsid w:val="00DA61CC"/>
    <w:rsid w:val="00DA6760"/>
    <w:rsid w:val="00DA73BD"/>
    <w:rsid w:val="00DA79E4"/>
    <w:rsid w:val="00DB03E2"/>
    <w:rsid w:val="00DB11C4"/>
    <w:rsid w:val="00DB1A1C"/>
    <w:rsid w:val="00DB1AC4"/>
    <w:rsid w:val="00DB2EBD"/>
    <w:rsid w:val="00DB368E"/>
    <w:rsid w:val="00DB536F"/>
    <w:rsid w:val="00DB5585"/>
    <w:rsid w:val="00DB55D1"/>
    <w:rsid w:val="00DB5B61"/>
    <w:rsid w:val="00DB62F2"/>
    <w:rsid w:val="00DB6440"/>
    <w:rsid w:val="00DB7A29"/>
    <w:rsid w:val="00DB7C62"/>
    <w:rsid w:val="00DB7E95"/>
    <w:rsid w:val="00DC0A61"/>
    <w:rsid w:val="00DC127E"/>
    <w:rsid w:val="00DC221D"/>
    <w:rsid w:val="00DC2555"/>
    <w:rsid w:val="00DC2C46"/>
    <w:rsid w:val="00DC2D7F"/>
    <w:rsid w:val="00DC3043"/>
    <w:rsid w:val="00DC3129"/>
    <w:rsid w:val="00DC3680"/>
    <w:rsid w:val="00DC3949"/>
    <w:rsid w:val="00DC544D"/>
    <w:rsid w:val="00DC6421"/>
    <w:rsid w:val="00DC7409"/>
    <w:rsid w:val="00DC7456"/>
    <w:rsid w:val="00DC79B2"/>
    <w:rsid w:val="00DC79BE"/>
    <w:rsid w:val="00DC7BDC"/>
    <w:rsid w:val="00DC7EE7"/>
    <w:rsid w:val="00DD021E"/>
    <w:rsid w:val="00DD0258"/>
    <w:rsid w:val="00DD07A4"/>
    <w:rsid w:val="00DD3373"/>
    <w:rsid w:val="00DD35B9"/>
    <w:rsid w:val="00DD397C"/>
    <w:rsid w:val="00DD3C6E"/>
    <w:rsid w:val="00DD40D1"/>
    <w:rsid w:val="00DD50FE"/>
    <w:rsid w:val="00DD555B"/>
    <w:rsid w:val="00DD674B"/>
    <w:rsid w:val="00DD6A26"/>
    <w:rsid w:val="00DD702C"/>
    <w:rsid w:val="00DD75B7"/>
    <w:rsid w:val="00DE030D"/>
    <w:rsid w:val="00DE0AC6"/>
    <w:rsid w:val="00DE1ACE"/>
    <w:rsid w:val="00DE256D"/>
    <w:rsid w:val="00DE276D"/>
    <w:rsid w:val="00DE30B9"/>
    <w:rsid w:val="00DE3489"/>
    <w:rsid w:val="00DE37A3"/>
    <w:rsid w:val="00DE37DA"/>
    <w:rsid w:val="00DE4313"/>
    <w:rsid w:val="00DE547F"/>
    <w:rsid w:val="00DE5BB7"/>
    <w:rsid w:val="00DE5D82"/>
    <w:rsid w:val="00DE70D5"/>
    <w:rsid w:val="00DE7F20"/>
    <w:rsid w:val="00DF0E2D"/>
    <w:rsid w:val="00DF1A3C"/>
    <w:rsid w:val="00DF1BC2"/>
    <w:rsid w:val="00DF1D53"/>
    <w:rsid w:val="00DF2024"/>
    <w:rsid w:val="00DF3D92"/>
    <w:rsid w:val="00DF4062"/>
    <w:rsid w:val="00DF4DBC"/>
    <w:rsid w:val="00DF513B"/>
    <w:rsid w:val="00DF51B7"/>
    <w:rsid w:val="00DF5635"/>
    <w:rsid w:val="00DF6114"/>
    <w:rsid w:val="00DF62D4"/>
    <w:rsid w:val="00DF68AA"/>
    <w:rsid w:val="00DF6AE3"/>
    <w:rsid w:val="00DF728D"/>
    <w:rsid w:val="00DF76F4"/>
    <w:rsid w:val="00DF7B10"/>
    <w:rsid w:val="00DF7C86"/>
    <w:rsid w:val="00DF7EEF"/>
    <w:rsid w:val="00DF7FF7"/>
    <w:rsid w:val="00E022C5"/>
    <w:rsid w:val="00E023CC"/>
    <w:rsid w:val="00E026BD"/>
    <w:rsid w:val="00E02A72"/>
    <w:rsid w:val="00E02EF9"/>
    <w:rsid w:val="00E032ED"/>
    <w:rsid w:val="00E04996"/>
    <w:rsid w:val="00E0542F"/>
    <w:rsid w:val="00E055C2"/>
    <w:rsid w:val="00E05637"/>
    <w:rsid w:val="00E05756"/>
    <w:rsid w:val="00E05A2A"/>
    <w:rsid w:val="00E05EE6"/>
    <w:rsid w:val="00E06AA4"/>
    <w:rsid w:val="00E06FA1"/>
    <w:rsid w:val="00E071A0"/>
    <w:rsid w:val="00E0748D"/>
    <w:rsid w:val="00E1096F"/>
    <w:rsid w:val="00E10F91"/>
    <w:rsid w:val="00E11A55"/>
    <w:rsid w:val="00E137FB"/>
    <w:rsid w:val="00E140FC"/>
    <w:rsid w:val="00E14692"/>
    <w:rsid w:val="00E14CFA"/>
    <w:rsid w:val="00E14E6C"/>
    <w:rsid w:val="00E153FE"/>
    <w:rsid w:val="00E15927"/>
    <w:rsid w:val="00E162AA"/>
    <w:rsid w:val="00E16830"/>
    <w:rsid w:val="00E175B9"/>
    <w:rsid w:val="00E1785A"/>
    <w:rsid w:val="00E1789A"/>
    <w:rsid w:val="00E17BC7"/>
    <w:rsid w:val="00E20EB2"/>
    <w:rsid w:val="00E20F6B"/>
    <w:rsid w:val="00E219DF"/>
    <w:rsid w:val="00E21BF4"/>
    <w:rsid w:val="00E22F21"/>
    <w:rsid w:val="00E23A98"/>
    <w:rsid w:val="00E243EB"/>
    <w:rsid w:val="00E250B2"/>
    <w:rsid w:val="00E256EB"/>
    <w:rsid w:val="00E261C9"/>
    <w:rsid w:val="00E2701C"/>
    <w:rsid w:val="00E27657"/>
    <w:rsid w:val="00E27EA6"/>
    <w:rsid w:val="00E302CE"/>
    <w:rsid w:val="00E316F2"/>
    <w:rsid w:val="00E31B25"/>
    <w:rsid w:val="00E31C05"/>
    <w:rsid w:val="00E31E44"/>
    <w:rsid w:val="00E33742"/>
    <w:rsid w:val="00E33766"/>
    <w:rsid w:val="00E342E9"/>
    <w:rsid w:val="00E343C7"/>
    <w:rsid w:val="00E3450C"/>
    <w:rsid w:val="00E3589E"/>
    <w:rsid w:val="00E3775A"/>
    <w:rsid w:val="00E37CDB"/>
    <w:rsid w:val="00E40899"/>
    <w:rsid w:val="00E409BA"/>
    <w:rsid w:val="00E41206"/>
    <w:rsid w:val="00E41A20"/>
    <w:rsid w:val="00E41B3D"/>
    <w:rsid w:val="00E42B2E"/>
    <w:rsid w:val="00E43F43"/>
    <w:rsid w:val="00E44CD7"/>
    <w:rsid w:val="00E45220"/>
    <w:rsid w:val="00E45708"/>
    <w:rsid w:val="00E4584C"/>
    <w:rsid w:val="00E45C48"/>
    <w:rsid w:val="00E472DA"/>
    <w:rsid w:val="00E47DD6"/>
    <w:rsid w:val="00E47FA5"/>
    <w:rsid w:val="00E505FD"/>
    <w:rsid w:val="00E51B7B"/>
    <w:rsid w:val="00E5342D"/>
    <w:rsid w:val="00E53760"/>
    <w:rsid w:val="00E5389E"/>
    <w:rsid w:val="00E53AD7"/>
    <w:rsid w:val="00E53DC9"/>
    <w:rsid w:val="00E53E15"/>
    <w:rsid w:val="00E55C6B"/>
    <w:rsid w:val="00E55D65"/>
    <w:rsid w:val="00E565EF"/>
    <w:rsid w:val="00E568D0"/>
    <w:rsid w:val="00E56986"/>
    <w:rsid w:val="00E56C97"/>
    <w:rsid w:val="00E57B25"/>
    <w:rsid w:val="00E57BEA"/>
    <w:rsid w:val="00E57CCB"/>
    <w:rsid w:val="00E608D6"/>
    <w:rsid w:val="00E61086"/>
    <w:rsid w:val="00E6146B"/>
    <w:rsid w:val="00E62752"/>
    <w:rsid w:val="00E62945"/>
    <w:rsid w:val="00E63005"/>
    <w:rsid w:val="00E6321D"/>
    <w:rsid w:val="00E64510"/>
    <w:rsid w:val="00E64874"/>
    <w:rsid w:val="00E64C98"/>
    <w:rsid w:val="00E6641C"/>
    <w:rsid w:val="00E66C24"/>
    <w:rsid w:val="00E66C79"/>
    <w:rsid w:val="00E66F45"/>
    <w:rsid w:val="00E670EE"/>
    <w:rsid w:val="00E671AC"/>
    <w:rsid w:val="00E67450"/>
    <w:rsid w:val="00E6792F"/>
    <w:rsid w:val="00E704E1"/>
    <w:rsid w:val="00E70EED"/>
    <w:rsid w:val="00E7244A"/>
    <w:rsid w:val="00E72B58"/>
    <w:rsid w:val="00E73589"/>
    <w:rsid w:val="00E73CA9"/>
    <w:rsid w:val="00E73EDA"/>
    <w:rsid w:val="00E73F05"/>
    <w:rsid w:val="00E74E0B"/>
    <w:rsid w:val="00E75BC2"/>
    <w:rsid w:val="00E76668"/>
    <w:rsid w:val="00E76A5F"/>
    <w:rsid w:val="00E775F5"/>
    <w:rsid w:val="00E803D0"/>
    <w:rsid w:val="00E80607"/>
    <w:rsid w:val="00E80FF1"/>
    <w:rsid w:val="00E81165"/>
    <w:rsid w:val="00E82198"/>
    <w:rsid w:val="00E82A20"/>
    <w:rsid w:val="00E82FDE"/>
    <w:rsid w:val="00E8348C"/>
    <w:rsid w:val="00E839D7"/>
    <w:rsid w:val="00E8455A"/>
    <w:rsid w:val="00E845BC"/>
    <w:rsid w:val="00E8498E"/>
    <w:rsid w:val="00E84A54"/>
    <w:rsid w:val="00E84E78"/>
    <w:rsid w:val="00E85743"/>
    <w:rsid w:val="00E85750"/>
    <w:rsid w:val="00E85F5B"/>
    <w:rsid w:val="00E85FAF"/>
    <w:rsid w:val="00E86311"/>
    <w:rsid w:val="00E86A05"/>
    <w:rsid w:val="00E870BC"/>
    <w:rsid w:val="00E8767C"/>
    <w:rsid w:val="00E87EF3"/>
    <w:rsid w:val="00E903CB"/>
    <w:rsid w:val="00E910F7"/>
    <w:rsid w:val="00E9178C"/>
    <w:rsid w:val="00E9197A"/>
    <w:rsid w:val="00E91ED1"/>
    <w:rsid w:val="00E91F25"/>
    <w:rsid w:val="00E922C3"/>
    <w:rsid w:val="00E923CC"/>
    <w:rsid w:val="00E9251C"/>
    <w:rsid w:val="00E9363A"/>
    <w:rsid w:val="00E941AF"/>
    <w:rsid w:val="00E95E8B"/>
    <w:rsid w:val="00E962FC"/>
    <w:rsid w:val="00E96D4A"/>
    <w:rsid w:val="00E9729F"/>
    <w:rsid w:val="00E97ACC"/>
    <w:rsid w:val="00EA0C42"/>
    <w:rsid w:val="00EA23E5"/>
    <w:rsid w:val="00EA2F5F"/>
    <w:rsid w:val="00EA4786"/>
    <w:rsid w:val="00EA4843"/>
    <w:rsid w:val="00EA5F14"/>
    <w:rsid w:val="00EA6661"/>
    <w:rsid w:val="00EA668B"/>
    <w:rsid w:val="00EA66C2"/>
    <w:rsid w:val="00EA68D8"/>
    <w:rsid w:val="00EA724B"/>
    <w:rsid w:val="00EB0F02"/>
    <w:rsid w:val="00EB1393"/>
    <w:rsid w:val="00EB15AC"/>
    <w:rsid w:val="00EB1F1D"/>
    <w:rsid w:val="00EB30CD"/>
    <w:rsid w:val="00EB4230"/>
    <w:rsid w:val="00EB44C8"/>
    <w:rsid w:val="00EB6249"/>
    <w:rsid w:val="00EB6AFC"/>
    <w:rsid w:val="00EB7065"/>
    <w:rsid w:val="00EB7B47"/>
    <w:rsid w:val="00EC08FE"/>
    <w:rsid w:val="00EC1073"/>
    <w:rsid w:val="00EC1144"/>
    <w:rsid w:val="00EC12B5"/>
    <w:rsid w:val="00EC1442"/>
    <w:rsid w:val="00EC173D"/>
    <w:rsid w:val="00EC24B3"/>
    <w:rsid w:val="00EC333C"/>
    <w:rsid w:val="00EC3B9E"/>
    <w:rsid w:val="00EC3BA8"/>
    <w:rsid w:val="00EC413F"/>
    <w:rsid w:val="00EC4E93"/>
    <w:rsid w:val="00EC5307"/>
    <w:rsid w:val="00EC5A97"/>
    <w:rsid w:val="00EC650B"/>
    <w:rsid w:val="00EC67E0"/>
    <w:rsid w:val="00EC6C5B"/>
    <w:rsid w:val="00EC6D18"/>
    <w:rsid w:val="00EC77A3"/>
    <w:rsid w:val="00ED03F1"/>
    <w:rsid w:val="00ED0A46"/>
    <w:rsid w:val="00ED117F"/>
    <w:rsid w:val="00ED1ED0"/>
    <w:rsid w:val="00ED1EDB"/>
    <w:rsid w:val="00ED2170"/>
    <w:rsid w:val="00ED236E"/>
    <w:rsid w:val="00ED27BC"/>
    <w:rsid w:val="00ED2C9D"/>
    <w:rsid w:val="00ED33B2"/>
    <w:rsid w:val="00ED364E"/>
    <w:rsid w:val="00ED4289"/>
    <w:rsid w:val="00ED4CFD"/>
    <w:rsid w:val="00ED7892"/>
    <w:rsid w:val="00ED7A87"/>
    <w:rsid w:val="00EE0A77"/>
    <w:rsid w:val="00EE2053"/>
    <w:rsid w:val="00EE41DF"/>
    <w:rsid w:val="00EE66A9"/>
    <w:rsid w:val="00EE6BFE"/>
    <w:rsid w:val="00EE7426"/>
    <w:rsid w:val="00EF0C75"/>
    <w:rsid w:val="00EF0D91"/>
    <w:rsid w:val="00EF1E17"/>
    <w:rsid w:val="00EF20E5"/>
    <w:rsid w:val="00EF2A4C"/>
    <w:rsid w:val="00EF2CEA"/>
    <w:rsid w:val="00EF4CB4"/>
    <w:rsid w:val="00EF5833"/>
    <w:rsid w:val="00EF6C42"/>
    <w:rsid w:val="00EF6D50"/>
    <w:rsid w:val="00EF78DB"/>
    <w:rsid w:val="00EF7952"/>
    <w:rsid w:val="00F00913"/>
    <w:rsid w:val="00F00C24"/>
    <w:rsid w:val="00F02072"/>
    <w:rsid w:val="00F0254A"/>
    <w:rsid w:val="00F02CD7"/>
    <w:rsid w:val="00F03AAE"/>
    <w:rsid w:val="00F03ED9"/>
    <w:rsid w:val="00F043A0"/>
    <w:rsid w:val="00F0520B"/>
    <w:rsid w:val="00F0544D"/>
    <w:rsid w:val="00F066F2"/>
    <w:rsid w:val="00F06A45"/>
    <w:rsid w:val="00F07081"/>
    <w:rsid w:val="00F079C5"/>
    <w:rsid w:val="00F115B4"/>
    <w:rsid w:val="00F1203E"/>
    <w:rsid w:val="00F12E5A"/>
    <w:rsid w:val="00F14159"/>
    <w:rsid w:val="00F14A81"/>
    <w:rsid w:val="00F14DBF"/>
    <w:rsid w:val="00F15219"/>
    <w:rsid w:val="00F15BAA"/>
    <w:rsid w:val="00F15CC3"/>
    <w:rsid w:val="00F16A4A"/>
    <w:rsid w:val="00F16F35"/>
    <w:rsid w:val="00F172A3"/>
    <w:rsid w:val="00F1790B"/>
    <w:rsid w:val="00F17A8A"/>
    <w:rsid w:val="00F17D14"/>
    <w:rsid w:val="00F2005C"/>
    <w:rsid w:val="00F206AC"/>
    <w:rsid w:val="00F20DA5"/>
    <w:rsid w:val="00F211AA"/>
    <w:rsid w:val="00F22C28"/>
    <w:rsid w:val="00F23490"/>
    <w:rsid w:val="00F24EB1"/>
    <w:rsid w:val="00F2582A"/>
    <w:rsid w:val="00F259A2"/>
    <w:rsid w:val="00F26238"/>
    <w:rsid w:val="00F26650"/>
    <w:rsid w:val="00F275B5"/>
    <w:rsid w:val="00F30BAB"/>
    <w:rsid w:val="00F30CB3"/>
    <w:rsid w:val="00F31106"/>
    <w:rsid w:val="00F31D6E"/>
    <w:rsid w:val="00F32AAE"/>
    <w:rsid w:val="00F3348C"/>
    <w:rsid w:val="00F33D53"/>
    <w:rsid w:val="00F34D27"/>
    <w:rsid w:val="00F35895"/>
    <w:rsid w:val="00F35EE2"/>
    <w:rsid w:val="00F36964"/>
    <w:rsid w:val="00F3798A"/>
    <w:rsid w:val="00F40D1F"/>
    <w:rsid w:val="00F40D2E"/>
    <w:rsid w:val="00F4172F"/>
    <w:rsid w:val="00F41BBB"/>
    <w:rsid w:val="00F428EC"/>
    <w:rsid w:val="00F434EC"/>
    <w:rsid w:val="00F437CD"/>
    <w:rsid w:val="00F43E65"/>
    <w:rsid w:val="00F43ECD"/>
    <w:rsid w:val="00F45248"/>
    <w:rsid w:val="00F45A19"/>
    <w:rsid w:val="00F45C36"/>
    <w:rsid w:val="00F46ED2"/>
    <w:rsid w:val="00F4797E"/>
    <w:rsid w:val="00F5056E"/>
    <w:rsid w:val="00F50BBB"/>
    <w:rsid w:val="00F512EB"/>
    <w:rsid w:val="00F518B2"/>
    <w:rsid w:val="00F533BF"/>
    <w:rsid w:val="00F53C34"/>
    <w:rsid w:val="00F53F34"/>
    <w:rsid w:val="00F54779"/>
    <w:rsid w:val="00F54858"/>
    <w:rsid w:val="00F561C3"/>
    <w:rsid w:val="00F56253"/>
    <w:rsid w:val="00F56874"/>
    <w:rsid w:val="00F56958"/>
    <w:rsid w:val="00F56B63"/>
    <w:rsid w:val="00F570A6"/>
    <w:rsid w:val="00F61529"/>
    <w:rsid w:val="00F61576"/>
    <w:rsid w:val="00F629C4"/>
    <w:rsid w:val="00F62CB3"/>
    <w:rsid w:val="00F62D8A"/>
    <w:rsid w:val="00F63629"/>
    <w:rsid w:val="00F647BD"/>
    <w:rsid w:val="00F64B09"/>
    <w:rsid w:val="00F64E08"/>
    <w:rsid w:val="00F655A8"/>
    <w:rsid w:val="00F657B3"/>
    <w:rsid w:val="00F658C7"/>
    <w:rsid w:val="00F677DF"/>
    <w:rsid w:val="00F7016F"/>
    <w:rsid w:val="00F701B0"/>
    <w:rsid w:val="00F70BAC"/>
    <w:rsid w:val="00F71CAA"/>
    <w:rsid w:val="00F721E6"/>
    <w:rsid w:val="00F73A05"/>
    <w:rsid w:val="00F73E66"/>
    <w:rsid w:val="00F74C42"/>
    <w:rsid w:val="00F760F3"/>
    <w:rsid w:val="00F76858"/>
    <w:rsid w:val="00F771E5"/>
    <w:rsid w:val="00F80610"/>
    <w:rsid w:val="00F8166A"/>
    <w:rsid w:val="00F81728"/>
    <w:rsid w:val="00F81E2D"/>
    <w:rsid w:val="00F82845"/>
    <w:rsid w:val="00F83D6D"/>
    <w:rsid w:val="00F847F7"/>
    <w:rsid w:val="00F84E66"/>
    <w:rsid w:val="00F8504A"/>
    <w:rsid w:val="00F85317"/>
    <w:rsid w:val="00F85540"/>
    <w:rsid w:val="00F85F69"/>
    <w:rsid w:val="00F87386"/>
    <w:rsid w:val="00F87892"/>
    <w:rsid w:val="00F87D71"/>
    <w:rsid w:val="00F87DA3"/>
    <w:rsid w:val="00F90427"/>
    <w:rsid w:val="00F90C82"/>
    <w:rsid w:val="00F911FF"/>
    <w:rsid w:val="00F91D42"/>
    <w:rsid w:val="00F91E78"/>
    <w:rsid w:val="00F938AB"/>
    <w:rsid w:val="00F9482B"/>
    <w:rsid w:val="00F94B96"/>
    <w:rsid w:val="00F94DA9"/>
    <w:rsid w:val="00F95301"/>
    <w:rsid w:val="00F955BD"/>
    <w:rsid w:val="00F95761"/>
    <w:rsid w:val="00F95847"/>
    <w:rsid w:val="00F96191"/>
    <w:rsid w:val="00F97515"/>
    <w:rsid w:val="00F97C6C"/>
    <w:rsid w:val="00FA0A58"/>
    <w:rsid w:val="00FA0B62"/>
    <w:rsid w:val="00FA0E12"/>
    <w:rsid w:val="00FA170B"/>
    <w:rsid w:val="00FA2033"/>
    <w:rsid w:val="00FA23CC"/>
    <w:rsid w:val="00FA4842"/>
    <w:rsid w:val="00FA4890"/>
    <w:rsid w:val="00FA52E7"/>
    <w:rsid w:val="00FA5E6A"/>
    <w:rsid w:val="00FA6899"/>
    <w:rsid w:val="00FB048B"/>
    <w:rsid w:val="00FB053B"/>
    <w:rsid w:val="00FB05C1"/>
    <w:rsid w:val="00FB21F2"/>
    <w:rsid w:val="00FB2213"/>
    <w:rsid w:val="00FB23C6"/>
    <w:rsid w:val="00FB265D"/>
    <w:rsid w:val="00FB28A6"/>
    <w:rsid w:val="00FB3619"/>
    <w:rsid w:val="00FB369E"/>
    <w:rsid w:val="00FB4572"/>
    <w:rsid w:val="00FB474F"/>
    <w:rsid w:val="00FB49D7"/>
    <w:rsid w:val="00FB4B49"/>
    <w:rsid w:val="00FB4E33"/>
    <w:rsid w:val="00FB5757"/>
    <w:rsid w:val="00FC1904"/>
    <w:rsid w:val="00FC1B99"/>
    <w:rsid w:val="00FC21F5"/>
    <w:rsid w:val="00FC2EB4"/>
    <w:rsid w:val="00FC35D9"/>
    <w:rsid w:val="00FC4B35"/>
    <w:rsid w:val="00FC5359"/>
    <w:rsid w:val="00FC53B7"/>
    <w:rsid w:val="00FC55DE"/>
    <w:rsid w:val="00FC55E9"/>
    <w:rsid w:val="00FC5D52"/>
    <w:rsid w:val="00FC5EF7"/>
    <w:rsid w:val="00FC6152"/>
    <w:rsid w:val="00FC64D4"/>
    <w:rsid w:val="00FC6C3B"/>
    <w:rsid w:val="00FD0B86"/>
    <w:rsid w:val="00FD0F5C"/>
    <w:rsid w:val="00FD14DA"/>
    <w:rsid w:val="00FD18AF"/>
    <w:rsid w:val="00FD39DA"/>
    <w:rsid w:val="00FD45FC"/>
    <w:rsid w:val="00FD48E6"/>
    <w:rsid w:val="00FD5675"/>
    <w:rsid w:val="00FD5BDE"/>
    <w:rsid w:val="00FD60FD"/>
    <w:rsid w:val="00FD612D"/>
    <w:rsid w:val="00FD74A8"/>
    <w:rsid w:val="00FD7E49"/>
    <w:rsid w:val="00FE0A6E"/>
    <w:rsid w:val="00FE0C5F"/>
    <w:rsid w:val="00FE101A"/>
    <w:rsid w:val="00FE1A6F"/>
    <w:rsid w:val="00FE1CF8"/>
    <w:rsid w:val="00FE1EEB"/>
    <w:rsid w:val="00FE29B7"/>
    <w:rsid w:val="00FE29E4"/>
    <w:rsid w:val="00FE43D7"/>
    <w:rsid w:val="00FE4E18"/>
    <w:rsid w:val="00FE4F93"/>
    <w:rsid w:val="00FE5919"/>
    <w:rsid w:val="00FE5CD3"/>
    <w:rsid w:val="00FE65DB"/>
    <w:rsid w:val="00FE6B26"/>
    <w:rsid w:val="00FE6BA8"/>
    <w:rsid w:val="00FE7CE8"/>
    <w:rsid w:val="00FF1A0E"/>
    <w:rsid w:val="00FF206E"/>
    <w:rsid w:val="00FF2351"/>
    <w:rsid w:val="00FF251F"/>
    <w:rsid w:val="00FF3326"/>
    <w:rsid w:val="00FF33CF"/>
    <w:rsid w:val="00FF3A0A"/>
    <w:rsid w:val="00FF3AB7"/>
    <w:rsid w:val="00FF4187"/>
    <w:rsid w:val="00FF4286"/>
    <w:rsid w:val="00FF4AAE"/>
    <w:rsid w:val="00FF512C"/>
    <w:rsid w:val="00FF53EB"/>
    <w:rsid w:val="00FF54CC"/>
    <w:rsid w:val="00FF5CBE"/>
    <w:rsid w:val="00FF5D00"/>
    <w:rsid w:val="00FF5F05"/>
    <w:rsid w:val="00FF5F1D"/>
    <w:rsid w:val="00FF663C"/>
    <w:rsid w:val="00FF7162"/>
    <w:rsid w:val="00FF7309"/>
    <w:rsid w:val="01687703"/>
    <w:rsid w:val="030931FD"/>
    <w:rsid w:val="037974F2"/>
    <w:rsid w:val="04390EE3"/>
    <w:rsid w:val="04C82992"/>
    <w:rsid w:val="05157BA2"/>
    <w:rsid w:val="051E25B2"/>
    <w:rsid w:val="05432019"/>
    <w:rsid w:val="064249C6"/>
    <w:rsid w:val="06923350"/>
    <w:rsid w:val="069A65B0"/>
    <w:rsid w:val="06F25E18"/>
    <w:rsid w:val="06F442F3"/>
    <w:rsid w:val="07177C01"/>
    <w:rsid w:val="07E86502"/>
    <w:rsid w:val="089112ED"/>
    <w:rsid w:val="08DF591E"/>
    <w:rsid w:val="09403496"/>
    <w:rsid w:val="0A791B72"/>
    <w:rsid w:val="0ABB4D47"/>
    <w:rsid w:val="0AD6392F"/>
    <w:rsid w:val="0B907F82"/>
    <w:rsid w:val="0BB2614A"/>
    <w:rsid w:val="0BC65752"/>
    <w:rsid w:val="0BDC31C7"/>
    <w:rsid w:val="0CCC323C"/>
    <w:rsid w:val="0CDF4BCB"/>
    <w:rsid w:val="0D23331A"/>
    <w:rsid w:val="0D2408DB"/>
    <w:rsid w:val="0D674D12"/>
    <w:rsid w:val="0EA578A0"/>
    <w:rsid w:val="0EB14497"/>
    <w:rsid w:val="0ED4462A"/>
    <w:rsid w:val="0F236E73"/>
    <w:rsid w:val="0F274759"/>
    <w:rsid w:val="0F424977"/>
    <w:rsid w:val="0FFD96E6"/>
    <w:rsid w:val="101649EC"/>
    <w:rsid w:val="10545A22"/>
    <w:rsid w:val="10CA5CE4"/>
    <w:rsid w:val="10D17073"/>
    <w:rsid w:val="10E723F2"/>
    <w:rsid w:val="116663D7"/>
    <w:rsid w:val="11875983"/>
    <w:rsid w:val="121721C8"/>
    <w:rsid w:val="125B6DD1"/>
    <w:rsid w:val="131D659F"/>
    <w:rsid w:val="13355B11"/>
    <w:rsid w:val="13AE5449"/>
    <w:rsid w:val="14373691"/>
    <w:rsid w:val="149616BF"/>
    <w:rsid w:val="15427F5D"/>
    <w:rsid w:val="15D46F3B"/>
    <w:rsid w:val="15D66ED9"/>
    <w:rsid w:val="15DD5B72"/>
    <w:rsid w:val="15E11B06"/>
    <w:rsid w:val="161C2E01"/>
    <w:rsid w:val="162241C0"/>
    <w:rsid w:val="162E6D95"/>
    <w:rsid w:val="167B0137"/>
    <w:rsid w:val="16B17A67"/>
    <w:rsid w:val="16BF2E03"/>
    <w:rsid w:val="17367C2F"/>
    <w:rsid w:val="177C760C"/>
    <w:rsid w:val="17DBE7C8"/>
    <w:rsid w:val="182E4DAB"/>
    <w:rsid w:val="19006747"/>
    <w:rsid w:val="19037FE5"/>
    <w:rsid w:val="19832ED4"/>
    <w:rsid w:val="19E51499"/>
    <w:rsid w:val="1A23310B"/>
    <w:rsid w:val="1AF242CD"/>
    <w:rsid w:val="1BAD248A"/>
    <w:rsid w:val="1BF9747E"/>
    <w:rsid w:val="1D1F573D"/>
    <w:rsid w:val="1D4330A6"/>
    <w:rsid w:val="1E5D0E34"/>
    <w:rsid w:val="1E786A08"/>
    <w:rsid w:val="1EDBF084"/>
    <w:rsid w:val="1F0979D8"/>
    <w:rsid w:val="1F2F89C2"/>
    <w:rsid w:val="1F7EB2E3"/>
    <w:rsid w:val="1FCC446F"/>
    <w:rsid w:val="20FC3C98"/>
    <w:rsid w:val="21026DD4"/>
    <w:rsid w:val="212E7BC9"/>
    <w:rsid w:val="220538DE"/>
    <w:rsid w:val="231177A3"/>
    <w:rsid w:val="23952182"/>
    <w:rsid w:val="23D06D16"/>
    <w:rsid w:val="23E463A4"/>
    <w:rsid w:val="24253506"/>
    <w:rsid w:val="24BE3012"/>
    <w:rsid w:val="25473008"/>
    <w:rsid w:val="25714529"/>
    <w:rsid w:val="25C428AA"/>
    <w:rsid w:val="25DF5936"/>
    <w:rsid w:val="2628108B"/>
    <w:rsid w:val="26321C01"/>
    <w:rsid w:val="264B2FCC"/>
    <w:rsid w:val="268B0052"/>
    <w:rsid w:val="2694227D"/>
    <w:rsid w:val="269C3827"/>
    <w:rsid w:val="276332FD"/>
    <w:rsid w:val="27FC457D"/>
    <w:rsid w:val="280F7A39"/>
    <w:rsid w:val="28DE6BAF"/>
    <w:rsid w:val="291A0AF2"/>
    <w:rsid w:val="29912DA0"/>
    <w:rsid w:val="299F0980"/>
    <w:rsid w:val="29F55728"/>
    <w:rsid w:val="2A495A74"/>
    <w:rsid w:val="2A5F7045"/>
    <w:rsid w:val="2A6FC575"/>
    <w:rsid w:val="2AAD2F10"/>
    <w:rsid w:val="2B3478AE"/>
    <w:rsid w:val="2B634913"/>
    <w:rsid w:val="2BB20729"/>
    <w:rsid w:val="2C1005F7"/>
    <w:rsid w:val="2C972AC7"/>
    <w:rsid w:val="2D789859"/>
    <w:rsid w:val="2D7B5C52"/>
    <w:rsid w:val="2DCF6290"/>
    <w:rsid w:val="2E5D389C"/>
    <w:rsid w:val="2E9A2060"/>
    <w:rsid w:val="2F5729E1"/>
    <w:rsid w:val="2F8C8A09"/>
    <w:rsid w:val="2FEC4ED7"/>
    <w:rsid w:val="301F52AD"/>
    <w:rsid w:val="306B5F67"/>
    <w:rsid w:val="31B77767"/>
    <w:rsid w:val="31DFAC0C"/>
    <w:rsid w:val="31FFC367"/>
    <w:rsid w:val="32292413"/>
    <w:rsid w:val="325E7BE3"/>
    <w:rsid w:val="32751B8C"/>
    <w:rsid w:val="32E20814"/>
    <w:rsid w:val="32EE540A"/>
    <w:rsid w:val="3347A74E"/>
    <w:rsid w:val="338AFA4B"/>
    <w:rsid w:val="34264730"/>
    <w:rsid w:val="34F211E2"/>
    <w:rsid w:val="34F6495E"/>
    <w:rsid w:val="35042256"/>
    <w:rsid w:val="353431B1"/>
    <w:rsid w:val="358B6F41"/>
    <w:rsid w:val="360F7B72"/>
    <w:rsid w:val="36275CA8"/>
    <w:rsid w:val="36694184"/>
    <w:rsid w:val="36FFB3D5"/>
    <w:rsid w:val="37E7F819"/>
    <w:rsid w:val="38CF3B11"/>
    <w:rsid w:val="390C2146"/>
    <w:rsid w:val="397D1296"/>
    <w:rsid w:val="39B32F0A"/>
    <w:rsid w:val="39C92027"/>
    <w:rsid w:val="39FE90F2"/>
    <w:rsid w:val="3A093F3A"/>
    <w:rsid w:val="3A6366DE"/>
    <w:rsid w:val="3A667F7C"/>
    <w:rsid w:val="3B3D6F2F"/>
    <w:rsid w:val="3B84690C"/>
    <w:rsid w:val="3B984165"/>
    <w:rsid w:val="3BD930F0"/>
    <w:rsid w:val="3C03644E"/>
    <w:rsid w:val="3CBB45AF"/>
    <w:rsid w:val="3CCB6FD9"/>
    <w:rsid w:val="3D1F361A"/>
    <w:rsid w:val="3D58A29C"/>
    <w:rsid w:val="3D766728"/>
    <w:rsid w:val="3D820C29"/>
    <w:rsid w:val="3DF338D5"/>
    <w:rsid w:val="3E7B5002"/>
    <w:rsid w:val="3E9930EE"/>
    <w:rsid w:val="3EA90890"/>
    <w:rsid w:val="3EACAF54"/>
    <w:rsid w:val="3EDECF3A"/>
    <w:rsid w:val="3EEBF911"/>
    <w:rsid w:val="3F033FEC"/>
    <w:rsid w:val="3F2BB200"/>
    <w:rsid w:val="3F402B4A"/>
    <w:rsid w:val="3F674836"/>
    <w:rsid w:val="3F7F78EB"/>
    <w:rsid w:val="3FA52852"/>
    <w:rsid w:val="3FB30B6C"/>
    <w:rsid w:val="3FB93FD1"/>
    <w:rsid w:val="3FEAF99D"/>
    <w:rsid w:val="3FF83425"/>
    <w:rsid w:val="3FFB7753"/>
    <w:rsid w:val="404B3E9C"/>
    <w:rsid w:val="408A49C4"/>
    <w:rsid w:val="40B2013E"/>
    <w:rsid w:val="40D4166E"/>
    <w:rsid w:val="41022C69"/>
    <w:rsid w:val="413D3C7B"/>
    <w:rsid w:val="41691DD9"/>
    <w:rsid w:val="417E6496"/>
    <w:rsid w:val="41BE244C"/>
    <w:rsid w:val="41EA4FEF"/>
    <w:rsid w:val="41F5F83C"/>
    <w:rsid w:val="4214206C"/>
    <w:rsid w:val="427F6360"/>
    <w:rsid w:val="43655275"/>
    <w:rsid w:val="4395F1A0"/>
    <w:rsid w:val="43AC2EA4"/>
    <w:rsid w:val="43B104BA"/>
    <w:rsid w:val="44130A96"/>
    <w:rsid w:val="4530540F"/>
    <w:rsid w:val="458F482B"/>
    <w:rsid w:val="45A54224"/>
    <w:rsid w:val="45AE3109"/>
    <w:rsid w:val="462555ED"/>
    <w:rsid w:val="465D33FD"/>
    <w:rsid w:val="46696E2A"/>
    <w:rsid w:val="47B73D48"/>
    <w:rsid w:val="47BA490B"/>
    <w:rsid w:val="47CF7F70"/>
    <w:rsid w:val="47E524E0"/>
    <w:rsid w:val="47ED3A8B"/>
    <w:rsid w:val="47F60B91"/>
    <w:rsid w:val="47F81195"/>
    <w:rsid w:val="482079BC"/>
    <w:rsid w:val="48343468"/>
    <w:rsid w:val="48CF77AC"/>
    <w:rsid w:val="49EC224C"/>
    <w:rsid w:val="4A520FD4"/>
    <w:rsid w:val="4AEC002A"/>
    <w:rsid w:val="4AFE0AF7"/>
    <w:rsid w:val="4B0610EB"/>
    <w:rsid w:val="4B346CEE"/>
    <w:rsid w:val="4B553A9B"/>
    <w:rsid w:val="4B5A4F93"/>
    <w:rsid w:val="4B7EDAFF"/>
    <w:rsid w:val="4B83098E"/>
    <w:rsid w:val="4BAFFBA5"/>
    <w:rsid w:val="4C46616F"/>
    <w:rsid w:val="4D1B1A71"/>
    <w:rsid w:val="4D97C5B3"/>
    <w:rsid w:val="4DFEE0E0"/>
    <w:rsid w:val="4E122358"/>
    <w:rsid w:val="4ED71F51"/>
    <w:rsid w:val="4F0E67C1"/>
    <w:rsid w:val="4F361873"/>
    <w:rsid w:val="4F7C7BCE"/>
    <w:rsid w:val="4FC13833"/>
    <w:rsid w:val="4FD712A8"/>
    <w:rsid w:val="4FDFB9C5"/>
    <w:rsid w:val="50811214"/>
    <w:rsid w:val="51B54B7D"/>
    <w:rsid w:val="51E63A25"/>
    <w:rsid w:val="52F7F707"/>
    <w:rsid w:val="53338675"/>
    <w:rsid w:val="538B66AA"/>
    <w:rsid w:val="53BF01A6"/>
    <w:rsid w:val="54196C13"/>
    <w:rsid w:val="547F49A0"/>
    <w:rsid w:val="550F79D3"/>
    <w:rsid w:val="553B4087"/>
    <w:rsid w:val="562B40FC"/>
    <w:rsid w:val="56FE2C18"/>
    <w:rsid w:val="577D79C8"/>
    <w:rsid w:val="57DE4503"/>
    <w:rsid w:val="580469B3"/>
    <w:rsid w:val="581D7A74"/>
    <w:rsid w:val="58214A53"/>
    <w:rsid w:val="584415C6"/>
    <w:rsid w:val="586E6522"/>
    <w:rsid w:val="597E4B39"/>
    <w:rsid w:val="59FF1575"/>
    <w:rsid w:val="5A882A18"/>
    <w:rsid w:val="5AB02E22"/>
    <w:rsid w:val="5AE8436A"/>
    <w:rsid w:val="5B212792"/>
    <w:rsid w:val="5BFECE83"/>
    <w:rsid w:val="5C5477DD"/>
    <w:rsid w:val="5C5F065B"/>
    <w:rsid w:val="5C7F2AAC"/>
    <w:rsid w:val="5CC82B3B"/>
    <w:rsid w:val="5CFA65D6"/>
    <w:rsid w:val="5D1551BE"/>
    <w:rsid w:val="5D7A3AAC"/>
    <w:rsid w:val="5D944335"/>
    <w:rsid w:val="5DC56576"/>
    <w:rsid w:val="5DDC3F2E"/>
    <w:rsid w:val="5DDD6F2B"/>
    <w:rsid w:val="5DFFFB23"/>
    <w:rsid w:val="5EBA601D"/>
    <w:rsid w:val="5EDE3A37"/>
    <w:rsid w:val="5F887EC9"/>
    <w:rsid w:val="5FDB6588"/>
    <w:rsid w:val="5FEB66AA"/>
    <w:rsid w:val="5FEF52F1"/>
    <w:rsid w:val="5FF721D4"/>
    <w:rsid w:val="5FFB173D"/>
    <w:rsid w:val="60E530F9"/>
    <w:rsid w:val="614B5652"/>
    <w:rsid w:val="63493E13"/>
    <w:rsid w:val="64333201"/>
    <w:rsid w:val="6445282D"/>
    <w:rsid w:val="644B5969"/>
    <w:rsid w:val="653E4CDE"/>
    <w:rsid w:val="66EEF27D"/>
    <w:rsid w:val="6729654F"/>
    <w:rsid w:val="6759039D"/>
    <w:rsid w:val="68442DFB"/>
    <w:rsid w:val="686B2D87"/>
    <w:rsid w:val="690B0E8D"/>
    <w:rsid w:val="699D6C67"/>
    <w:rsid w:val="69AD796E"/>
    <w:rsid w:val="69AF24F6"/>
    <w:rsid w:val="69F73E03"/>
    <w:rsid w:val="6A032CC6"/>
    <w:rsid w:val="6ADFF67A"/>
    <w:rsid w:val="6B5F92E7"/>
    <w:rsid w:val="6B7B2FD8"/>
    <w:rsid w:val="6BA07176"/>
    <w:rsid w:val="6BF73595"/>
    <w:rsid w:val="6BFC82D8"/>
    <w:rsid w:val="6C3A254B"/>
    <w:rsid w:val="6CAB3449"/>
    <w:rsid w:val="6CB3422D"/>
    <w:rsid w:val="6D761CA9"/>
    <w:rsid w:val="6DF3D010"/>
    <w:rsid w:val="6DFB3BBA"/>
    <w:rsid w:val="6EE42C42"/>
    <w:rsid w:val="6EF94940"/>
    <w:rsid w:val="6F1FA9CF"/>
    <w:rsid w:val="6F5BC56C"/>
    <w:rsid w:val="6FF1DCDB"/>
    <w:rsid w:val="6FFB6890"/>
    <w:rsid w:val="70952446"/>
    <w:rsid w:val="709B5583"/>
    <w:rsid w:val="70C96594"/>
    <w:rsid w:val="70D07922"/>
    <w:rsid w:val="7150715F"/>
    <w:rsid w:val="71655195"/>
    <w:rsid w:val="71A52B5D"/>
    <w:rsid w:val="72BF7C4E"/>
    <w:rsid w:val="736F3422"/>
    <w:rsid w:val="739369E5"/>
    <w:rsid w:val="73DE5EB2"/>
    <w:rsid w:val="73ED07EB"/>
    <w:rsid w:val="73FBC7B1"/>
    <w:rsid w:val="73FF233B"/>
    <w:rsid w:val="74153556"/>
    <w:rsid w:val="74281823"/>
    <w:rsid w:val="74591A60"/>
    <w:rsid w:val="74F9A875"/>
    <w:rsid w:val="75F76C20"/>
    <w:rsid w:val="75FFF7AD"/>
    <w:rsid w:val="76041198"/>
    <w:rsid w:val="760E4842"/>
    <w:rsid w:val="76360227"/>
    <w:rsid w:val="76B7FA4D"/>
    <w:rsid w:val="76BDB46F"/>
    <w:rsid w:val="76CF3FCD"/>
    <w:rsid w:val="76FF619C"/>
    <w:rsid w:val="76FF688D"/>
    <w:rsid w:val="77053A1E"/>
    <w:rsid w:val="77BB9EB5"/>
    <w:rsid w:val="77BBA994"/>
    <w:rsid w:val="77F50456"/>
    <w:rsid w:val="77FF9C08"/>
    <w:rsid w:val="77FFB9C8"/>
    <w:rsid w:val="78765A70"/>
    <w:rsid w:val="79332791"/>
    <w:rsid w:val="797E2866"/>
    <w:rsid w:val="79A300F0"/>
    <w:rsid w:val="79DF66A0"/>
    <w:rsid w:val="7A0E547F"/>
    <w:rsid w:val="7A4874F5"/>
    <w:rsid w:val="7A7FBB89"/>
    <w:rsid w:val="7ADB8FE1"/>
    <w:rsid w:val="7ADF7ED0"/>
    <w:rsid w:val="7B835E63"/>
    <w:rsid w:val="7B845591"/>
    <w:rsid w:val="7B997A06"/>
    <w:rsid w:val="7B9D9F62"/>
    <w:rsid w:val="7BAFA9D2"/>
    <w:rsid w:val="7BB75B63"/>
    <w:rsid w:val="7BC63DFB"/>
    <w:rsid w:val="7BC7A22F"/>
    <w:rsid w:val="7BDA3403"/>
    <w:rsid w:val="7BDD9B3B"/>
    <w:rsid w:val="7BDFB42D"/>
    <w:rsid w:val="7BF7DA5D"/>
    <w:rsid w:val="7BFF1224"/>
    <w:rsid w:val="7C264A87"/>
    <w:rsid w:val="7C7BB0FA"/>
    <w:rsid w:val="7CA42DB2"/>
    <w:rsid w:val="7CDE1888"/>
    <w:rsid w:val="7CE7227B"/>
    <w:rsid w:val="7CFFA919"/>
    <w:rsid w:val="7D5B4A17"/>
    <w:rsid w:val="7D6A5228"/>
    <w:rsid w:val="7D7D9754"/>
    <w:rsid w:val="7D7F3BAA"/>
    <w:rsid w:val="7D7F5B3A"/>
    <w:rsid w:val="7D7F8960"/>
    <w:rsid w:val="7DADEE20"/>
    <w:rsid w:val="7DAED03D"/>
    <w:rsid w:val="7DC73F22"/>
    <w:rsid w:val="7DCD75AF"/>
    <w:rsid w:val="7DDF5C18"/>
    <w:rsid w:val="7E527BC8"/>
    <w:rsid w:val="7E7C2E97"/>
    <w:rsid w:val="7E977CD1"/>
    <w:rsid w:val="7EA2350B"/>
    <w:rsid w:val="7EBFBEFF"/>
    <w:rsid w:val="7ED92098"/>
    <w:rsid w:val="7EDBC71F"/>
    <w:rsid w:val="7EDD7733"/>
    <w:rsid w:val="7EF32CCC"/>
    <w:rsid w:val="7EF71C77"/>
    <w:rsid w:val="7EFDEE17"/>
    <w:rsid w:val="7EFF07E5"/>
    <w:rsid w:val="7F0E192E"/>
    <w:rsid w:val="7F1E5EA5"/>
    <w:rsid w:val="7F224485"/>
    <w:rsid w:val="7F53970D"/>
    <w:rsid w:val="7F57C389"/>
    <w:rsid w:val="7F5B5141"/>
    <w:rsid w:val="7F7237E7"/>
    <w:rsid w:val="7F7E5A24"/>
    <w:rsid w:val="7F7F4459"/>
    <w:rsid w:val="7FB1DCCF"/>
    <w:rsid w:val="7FB31C4C"/>
    <w:rsid w:val="7FB7F40B"/>
    <w:rsid w:val="7FBDAA27"/>
    <w:rsid w:val="7FDD2245"/>
    <w:rsid w:val="7FE7FE5B"/>
    <w:rsid w:val="7FEE8259"/>
    <w:rsid w:val="7FEFDF58"/>
    <w:rsid w:val="7FFB1D0D"/>
    <w:rsid w:val="7FFDF461"/>
    <w:rsid w:val="7FFF1A84"/>
    <w:rsid w:val="7FFF32E3"/>
    <w:rsid w:val="9A796237"/>
    <w:rsid w:val="9ADE673A"/>
    <w:rsid w:val="9BBBEA17"/>
    <w:rsid w:val="9EF7FD20"/>
    <w:rsid w:val="9FA74CDF"/>
    <w:rsid w:val="9FB9C2C1"/>
    <w:rsid w:val="9FDB085C"/>
    <w:rsid w:val="A1FFF216"/>
    <w:rsid w:val="A55B40FA"/>
    <w:rsid w:val="A6FFA37C"/>
    <w:rsid w:val="AB3F6048"/>
    <w:rsid w:val="AFB4FDAA"/>
    <w:rsid w:val="B3F938DF"/>
    <w:rsid w:val="B5BE5FDC"/>
    <w:rsid w:val="B6F7127B"/>
    <w:rsid w:val="B8DF17F7"/>
    <w:rsid w:val="BAFD0D53"/>
    <w:rsid w:val="BBEF5330"/>
    <w:rsid w:val="BBF7F590"/>
    <w:rsid w:val="BC6C3772"/>
    <w:rsid w:val="BE679743"/>
    <w:rsid w:val="BEDF9EA7"/>
    <w:rsid w:val="BF7F21D3"/>
    <w:rsid w:val="BFBF7D88"/>
    <w:rsid w:val="BFFF6E17"/>
    <w:rsid w:val="C74F2A90"/>
    <w:rsid w:val="CFEB9E7C"/>
    <w:rsid w:val="D01B4277"/>
    <w:rsid w:val="D5872808"/>
    <w:rsid w:val="D5FCFD20"/>
    <w:rsid w:val="D5FE1C8D"/>
    <w:rsid w:val="D6D74757"/>
    <w:rsid w:val="D6FF930F"/>
    <w:rsid w:val="D7BF3E22"/>
    <w:rsid w:val="D7CF53F6"/>
    <w:rsid w:val="D7F5C996"/>
    <w:rsid w:val="D95E32CE"/>
    <w:rsid w:val="D9BB17B1"/>
    <w:rsid w:val="D9E64306"/>
    <w:rsid w:val="DAE78A78"/>
    <w:rsid w:val="DD5FBC94"/>
    <w:rsid w:val="DDBBF203"/>
    <w:rsid w:val="DDD604A5"/>
    <w:rsid w:val="DDE16769"/>
    <w:rsid w:val="DDFF75AA"/>
    <w:rsid w:val="DE7F0A78"/>
    <w:rsid w:val="DEBB5B1A"/>
    <w:rsid w:val="DEFB42A0"/>
    <w:rsid w:val="DF27554B"/>
    <w:rsid w:val="DF5FC649"/>
    <w:rsid w:val="DF75BDC8"/>
    <w:rsid w:val="DFBF5BD2"/>
    <w:rsid w:val="DFED169B"/>
    <w:rsid w:val="DFEDD2E2"/>
    <w:rsid w:val="DFFEBAE7"/>
    <w:rsid w:val="E19E87F5"/>
    <w:rsid w:val="E31D4BCC"/>
    <w:rsid w:val="E59B2B51"/>
    <w:rsid w:val="E5EDF139"/>
    <w:rsid w:val="E61D80F5"/>
    <w:rsid w:val="E6FE711D"/>
    <w:rsid w:val="EB7EC64E"/>
    <w:rsid w:val="EBB62AA4"/>
    <w:rsid w:val="EBBEA5AA"/>
    <w:rsid w:val="EBFD9820"/>
    <w:rsid w:val="EDBF0E42"/>
    <w:rsid w:val="EDF74D66"/>
    <w:rsid w:val="EDFC0850"/>
    <w:rsid w:val="EEA64040"/>
    <w:rsid w:val="EEBF53A2"/>
    <w:rsid w:val="EEF2D726"/>
    <w:rsid w:val="EF6EBFD7"/>
    <w:rsid w:val="EF738B87"/>
    <w:rsid w:val="EF7E8C8A"/>
    <w:rsid w:val="EF7EDBC0"/>
    <w:rsid w:val="EFBFB2CA"/>
    <w:rsid w:val="EFDE7201"/>
    <w:rsid w:val="EFDF1CA9"/>
    <w:rsid w:val="EFFE81A4"/>
    <w:rsid w:val="F18F7AC4"/>
    <w:rsid w:val="F393B556"/>
    <w:rsid w:val="F3FF93BC"/>
    <w:rsid w:val="F55B1C02"/>
    <w:rsid w:val="F5FFF559"/>
    <w:rsid w:val="F66D96BB"/>
    <w:rsid w:val="F6FE1DE0"/>
    <w:rsid w:val="F74E7AF5"/>
    <w:rsid w:val="F7D228F4"/>
    <w:rsid w:val="F7DD4E7D"/>
    <w:rsid w:val="F7DF7766"/>
    <w:rsid w:val="F7F4BDD3"/>
    <w:rsid w:val="F7FA48F6"/>
    <w:rsid w:val="F9EF16B3"/>
    <w:rsid w:val="FAB55268"/>
    <w:rsid w:val="FAFD0FCD"/>
    <w:rsid w:val="FBDB050B"/>
    <w:rsid w:val="FC9722C7"/>
    <w:rsid w:val="FCA73C67"/>
    <w:rsid w:val="FCEB8C02"/>
    <w:rsid w:val="FCFCED54"/>
    <w:rsid w:val="FCFFBCDA"/>
    <w:rsid w:val="FD3F350F"/>
    <w:rsid w:val="FDDDBA0B"/>
    <w:rsid w:val="FDEF2DD5"/>
    <w:rsid w:val="FDF9F23B"/>
    <w:rsid w:val="FDFEBCA6"/>
    <w:rsid w:val="FE7AA72F"/>
    <w:rsid w:val="FE7EAF17"/>
    <w:rsid w:val="FEDEE57A"/>
    <w:rsid w:val="FEDFA8D1"/>
    <w:rsid w:val="FEFA327F"/>
    <w:rsid w:val="FEFEB4B4"/>
    <w:rsid w:val="FF5E1FB6"/>
    <w:rsid w:val="FF71C1E7"/>
    <w:rsid w:val="FF7E5E0B"/>
    <w:rsid w:val="FF7FFE8B"/>
    <w:rsid w:val="FFBA4B6F"/>
    <w:rsid w:val="FFBDA12E"/>
    <w:rsid w:val="FFEDB7B3"/>
    <w:rsid w:val="FFEF4B28"/>
    <w:rsid w:val="FFFAB02E"/>
    <w:rsid w:val="FFFDB11A"/>
    <w:rsid w:val="FFFE1F77"/>
    <w:rsid w:val="FFFEA1F1"/>
    <w:rsid w:val="FFFFA2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iPriority="99" w:semiHidden="0" w:name="index 1"/>
    <w:lsdException w:qFormat="1" w:uiPriority="99" w:semiHidden="0" w:name="index 2"/>
    <w:lsdException w:qFormat="1" w:uiPriority="99" w:semiHidden="0" w:name="index 3"/>
    <w:lsdException w:qFormat="1" w:uiPriority="99" w:semiHidden="0" w:name="index 4"/>
    <w:lsdException w:qFormat="1" w:uiPriority="99" w:semiHidden="0" w:name="index 5"/>
    <w:lsdException w:qFormat="1" w:uiPriority="99" w:semiHidden="0" w:name="index 6"/>
    <w:lsdException w:qFormat="1" w:uiPriority="99" w:semiHidden="0" w:name="index 7"/>
    <w:lsdException w:qFormat="1" w:uiPriority="99" w:semiHidden="0" w:name="index 8"/>
    <w:lsdException w:qFormat="1" w:uiPriority="99"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qFormat="1" w:uiPriority="99" w:semiHidden="0" w:name="index heading"/>
    <w:lsdException w:qFormat="1" w:unhideWhenUsed="0" w:uiPriority="35" w:semiHidden="0" w:name="caption"/>
    <w:lsdException w:qFormat="1" w:unhideWhenUsed="0" w:uiPriority="99" w:semiHidden="0" w:name="table of figures"/>
    <w:lsdException w:qFormat="1" w:uiPriority="99" w:semiHidden="0" w:name="envelope address"/>
    <w:lsdException w:qFormat="1" w:uiPriority="99" w:semiHidden="0" w:name="envelope return"/>
    <w:lsdException w:qFormat="1" w:uiPriority="99" w:semiHidden="0"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semiHidden="0" w:name="endnote text"/>
    <w:lsdException w:qFormat="1" w:uiPriority="99" w:semiHidden="0" w:name="table of authorities"/>
    <w:lsdException w:qFormat="1" w:uiPriority="99" w:semiHidden="0" w:name="macro"/>
    <w:lsdException w:qFormat="1" w:uiPriority="99" w:semiHidden="0" w:name="toa heading"/>
    <w:lsdException w:qFormat="1" w:uiPriority="0" w:semiHidden="0" w:name="List"/>
    <w:lsdException w:qFormat="1" w:uiPriority="99" w:semiHidden="0" w:name="List Bullet"/>
    <w:lsdException w:qFormat="1" w:unhideWhenUsed="0" w:uiPriority="99" w:semiHidden="0" w:name="List Number"/>
    <w:lsdException w:qFormat="1" w:uiPriority="99" w:semiHidden="0" w:name="List 2"/>
    <w:lsdException w:qFormat="1" w:uiPriority="99" w:semiHidden="0" w:name="List 3"/>
    <w:lsdException w:qFormat="1" w:uiPriority="99" w:semiHidden="0" w:name="List 4"/>
    <w:lsdException w:qFormat="1" w:uiPriority="99" w:semiHidden="0" w:name="List 5"/>
    <w:lsdException w:qFormat="1" w:uiPriority="99" w:semiHidden="0" w:name="List Bullet 2"/>
    <w:lsdException w:qFormat="1" w:uiPriority="99" w:semiHidden="0" w:name="List Bullet 3"/>
    <w:lsdException w:qFormat="1" w:uiPriority="99" w:semiHidden="0" w:name="List Bullet 4"/>
    <w:lsdException w:qFormat="1" w:uiPriority="99" w:semiHidden="0" w:name="List Bullet 5"/>
    <w:lsdException w:qFormat="1" w:unhideWhenUsed="0"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10" w:semiHidden="0" w:name="Title"/>
    <w:lsdException w:qFormat="1" w:uiPriority="99" w:semiHidden="0" w:name="Closing"/>
    <w:lsdException w:qFormat="1" w:uiPriority="99" w:semiHidden="0" w:name="Signature"/>
    <w:lsdException w:qFormat="1" w:uiPriority="1" w:name="Default Paragraph Font"/>
    <w:lsdException w:qFormat="1" w:unhideWhenUsed="0" w:uiPriority="99" w:semiHidden="0" w:name="Body Text"/>
    <w:lsdException w:qFormat="1" w:unhideWhenUsed="0" w:uiPriority="99" w:semiHidden="0" w:name="Body Text Indent"/>
    <w:lsdException w:qFormat="1" w:uiPriority="99" w:semiHidden="0" w:name="List Continue"/>
    <w:lsdException w:qFormat="1" w:uiPriority="99" w:semiHidden="0" w:name="List Continue 2"/>
    <w:lsdException w:qFormat="1" w:uiPriority="99" w:semiHidden="0" w:name="List Continue 3"/>
    <w:lsdException w:qFormat="1" w:uiPriority="99" w:semiHidden="0" w:name="List Continue 4"/>
    <w:lsdException w:qFormat="1" w:uiPriority="99" w:semiHidden="0" w:name="List Continue 5"/>
    <w:lsdException w:qFormat="1" w:uiPriority="99" w:semiHidden="0" w:name="Message Header"/>
    <w:lsdException w:qFormat="1" w:unhideWhenUsed="0" w:uiPriority="11" w:semiHidden="0" w:name="Subtitle"/>
    <w:lsdException w:qFormat="1" w:uiPriority="99" w:semiHidden="0" w:name="Salutation"/>
    <w:lsdException w:qFormat="1" w:uiPriority="99" w:semiHidden="0" w:name="Date"/>
    <w:lsdException w:qFormat="1" w:unhideWhenUsed="0" w:uiPriority="0" w:semiHidden="0" w:name="Body Text First Indent"/>
    <w:lsdException w:qFormat="1" w:unhideWhenUsed="0" w:uiPriority="99" w:semiHidden="0" w:name="Body Text First Indent 2"/>
    <w:lsdException w:qFormat="1" w:uiPriority="99" w:semiHidden="0" w:name="Note Heading"/>
    <w:lsdException w:qFormat="1" w:uiPriority="99" w:semiHidden="0" w:name="Body Text 2"/>
    <w:lsdException w:qFormat="1" w:uiPriority="99" w:semiHidden="0" w:name="Body Text 3"/>
    <w:lsdException w:qFormat="1" w:uiPriority="99" w:semiHidden="0" w:name="Body Text Indent 2"/>
    <w:lsdException w:qFormat="1" w:unhideWhenUsed="0" w:uiPriority="0" w:semiHidden="0" w:name="Body Text Indent 3"/>
    <w:lsdException w:qFormat="1" w:uiPriority="99"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nhideWhenUsed="0" w:uiPriority="99" w:semiHidden="0" w:name="Plain Text"/>
    <w:lsdException w:qFormat="1" w:uiPriority="99" w:semiHidden="0" w:name="E-mail Signature"/>
    <w:lsdException w:qFormat="1" w:uiPriority="99" w:semiHidden="0" w:name="Normal (Web)"/>
    <w:lsdException w:uiPriority="99" w:name="HTML Acronym"/>
    <w:lsdException w:qFormat="1" w:uiPriority="99" w:semiHidden="0"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等线" w:hAnsi="等线" w:eastAsia="仿宋" w:cs="Times New Roman"/>
      <w:kern w:val="2"/>
      <w:sz w:val="28"/>
      <w:szCs w:val="21"/>
      <w:lang w:val="en-US" w:eastAsia="zh-CN" w:bidi="ar-SA"/>
    </w:rPr>
  </w:style>
  <w:style w:type="paragraph" w:styleId="2">
    <w:name w:val="heading 1"/>
    <w:basedOn w:val="1"/>
    <w:next w:val="1"/>
    <w:link w:val="103"/>
    <w:qFormat/>
    <w:uiPriority w:val="0"/>
    <w:pPr>
      <w:keepNext/>
      <w:keepLines/>
      <w:numPr>
        <w:ilvl w:val="0"/>
        <w:numId w:val="1"/>
      </w:numPr>
      <w:ind w:firstLineChars="0"/>
      <w:outlineLvl w:val="0"/>
    </w:pPr>
    <w:rPr>
      <w:rFonts w:ascii="黑体" w:hAnsi="黑体" w:eastAsia="黑体"/>
      <w:kern w:val="44"/>
      <w:sz w:val="32"/>
      <w:szCs w:val="24"/>
    </w:rPr>
  </w:style>
  <w:style w:type="paragraph" w:styleId="3">
    <w:name w:val="heading 2"/>
    <w:basedOn w:val="1"/>
    <w:next w:val="1"/>
    <w:link w:val="102"/>
    <w:qFormat/>
    <w:uiPriority w:val="0"/>
    <w:pPr>
      <w:keepNext/>
      <w:keepLines/>
      <w:spacing w:before="260" w:after="260" w:line="413" w:lineRule="auto"/>
      <w:outlineLvl w:val="1"/>
    </w:pPr>
    <w:rPr>
      <w:rFonts w:ascii="Arial" w:hAnsi="Arial" w:eastAsia="方正楷体_GBK"/>
      <w:b/>
      <w:sz w:val="30"/>
      <w:szCs w:val="24"/>
    </w:rPr>
  </w:style>
  <w:style w:type="paragraph" w:styleId="4">
    <w:name w:val="heading 3"/>
    <w:basedOn w:val="5"/>
    <w:next w:val="1"/>
    <w:link w:val="114"/>
    <w:qFormat/>
    <w:uiPriority w:val="0"/>
    <w:pPr>
      <w:numPr>
        <w:numId w:val="0"/>
      </w:numPr>
      <w:kinsoku w:val="0"/>
      <w:autoSpaceDE w:val="0"/>
      <w:autoSpaceDN w:val="0"/>
      <w:jc w:val="left"/>
      <w:textAlignment w:val="baseline"/>
      <w:outlineLvl w:val="2"/>
    </w:pPr>
    <w:rPr>
      <w:bCs/>
      <w:sz w:val="28"/>
      <w:szCs w:val="32"/>
    </w:rPr>
  </w:style>
  <w:style w:type="paragraph" w:styleId="6">
    <w:name w:val="heading 4"/>
    <w:basedOn w:val="1"/>
    <w:next w:val="1"/>
    <w:link w:val="115"/>
    <w:qFormat/>
    <w:uiPriority w:val="0"/>
    <w:pPr>
      <w:keepNext/>
      <w:keepLines/>
      <w:widowControl/>
      <w:tabs>
        <w:tab w:val="left" w:pos="900"/>
        <w:tab w:val="left" w:pos="993"/>
      </w:tabs>
      <w:kinsoku w:val="0"/>
      <w:autoSpaceDE w:val="0"/>
      <w:autoSpaceDN w:val="0"/>
      <w:spacing w:before="156" w:beforeLines="50" w:after="156" w:afterLines="50" w:line="300" w:lineRule="auto"/>
      <w:ind w:firstLine="0" w:firstLineChars="0"/>
      <w:jc w:val="left"/>
      <w:textAlignment w:val="baseline"/>
      <w:outlineLvl w:val="3"/>
    </w:pPr>
    <w:rPr>
      <w:rFonts w:ascii="等线 Light" w:hAnsi="等线 Light" w:eastAsia="黑体"/>
      <w:bCs/>
      <w:szCs w:val="28"/>
    </w:rPr>
  </w:style>
  <w:style w:type="paragraph" w:styleId="7">
    <w:name w:val="heading 5"/>
    <w:basedOn w:val="1"/>
    <w:next w:val="1"/>
    <w:link w:val="116"/>
    <w:qFormat/>
    <w:uiPriority w:val="0"/>
    <w:pPr>
      <w:keepNext/>
      <w:keepLines/>
      <w:numPr>
        <w:ilvl w:val="4"/>
        <w:numId w:val="2"/>
      </w:numPr>
      <w:ind w:firstLine="0" w:firstLineChars="0"/>
      <w:outlineLvl w:val="4"/>
    </w:pPr>
    <w:rPr>
      <w:rFonts w:eastAsia="黑体"/>
      <w:b/>
      <w:bCs/>
      <w:szCs w:val="28"/>
    </w:rPr>
  </w:style>
  <w:style w:type="paragraph" w:styleId="8">
    <w:name w:val="heading 6"/>
    <w:next w:val="1"/>
    <w:link w:val="104"/>
    <w:qFormat/>
    <w:uiPriority w:val="9"/>
    <w:pPr>
      <w:keepNext/>
      <w:keepLines/>
      <w:spacing w:before="120" w:after="120" w:line="360" w:lineRule="auto"/>
      <w:ind w:left="1152" w:hanging="1152"/>
      <w:outlineLvl w:val="5"/>
    </w:pPr>
    <w:rPr>
      <w:rFonts w:ascii="Times New Roman" w:hAnsi="Times New Roman" w:eastAsia="仿宋" w:cs="Times New Roman"/>
      <w:b/>
      <w:bCs/>
      <w:kern w:val="2"/>
      <w:sz w:val="28"/>
      <w:szCs w:val="24"/>
      <w:lang w:val="en-US" w:eastAsia="zh-CN" w:bidi="ar-SA"/>
    </w:rPr>
  </w:style>
  <w:style w:type="paragraph" w:styleId="9">
    <w:name w:val="heading 7"/>
    <w:next w:val="1"/>
    <w:link w:val="105"/>
    <w:qFormat/>
    <w:uiPriority w:val="9"/>
    <w:pPr>
      <w:keepNext/>
      <w:keepLines/>
      <w:spacing w:before="120" w:after="120" w:line="360" w:lineRule="auto"/>
      <w:ind w:left="1296" w:hanging="1296"/>
      <w:outlineLvl w:val="6"/>
    </w:pPr>
    <w:rPr>
      <w:rFonts w:ascii="Times New Roman" w:hAnsi="Times New Roman" w:eastAsia="仿宋" w:cs="Times New Roman"/>
      <w:b/>
      <w:bCs/>
      <w:kern w:val="2"/>
      <w:sz w:val="28"/>
      <w:szCs w:val="24"/>
      <w:lang w:val="en-US" w:eastAsia="zh-CN" w:bidi="ar-SA"/>
    </w:rPr>
  </w:style>
  <w:style w:type="paragraph" w:styleId="10">
    <w:name w:val="heading 8"/>
    <w:basedOn w:val="1"/>
    <w:next w:val="1"/>
    <w:link w:val="117"/>
    <w:qFormat/>
    <w:uiPriority w:val="9"/>
    <w:pPr>
      <w:keepNext/>
      <w:keepLines/>
      <w:spacing w:before="120" w:after="120"/>
      <w:outlineLvl w:val="7"/>
    </w:pPr>
    <w:rPr>
      <w:rFonts w:ascii="Times New Roman" w:hAnsi="Times New Roman"/>
      <w:b/>
      <w:kern w:val="0"/>
      <w:szCs w:val="24"/>
    </w:rPr>
  </w:style>
  <w:style w:type="paragraph" w:styleId="11">
    <w:name w:val="heading 9"/>
    <w:next w:val="1"/>
    <w:link w:val="118"/>
    <w:qFormat/>
    <w:uiPriority w:val="9"/>
    <w:pPr>
      <w:keepNext/>
      <w:keepLines/>
      <w:spacing w:before="120" w:after="120" w:line="360" w:lineRule="auto"/>
      <w:ind w:left="1584" w:hanging="1584"/>
      <w:outlineLvl w:val="8"/>
    </w:pPr>
    <w:rPr>
      <w:rFonts w:ascii="Times New Roman" w:hAnsi="Times New Roman" w:eastAsia="仿宋" w:cs="Times New Roman"/>
      <w:b/>
      <w:kern w:val="2"/>
      <w:sz w:val="28"/>
      <w:szCs w:val="21"/>
      <w:lang w:val="en-US" w:eastAsia="zh-CN" w:bidi="ar-SA"/>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5">
    <w:name w:val="_1级"/>
    <w:basedOn w:val="2"/>
    <w:qFormat/>
    <w:uiPriority w:val="0"/>
    <w:pPr>
      <w:pageBreakBefore/>
    </w:pPr>
    <w:rPr>
      <w:rFonts w:ascii="Calibri" w:hAnsi="Calibri"/>
      <w:b/>
      <w:kern w:val="0"/>
      <w:lang w:val="ru-RU" w:eastAsia="en-US"/>
    </w:rPr>
  </w:style>
  <w:style w:type="paragraph" w:styleId="14">
    <w:name w:val="Balloon Text"/>
    <w:basedOn w:val="1"/>
    <w:link w:val="128"/>
    <w:unhideWhenUsed/>
    <w:qFormat/>
    <w:uiPriority w:val="99"/>
    <w:rPr>
      <w:sz w:val="18"/>
      <w:szCs w:val="18"/>
    </w:rPr>
  </w:style>
  <w:style w:type="paragraph" w:styleId="15">
    <w:name w:val="Block Text"/>
    <w:basedOn w:val="1"/>
    <w:unhideWhenUsed/>
    <w:qFormat/>
    <w:uiPriority w:val="99"/>
    <w:pPr>
      <w:spacing w:after="120"/>
      <w:ind w:left="1440" w:leftChars="700" w:right="1440" w:rightChars="700"/>
    </w:pPr>
  </w:style>
  <w:style w:type="paragraph" w:styleId="16">
    <w:name w:val="Body Text"/>
    <w:basedOn w:val="1"/>
    <w:link w:val="123"/>
    <w:qFormat/>
    <w:uiPriority w:val="99"/>
    <w:pPr>
      <w:topLinePunct/>
      <w:spacing w:after="120"/>
    </w:pPr>
    <w:rPr>
      <w:rFonts w:ascii="Times New Roman" w:hAnsi="Times New Roman" w:eastAsia="等线"/>
      <w:szCs w:val="24"/>
    </w:rPr>
  </w:style>
  <w:style w:type="paragraph" w:styleId="17">
    <w:name w:val="Body Text 2"/>
    <w:basedOn w:val="1"/>
    <w:link w:val="460"/>
    <w:unhideWhenUsed/>
    <w:qFormat/>
    <w:uiPriority w:val="99"/>
    <w:pPr>
      <w:spacing w:after="120" w:line="480" w:lineRule="auto"/>
    </w:pPr>
  </w:style>
  <w:style w:type="paragraph" w:styleId="18">
    <w:name w:val="Body Text 3"/>
    <w:basedOn w:val="1"/>
    <w:link w:val="461"/>
    <w:unhideWhenUsed/>
    <w:qFormat/>
    <w:uiPriority w:val="99"/>
    <w:pPr>
      <w:spacing w:after="120"/>
    </w:pPr>
    <w:rPr>
      <w:sz w:val="16"/>
      <w:szCs w:val="16"/>
    </w:rPr>
  </w:style>
  <w:style w:type="paragraph" w:styleId="19">
    <w:name w:val="Body Text First Indent"/>
    <w:basedOn w:val="16"/>
    <w:link w:val="125"/>
    <w:qFormat/>
    <w:uiPriority w:val="0"/>
    <w:pPr>
      <w:ind w:firstLine="420" w:firstLineChars="100"/>
    </w:pPr>
    <w:rPr>
      <w:rFonts w:ascii="等线" w:hAnsi="等线"/>
      <w:sz w:val="21"/>
      <w:szCs w:val="22"/>
    </w:rPr>
  </w:style>
  <w:style w:type="paragraph" w:styleId="20">
    <w:name w:val="Body Text Indent"/>
    <w:basedOn w:val="1"/>
    <w:link w:val="124"/>
    <w:qFormat/>
    <w:uiPriority w:val="99"/>
    <w:pPr>
      <w:topLinePunct/>
      <w:spacing w:before="50" w:beforeLines="50" w:after="120" w:afterLines="50" w:line="312" w:lineRule="auto"/>
      <w:ind w:left="420" w:leftChars="200"/>
    </w:pPr>
    <w:rPr>
      <w:rFonts w:ascii="Times New Roman" w:hAnsi="Times New Roman" w:eastAsia="等线"/>
      <w:sz w:val="24"/>
      <w:szCs w:val="24"/>
    </w:rPr>
  </w:style>
  <w:style w:type="paragraph" w:styleId="21">
    <w:name w:val="Body Text First Indent 2"/>
    <w:basedOn w:val="20"/>
    <w:link w:val="131"/>
    <w:qFormat/>
    <w:uiPriority w:val="99"/>
    <w:pPr>
      <w:spacing w:before="0" w:beforeLines="0" w:afterLines="0" w:line="240" w:lineRule="auto"/>
      <w:ind w:firstLine="420"/>
    </w:pPr>
    <w:rPr>
      <w:sz w:val="28"/>
    </w:rPr>
  </w:style>
  <w:style w:type="paragraph" w:styleId="22">
    <w:name w:val="Body Text Indent 2"/>
    <w:basedOn w:val="1"/>
    <w:link w:val="462"/>
    <w:unhideWhenUsed/>
    <w:qFormat/>
    <w:uiPriority w:val="99"/>
    <w:pPr>
      <w:spacing w:after="120" w:line="480" w:lineRule="auto"/>
      <w:ind w:left="420" w:leftChars="200"/>
    </w:pPr>
  </w:style>
  <w:style w:type="paragraph" w:styleId="23">
    <w:name w:val="Body Text Indent 3"/>
    <w:basedOn w:val="1"/>
    <w:link w:val="135"/>
    <w:qFormat/>
    <w:uiPriority w:val="0"/>
    <w:pPr>
      <w:spacing w:after="120"/>
      <w:ind w:left="420" w:leftChars="200"/>
    </w:pPr>
    <w:rPr>
      <w:rFonts w:eastAsia="等线"/>
      <w:sz w:val="16"/>
      <w:szCs w:val="16"/>
    </w:rPr>
  </w:style>
  <w:style w:type="paragraph" w:styleId="24">
    <w:name w:val="caption"/>
    <w:basedOn w:val="25"/>
    <w:next w:val="1"/>
    <w:link w:val="120"/>
    <w:qFormat/>
    <w:uiPriority w:val="35"/>
    <w:pPr>
      <w:keepNext/>
      <w:tabs>
        <w:tab w:val="left" w:pos="291"/>
      </w:tabs>
      <w:topLinePunct/>
      <w:spacing w:before="156" w:beforeLines="50" w:after="120"/>
    </w:pPr>
    <w:rPr>
      <w:rFonts w:hint="default" w:ascii="Times New Roman" w:hAnsi="Times New Roman" w:cs="Times New Roman"/>
      <w:color w:val="000000"/>
      <w:sz w:val="20"/>
      <w:szCs w:val="20"/>
    </w:rPr>
  </w:style>
  <w:style w:type="paragraph" w:customStyle="1" w:styleId="25">
    <w:name w:val="图表"/>
    <w:basedOn w:val="1"/>
    <w:qFormat/>
    <w:uiPriority w:val="0"/>
    <w:pPr>
      <w:ind w:firstLine="0" w:firstLineChars="0"/>
      <w:jc w:val="center"/>
    </w:pPr>
    <w:rPr>
      <w:rFonts w:hint="eastAsia" w:ascii="黑体" w:hAnsi="黑体" w:eastAsia="黑体" w:cs="黑体"/>
      <w:sz w:val="21"/>
    </w:rPr>
  </w:style>
  <w:style w:type="paragraph" w:styleId="26">
    <w:name w:val="Closing"/>
    <w:basedOn w:val="1"/>
    <w:link w:val="455"/>
    <w:unhideWhenUsed/>
    <w:qFormat/>
    <w:uiPriority w:val="99"/>
    <w:pPr>
      <w:ind w:left="100" w:leftChars="2100"/>
    </w:pPr>
  </w:style>
  <w:style w:type="character" w:styleId="27">
    <w:name w:val="annotation reference"/>
    <w:unhideWhenUsed/>
    <w:qFormat/>
    <w:uiPriority w:val="99"/>
    <w:rPr>
      <w:sz w:val="21"/>
      <w:szCs w:val="21"/>
    </w:rPr>
  </w:style>
  <w:style w:type="paragraph" w:styleId="28">
    <w:name w:val="annotation text"/>
    <w:basedOn w:val="1"/>
    <w:link w:val="122"/>
    <w:unhideWhenUsed/>
    <w:qFormat/>
    <w:uiPriority w:val="99"/>
    <w:pPr>
      <w:jc w:val="left"/>
    </w:pPr>
  </w:style>
  <w:style w:type="paragraph" w:styleId="29">
    <w:name w:val="annotation subject"/>
    <w:basedOn w:val="28"/>
    <w:next w:val="28"/>
    <w:link w:val="139"/>
    <w:unhideWhenUsed/>
    <w:qFormat/>
    <w:uiPriority w:val="99"/>
    <w:rPr>
      <w:b/>
      <w:bCs/>
    </w:rPr>
  </w:style>
  <w:style w:type="paragraph" w:styleId="30">
    <w:name w:val="Date"/>
    <w:basedOn w:val="1"/>
    <w:next w:val="1"/>
    <w:link w:val="127"/>
    <w:unhideWhenUsed/>
    <w:qFormat/>
    <w:uiPriority w:val="99"/>
    <w:pPr>
      <w:adjustRightInd/>
      <w:snapToGrid/>
      <w:ind w:left="100" w:leftChars="2500"/>
    </w:pPr>
    <w:rPr>
      <w:rFonts w:ascii="Times New Roman" w:hAnsi="Times New Roman" w:eastAsia="宋体"/>
      <w:sz w:val="24"/>
      <w:szCs w:val="24"/>
    </w:rPr>
  </w:style>
  <w:style w:type="paragraph" w:styleId="31">
    <w:name w:val="Document Map"/>
    <w:basedOn w:val="1"/>
    <w:link w:val="121"/>
    <w:qFormat/>
    <w:uiPriority w:val="99"/>
    <w:pPr>
      <w:topLinePunct/>
    </w:pPr>
    <w:rPr>
      <w:rFonts w:ascii="宋体" w:hAnsi="Times New Roman" w:eastAsia="等线"/>
      <w:sz w:val="18"/>
      <w:szCs w:val="18"/>
    </w:rPr>
  </w:style>
  <w:style w:type="paragraph" w:styleId="32">
    <w:name w:val="E-mail Signature"/>
    <w:basedOn w:val="1"/>
    <w:link w:val="453"/>
    <w:unhideWhenUsed/>
    <w:qFormat/>
    <w:uiPriority w:val="99"/>
  </w:style>
  <w:style w:type="character" w:styleId="33">
    <w:name w:val="Emphasis"/>
    <w:qFormat/>
    <w:uiPriority w:val="20"/>
    <w:rPr>
      <w:i/>
      <w:iCs/>
    </w:rPr>
  </w:style>
  <w:style w:type="paragraph" w:styleId="34">
    <w:name w:val="endnote text"/>
    <w:basedOn w:val="1"/>
    <w:link w:val="458"/>
    <w:unhideWhenUsed/>
    <w:qFormat/>
    <w:uiPriority w:val="99"/>
    <w:pPr>
      <w:jc w:val="left"/>
    </w:pPr>
  </w:style>
  <w:style w:type="paragraph" w:styleId="35">
    <w:name w:val="envelope address"/>
    <w:basedOn w:val="1"/>
    <w:unhideWhenUsed/>
    <w:qFormat/>
    <w:uiPriority w:val="99"/>
    <w:pPr>
      <w:framePr w:w="7920" w:h="1980" w:hRule="exact" w:hSpace="180" w:wrap="auto" w:vAnchor="margin" w:hAnchor="page" w:xAlign="center" w:yAlign="bottom"/>
      <w:ind w:left="100" w:leftChars="1400"/>
    </w:pPr>
    <w:rPr>
      <w:rFonts w:ascii="等线 Light" w:hAnsi="等线 Light" w:eastAsia="等线 Light"/>
      <w:sz w:val="24"/>
      <w:szCs w:val="24"/>
    </w:rPr>
  </w:style>
  <w:style w:type="paragraph" w:styleId="36">
    <w:name w:val="envelope return"/>
    <w:basedOn w:val="1"/>
    <w:unhideWhenUsed/>
    <w:qFormat/>
    <w:uiPriority w:val="99"/>
    <w:rPr>
      <w:rFonts w:ascii="等线 Light" w:hAnsi="等线 Light" w:eastAsia="等线 Light"/>
    </w:rPr>
  </w:style>
  <w:style w:type="character" w:styleId="37">
    <w:name w:val="FollowedHyperlink"/>
    <w:qFormat/>
    <w:uiPriority w:val="99"/>
    <w:rPr>
      <w:color w:val="800080"/>
      <w:u w:val="single"/>
    </w:rPr>
  </w:style>
  <w:style w:type="paragraph" w:styleId="38">
    <w:name w:val="footer"/>
    <w:basedOn w:val="1"/>
    <w:link w:val="129"/>
    <w:unhideWhenUsed/>
    <w:qFormat/>
    <w:uiPriority w:val="99"/>
    <w:pPr>
      <w:tabs>
        <w:tab w:val="center" w:pos="4153"/>
        <w:tab w:val="right" w:pos="8306"/>
      </w:tabs>
      <w:jc w:val="left"/>
    </w:pPr>
    <w:rPr>
      <w:sz w:val="18"/>
      <w:szCs w:val="18"/>
    </w:rPr>
  </w:style>
  <w:style w:type="character" w:styleId="39">
    <w:name w:val="footnote reference"/>
    <w:unhideWhenUsed/>
    <w:qFormat/>
    <w:uiPriority w:val="99"/>
    <w:rPr>
      <w:vertAlign w:val="superscript"/>
    </w:rPr>
  </w:style>
  <w:style w:type="paragraph" w:styleId="40">
    <w:name w:val="footnote text"/>
    <w:basedOn w:val="1"/>
    <w:link w:val="134"/>
    <w:unhideWhenUsed/>
    <w:qFormat/>
    <w:uiPriority w:val="99"/>
    <w:pPr>
      <w:jc w:val="left"/>
    </w:pPr>
    <w:rPr>
      <w:sz w:val="18"/>
      <w:szCs w:val="18"/>
    </w:rPr>
  </w:style>
  <w:style w:type="paragraph" w:styleId="41">
    <w:name w:val="header"/>
    <w:basedOn w:val="1"/>
    <w:link w:val="130"/>
    <w:unhideWhenUsed/>
    <w:qFormat/>
    <w:uiPriority w:val="99"/>
    <w:pPr>
      <w:pBdr>
        <w:bottom w:val="single" w:color="auto" w:sz="6" w:space="1"/>
      </w:pBdr>
      <w:tabs>
        <w:tab w:val="center" w:pos="4153"/>
        <w:tab w:val="right" w:pos="8306"/>
      </w:tabs>
      <w:jc w:val="center"/>
    </w:pPr>
    <w:rPr>
      <w:sz w:val="18"/>
      <w:szCs w:val="18"/>
    </w:rPr>
  </w:style>
  <w:style w:type="paragraph" w:styleId="42">
    <w:name w:val="HTML Address"/>
    <w:basedOn w:val="1"/>
    <w:link w:val="449"/>
    <w:unhideWhenUsed/>
    <w:qFormat/>
    <w:uiPriority w:val="99"/>
    <w:rPr>
      <w:i/>
      <w:iCs/>
    </w:rPr>
  </w:style>
  <w:style w:type="character" w:styleId="43">
    <w:name w:val="HTML Code"/>
    <w:unhideWhenUsed/>
    <w:qFormat/>
    <w:uiPriority w:val="99"/>
    <w:rPr>
      <w:rFonts w:ascii="宋体" w:hAnsi="宋体" w:eastAsia="宋体" w:cs="宋体"/>
      <w:sz w:val="24"/>
      <w:szCs w:val="24"/>
    </w:rPr>
  </w:style>
  <w:style w:type="paragraph" w:styleId="44">
    <w:name w:val="HTML Preformatted"/>
    <w:basedOn w:val="1"/>
    <w:link w:val="450"/>
    <w:unhideWhenUsed/>
    <w:qFormat/>
    <w:uiPriority w:val="99"/>
    <w:rPr>
      <w:rFonts w:ascii="Courier New" w:hAnsi="Courier New" w:cs="Courier New"/>
      <w:sz w:val="20"/>
      <w:szCs w:val="20"/>
    </w:rPr>
  </w:style>
  <w:style w:type="character" w:styleId="45">
    <w:name w:val="Hyperlink"/>
    <w:qFormat/>
    <w:uiPriority w:val="99"/>
    <w:rPr>
      <w:rFonts w:hint="default" w:ascii="Arial" w:hAnsi="Arial" w:cs="Arial"/>
      <w:color w:val="0000CC"/>
      <w:u w:val="single"/>
    </w:rPr>
  </w:style>
  <w:style w:type="paragraph" w:styleId="46">
    <w:name w:val="index 1"/>
    <w:basedOn w:val="1"/>
    <w:next w:val="1"/>
    <w:unhideWhenUsed/>
    <w:qFormat/>
    <w:uiPriority w:val="99"/>
    <w:pPr>
      <w:ind w:firstLine="0"/>
    </w:pPr>
  </w:style>
  <w:style w:type="paragraph" w:styleId="47">
    <w:name w:val="index 2"/>
    <w:basedOn w:val="1"/>
    <w:next w:val="1"/>
    <w:unhideWhenUsed/>
    <w:qFormat/>
    <w:uiPriority w:val="99"/>
    <w:pPr>
      <w:ind w:left="200" w:leftChars="200" w:firstLine="0"/>
    </w:pPr>
  </w:style>
  <w:style w:type="paragraph" w:styleId="48">
    <w:name w:val="index 3"/>
    <w:basedOn w:val="1"/>
    <w:next w:val="1"/>
    <w:unhideWhenUsed/>
    <w:qFormat/>
    <w:uiPriority w:val="99"/>
    <w:pPr>
      <w:ind w:left="400" w:leftChars="400" w:firstLine="0"/>
    </w:pPr>
  </w:style>
  <w:style w:type="paragraph" w:styleId="49">
    <w:name w:val="index 4"/>
    <w:basedOn w:val="1"/>
    <w:next w:val="1"/>
    <w:unhideWhenUsed/>
    <w:qFormat/>
    <w:uiPriority w:val="99"/>
    <w:pPr>
      <w:ind w:left="600" w:leftChars="600" w:firstLine="0"/>
    </w:pPr>
  </w:style>
  <w:style w:type="paragraph" w:styleId="50">
    <w:name w:val="index 5"/>
    <w:basedOn w:val="1"/>
    <w:next w:val="1"/>
    <w:unhideWhenUsed/>
    <w:qFormat/>
    <w:uiPriority w:val="99"/>
    <w:pPr>
      <w:ind w:left="800" w:leftChars="800" w:firstLine="0"/>
    </w:pPr>
  </w:style>
  <w:style w:type="paragraph" w:styleId="51">
    <w:name w:val="index 6"/>
    <w:basedOn w:val="1"/>
    <w:next w:val="1"/>
    <w:unhideWhenUsed/>
    <w:qFormat/>
    <w:uiPriority w:val="99"/>
    <w:pPr>
      <w:ind w:left="1000" w:leftChars="1000" w:firstLine="0"/>
    </w:pPr>
  </w:style>
  <w:style w:type="paragraph" w:styleId="52">
    <w:name w:val="index 7"/>
    <w:basedOn w:val="1"/>
    <w:next w:val="1"/>
    <w:unhideWhenUsed/>
    <w:qFormat/>
    <w:uiPriority w:val="99"/>
    <w:pPr>
      <w:ind w:left="1200" w:leftChars="1200" w:firstLine="0"/>
    </w:pPr>
  </w:style>
  <w:style w:type="paragraph" w:styleId="53">
    <w:name w:val="index 8"/>
    <w:basedOn w:val="1"/>
    <w:next w:val="1"/>
    <w:unhideWhenUsed/>
    <w:qFormat/>
    <w:uiPriority w:val="99"/>
    <w:pPr>
      <w:ind w:left="1400" w:leftChars="1400" w:firstLine="0"/>
    </w:pPr>
  </w:style>
  <w:style w:type="paragraph" w:styleId="54">
    <w:name w:val="index 9"/>
    <w:basedOn w:val="1"/>
    <w:next w:val="1"/>
    <w:unhideWhenUsed/>
    <w:qFormat/>
    <w:uiPriority w:val="99"/>
    <w:pPr>
      <w:ind w:left="1600" w:leftChars="1600" w:firstLine="0"/>
    </w:pPr>
  </w:style>
  <w:style w:type="paragraph" w:styleId="55">
    <w:name w:val="index heading"/>
    <w:basedOn w:val="1"/>
    <w:next w:val="46"/>
    <w:unhideWhenUsed/>
    <w:qFormat/>
    <w:uiPriority w:val="99"/>
    <w:rPr>
      <w:rFonts w:ascii="等线 Light" w:hAnsi="等线 Light" w:eastAsia="等线 Light"/>
      <w:b/>
      <w:bCs/>
    </w:rPr>
  </w:style>
  <w:style w:type="paragraph" w:styleId="56">
    <w:name w:val="List"/>
    <w:basedOn w:val="1"/>
    <w:unhideWhenUsed/>
    <w:qFormat/>
    <w:uiPriority w:val="0"/>
    <w:pPr>
      <w:adjustRightInd/>
      <w:snapToGrid/>
      <w:ind w:left="200" w:hanging="200" w:hangingChars="200"/>
      <w:contextualSpacing/>
    </w:pPr>
    <w:rPr>
      <w:rFonts w:ascii="Times New Roman" w:hAnsi="Times New Roman" w:eastAsia="宋体"/>
      <w:sz w:val="24"/>
      <w:szCs w:val="24"/>
    </w:rPr>
  </w:style>
  <w:style w:type="paragraph" w:styleId="57">
    <w:name w:val="List 2"/>
    <w:basedOn w:val="1"/>
    <w:unhideWhenUsed/>
    <w:qFormat/>
    <w:uiPriority w:val="99"/>
    <w:pPr>
      <w:ind w:left="100" w:leftChars="200" w:hanging="200" w:hangingChars="200"/>
      <w:contextualSpacing/>
    </w:pPr>
  </w:style>
  <w:style w:type="paragraph" w:styleId="58">
    <w:name w:val="List 3"/>
    <w:basedOn w:val="1"/>
    <w:unhideWhenUsed/>
    <w:qFormat/>
    <w:uiPriority w:val="99"/>
    <w:pPr>
      <w:ind w:left="100" w:leftChars="400" w:hanging="200" w:hangingChars="200"/>
      <w:contextualSpacing/>
    </w:pPr>
  </w:style>
  <w:style w:type="paragraph" w:styleId="59">
    <w:name w:val="List 4"/>
    <w:basedOn w:val="1"/>
    <w:unhideWhenUsed/>
    <w:qFormat/>
    <w:uiPriority w:val="99"/>
    <w:pPr>
      <w:ind w:left="100" w:leftChars="600" w:hanging="200" w:hangingChars="200"/>
      <w:contextualSpacing/>
    </w:pPr>
  </w:style>
  <w:style w:type="paragraph" w:styleId="60">
    <w:name w:val="List 5"/>
    <w:basedOn w:val="1"/>
    <w:unhideWhenUsed/>
    <w:qFormat/>
    <w:uiPriority w:val="99"/>
    <w:pPr>
      <w:ind w:left="100" w:leftChars="800" w:hanging="200" w:hangingChars="200"/>
      <w:contextualSpacing/>
    </w:pPr>
  </w:style>
  <w:style w:type="paragraph" w:styleId="61">
    <w:name w:val="List Bullet"/>
    <w:basedOn w:val="1"/>
    <w:unhideWhenUsed/>
    <w:qFormat/>
    <w:uiPriority w:val="99"/>
    <w:pPr>
      <w:numPr>
        <w:ilvl w:val="0"/>
        <w:numId w:val="3"/>
      </w:numPr>
      <w:contextualSpacing/>
    </w:pPr>
  </w:style>
  <w:style w:type="paragraph" w:styleId="62">
    <w:name w:val="List Bullet 2"/>
    <w:basedOn w:val="1"/>
    <w:unhideWhenUsed/>
    <w:qFormat/>
    <w:uiPriority w:val="99"/>
    <w:pPr>
      <w:numPr>
        <w:ilvl w:val="0"/>
        <w:numId w:val="4"/>
      </w:numPr>
      <w:contextualSpacing/>
    </w:pPr>
  </w:style>
  <w:style w:type="paragraph" w:styleId="63">
    <w:name w:val="List Bullet 3"/>
    <w:basedOn w:val="1"/>
    <w:unhideWhenUsed/>
    <w:qFormat/>
    <w:uiPriority w:val="99"/>
    <w:pPr>
      <w:numPr>
        <w:ilvl w:val="0"/>
        <w:numId w:val="5"/>
      </w:numPr>
      <w:contextualSpacing/>
    </w:pPr>
  </w:style>
  <w:style w:type="paragraph" w:styleId="64">
    <w:name w:val="List Bullet 4"/>
    <w:basedOn w:val="1"/>
    <w:unhideWhenUsed/>
    <w:qFormat/>
    <w:uiPriority w:val="99"/>
    <w:pPr>
      <w:numPr>
        <w:ilvl w:val="0"/>
        <w:numId w:val="6"/>
      </w:numPr>
      <w:contextualSpacing/>
    </w:pPr>
  </w:style>
  <w:style w:type="paragraph" w:styleId="65">
    <w:name w:val="List Bullet 5"/>
    <w:basedOn w:val="1"/>
    <w:unhideWhenUsed/>
    <w:qFormat/>
    <w:uiPriority w:val="99"/>
    <w:pPr>
      <w:numPr>
        <w:ilvl w:val="0"/>
        <w:numId w:val="7"/>
      </w:numPr>
      <w:contextualSpacing/>
    </w:pPr>
  </w:style>
  <w:style w:type="paragraph" w:styleId="66">
    <w:name w:val="List Continue"/>
    <w:basedOn w:val="1"/>
    <w:unhideWhenUsed/>
    <w:qFormat/>
    <w:uiPriority w:val="99"/>
    <w:pPr>
      <w:spacing w:after="120"/>
      <w:ind w:left="420" w:leftChars="200"/>
      <w:contextualSpacing/>
    </w:pPr>
  </w:style>
  <w:style w:type="paragraph" w:styleId="67">
    <w:name w:val="List Continue 2"/>
    <w:basedOn w:val="1"/>
    <w:unhideWhenUsed/>
    <w:qFormat/>
    <w:uiPriority w:val="99"/>
    <w:pPr>
      <w:spacing w:after="120"/>
      <w:ind w:left="840" w:leftChars="400"/>
      <w:contextualSpacing/>
    </w:pPr>
  </w:style>
  <w:style w:type="paragraph" w:styleId="68">
    <w:name w:val="List Continue 3"/>
    <w:basedOn w:val="1"/>
    <w:unhideWhenUsed/>
    <w:qFormat/>
    <w:uiPriority w:val="99"/>
    <w:pPr>
      <w:spacing w:after="120"/>
      <w:ind w:left="1260" w:leftChars="600"/>
      <w:contextualSpacing/>
    </w:pPr>
  </w:style>
  <w:style w:type="paragraph" w:styleId="69">
    <w:name w:val="List Continue 4"/>
    <w:basedOn w:val="1"/>
    <w:unhideWhenUsed/>
    <w:qFormat/>
    <w:uiPriority w:val="99"/>
    <w:pPr>
      <w:spacing w:after="120"/>
      <w:ind w:left="1680" w:leftChars="800"/>
      <w:contextualSpacing/>
    </w:pPr>
  </w:style>
  <w:style w:type="paragraph" w:styleId="70">
    <w:name w:val="List Continue 5"/>
    <w:basedOn w:val="1"/>
    <w:unhideWhenUsed/>
    <w:qFormat/>
    <w:uiPriority w:val="99"/>
    <w:pPr>
      <w:spacing w:after="120"/>
      <w:ind w:left="2100" w:leftChars="1000"/>
      <w:contextualSpacing/>
    </w:pPr>
  </w:style>
  <w:style w:type="paragraph" w:styleId="71">
    <w:name w:val="List Number"/>
    <w:basedOn w:val="1"/>
    <w:qFormat/>
    <w:uiPriority w:val="99"/>
    <w:pPr>
      <w:widowControl/>
      <w:numPr>
        <w:ilvl w:val="0"/>
        <w:numId w:val="8"/>
      </w:numPr>
      <w:topLinePunct/>
      <w:spacing w:before="160" w:after="160" w:line="240" w:lineRule="atLeast"/>
      <w:ind w:left="0" w:firstLine="0" w:firstLineChars="0"/>
      <w:jc w:val="left"/>
    </w:pPr>
    <w:rPr>
      <w:rFonts w:hint="eastAsia" w:ascii="Times New Roman" w:hAnsi="Times New Roman" w:eastAsia="宋体" w:cs="Arial"/>
      <w:sz w:val="21"/>
    </w:rPr>
  </w:style>
  <w:style w:type="paragraph" w:styleId="72">
    <w:name w:val="List Number 2"/>
    <w:next w:val="56"/>
    <w:link w:val="510"/>
    <w:qFormat/>
    <w:uiPriority w:val="99"/>
    <w:pPr>
      <w:numPr>
        <w:ilvl w:val="0"/>
        <w:numId w:val="9"/>
      </w:numPr>
      <w:tabs>
        <w:tab w:val="clear" w:pos="900"/>
      </w:tabs>
      <w:spacing w:line="360" w:lineRule="auto"/>
      <w:ind w:left="0" w:firstLine="0"/>
      <w:jc w:val="center"/>
    </w:pPr>
    <w:rPr>
      <w:rFonts w:ascii="Arial" w:hAnsi="Arial" w:eastAsia="宋体" w:cs="Times New Roman"/>
      <w:sz w:val="18"/>
      <w:szCs w:val="22"/>
      <w:lang w:val="en-US" w:eastAsia="zh-CN" w:bidi="ar-SA"/>
    </w:rPr>
  </w:style>
  <w:style w:type="paragraph" w:styleId="73">
    <w:name w:val="List Number 3"/>
    <w:basedOn w:val="1"/>
    <w:unhideWhenUsed/>
    <w:qFormat/>
    <w:uiPriority w:val="99"/>
    <w:pPr>
      <w:numPr>
        <w:ilvl w:val="0"/>
        <w:numId w:val="10"/>
      </w:numPr>
      <w:contextualSpacing/>
    </w:pPr>
  </w:style>
  <w:style w:type="paragraph" w:styleId="74">
    <w:name w:val="List Number 4"/>
    <w:basedOn w:val="1"/>
    <w:unhideWhenUsed/>
    <w:qFormat/>
    <w:uiPriority w:val="99"/>
    <w:pPr>
      <w:numPr>
        <w:ilvl w:val="0"/>
        <w:numId w:val="11"/>
      </w:numPr>
      <w:contextualSpacing/>
    </w:pPr>
  </w:style>
  <w:style w:type="paragraph" w:styleId="75">
    <w:name w:val="List Number 5"/>
    <w:basedOn w:val="1"/>
    <w:unhideWhenUsed/>
    <w:qFormat/>
    <w:uiPriority w:val="99"/>
    <w:pPr>
      <w:numPr>
        <w:ilvl w:val="0"/>
        <w:numId w:val="12"/>
      </w:numPr>
      <w:contextualSpacing/>
    </w:pPr>
  </w:style>
  <w:style w:type="paragraph" w:styleId="76">
    <w:name w:val="macro"/>
    <w:link w:val="454"/>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200" w:firstLineChars="200"/>
    </w:pPr>
    <w:rPr>
      <w:rFonts w:ascii="Courier New" w:hAnsi="Courier New" w:eastAsia="宋体" w:cs="Courier New"/>
      <w:kern w:val="2"/>
      <w:sz w:val="24"/>
      <w:szCs w:val="24"/>
      <w:lang w:val="en-US" w:eastAsia="zh-CN" w:bidi="ar-SA"/>
    </w:rPr>
  </w:style>
  <w:style w:type="paragraph" w:styleId="77">
    <w:name w:val="Message Header"/>
    <w:basedOn w:val="1"/>
    <w:link w:val="459"/>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等线 Light" w:hAnsi="等线 Light" w:eastAsia="等线 Light"/>
      <w:sz w:val="24"/>
      <w:szCs w:val="24"/>
    </w:rPr>
  </w:style>
  <w:style w:type="paragraph" w:styleId="78">
    <w:name w:val="Normal (Web)"/>
    <w:basedOn w:val="1"/>
    <w:link w:val="137"/>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79">
    <w:name w:val="Normal Indent"/>
    <w:basedOn w:val="1"/>
    <w:link w:val="119"/>
    <w:qFormat/>
    <w:uiPriority w:val="0"/>
    <w:pPr>
      <w:topLinePunct/>
      <w:ind w:firstLine="420"/>
    </w:pPr>
    <w:rPr>
      <w:rFonts w:ascii="Times New Roman" w:hAnsi="Times New Roman" w:eastAsia="宋体"/>
      <w:szCs w:val="24"/>
    </w:rPr>
  </w:style>
  <w:style w:type="paragraph" w:styleId="80">
    <w:name w:val="Note Heading"/>
    <w:basedOn w:val="1"/>
    <w:next w:val="1"/>
    <w:link w:val="463"/>
    <w:unhideWhenUsed/>
    <w:qFormat/>
    <w:uiPriority w:val="99"/>
    <w:pPr>
      <w:jc w:val="center"/>
    </w:pPr>
  </w:style>
  <w:style w:type="character" w:styleId="81">
    <w:name w:val="page number"/>
    <w:qFormat/>
    <w:uiPriority w:val="0"/>
  </w:style>
  <w:style w:type="paragraph" w:styleId="82">
    <w:name w:val="Plain Text"/>
    <w:basedOn w:val="1"/>
    <w:link w:val="126"/>
    <w:qFormat/>
    <w:uiPriority w:val="99"/>
    <w:pPr>
      <w:topLinePunct/>
    </w:pPr>
    <w:rPr>
      <w:rFonts w:ascii="宋体" w:hAnsi="Courier New" w:eastAsia="等线"/>
    </w:rPr>
  </w:style>
  <w:style w:type="paragraph" w:styleId="83">
    <w:name w:val="Salutation"/>
    <w:basedOn w:val="1"/>
    <w:next w:val="1"/>
    <w:link w:val="452"/>
    <w:unhideWhenUsed/>
    <w:qFormat/>
    <w:uiPriority w:val="99"/>
  </w:style>
  <w:style w:type="paragraph" w:styleId="84">
    <w:name w:val="Signature"/>
    <w:basedOn w:val="1"/>
    <w:link w:val="456"/>
    <w:unhideWhenUsed/>
    <w:qFormat/>
    <w:uiPriority w:val="99"/>
    <w:pPr>
      <w:ind w:left="100" w:leftChars="2100"/>
    </w:pPr>
  </w:style>
  <w:style w:type="character" w:styleId="85">
    <w:name w:val="Strong"/>
    <w:qFormat/>
    <w:uiPriority w:val="22"/>
    <w:rPr>
      <w:b/>
      <w:bCs/>
    </w:rPr>
  </w:style>
  <w:style w:type="paragraph" w:styleId="86">
    <w:name w:val="Subtitle"/>
    <w:basedOn w:val="1"/>
    <w:next w:val="1"/>
    <w:link w:val="133"/>
    <w:qFormat/>
    <w:uiPriority w:val="11"/>
    <w:pPr>
      <w:topLinePunct/>
      <w:spacing w:before="240" w:after="60" w:line="312" w:lineRule="auto"/>
      <w:jc w:val="center"/>
      <w:outlineLvl w:val="1"/>
    </w:pPr>
    <w:rPr>
      <w:rFonts w:ascii="Cambria" w:hAnsi="Cambria" w:eastAsia="等线"/>
      <w:b/>
      <w:bCs/>
      <w:kern w:val="28"/>
      <w:szCs w:val="32"/>
    </w:rPr>
  </w:style>
  <w:style w:type="table" w:styleId="87">
    <w:name w:val="Table Grid"/>
    <w:basedOn w:val="13"/>
    <w:qFormat/>
    <w:uiPriority w:val="0"/>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8">
    <w:name w:val="table of authorities"/>
    <w:basedOn w:val="1"/>
    <w:next w:val="1"/>
    <w:unhideWhenUsed/>
    <w:qFormat/>
    <w:uiPriority w:val="99"/>
    <w:pPr>
      <w:ind w:left="420" w:leftChars="200" w:firstLine="0"/>
    </w:pPr>
  </w:style>
  <w:style w:type="paragraph" w:styleId="89">
    <w:name w:val="table of figures"/>
    <w:basedOn w:val="1"/>
    <w:next w:val="1"/>
    <w:link w:val="136"/>
    <w:qFormat/>
    <w:uiPriority w:val="99"/>
    <w:pPr>
      <w:topLinePunct/>
      <w:ind w:left="200" w:leftChars="200" w:hanging="200" w:hangingChars="200"/>
    </w:pPr>
    <w:rPr>
      <w:rFonts w:ascii="Times New Roman" w:hAnsi="Times New Roman" w:eastAsia="宋体"/>
      <w:szCs w:val="24"/>
    </w:rPr>
  </w:style>
  <w:style w:type="table" w:styleId="90">
    <w:name w:val="Table Professional"/>
    <w:basedOn w:val="13"/>
    <w:semiHidden/>
    <w:unhideWhenUsed/>
    <w:qFormat/>
    <w:uiPriority w:val="99"/>
    <w:pPr>
      <w:widowControl w:val="0"/>
      <w:spacing w:line="360" w:lineRule="auto"/>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styleId="91">
    <w:name w:val="Title"/>
    <w:basedOn w:val="1"/>
    <w:next w:val="1"/>
    <w:link w:val="138"/>
    <w:qFormat/>
    <w:uiPriority w:val="10"/>
    <w:pPr>
      <w:pageBreakBefore/>
      <w:topLinePunct/>
      <w:spacing w:before="600" w:afterLines="100"/>
      <w:jc w:val="center"/>
      <w:outlineLvl w:val="0"/>
    </w:pPr>
    <w:rPr>
      <w:rFonts w:ascii="Cambria" w:hAnsi="Cambria" w:eastAsia="黑体"/>
      <w:b/>
      <w:bCs/>
      <w:szCs w:val="32"/>
    </w:rPr>
  </w:style>
  <w:style w:type="paragraph" w:styleId="92">
    <w:name w:val="toa heading"/>
    <w:basedOn w:val="1"/>
    <w:next w:val="1"/>
    <w:unhideWhenUsed/>
    <w:qFormat/>
    <w:uiPriority w:val="99"/>
    <w:pPr>
      <w:spacing w:before="120"/>
    </w:pPr>
    <w:rPr>
      <w:rFonts w:ascii="等线 Light" w:hAnsi="等线 Light" w:eastAsia="宋体"/>
      <w:sz w:val="24"/>
      <w:szCs w:val="24"/>
    </w:rPr>
  </w:style>
  <w:style w:type="paragraph" w:styleId="93">
    <w:name w:val="toc 1"/>
    <w:basedOn w:val="1"/>
    <w:next w:val="1"/>
    <w:qFormat/>
    <w:uiPriority w:val="39"/>
    <w:pPr>
      <w:topLinePunct/>
      <w:ind w:firstLine="0" w:firstLineChars="0"/>
      <w:jc w:val="left"/>
    </w:pPr>
    <w:rPr>
      <w:rFonts w:ascii="Times New Roman" w:hAnsi="Times New Roman" w:eastAsia="宋体"/>
      <w:b/>
      <w:bCs/>
      <w:caps/>
      <w:szCs w:val="24"/>
    </w:rPr>
  </w:style>
  <w:style w:type="paragraph" w:styleId="94">
    <w:name w:val="toc 2"/>
    <w:basedOn w:val="19"/>
    <w:next w:val="1"/>
    <w:qFormat/>
    <w:uiPriority w:val="39"/>
    <w:pPr>
      <w:tabs>
        <w:tab w:val="right" w:leader="dot" w:pos="8531"/>
      </w:tabs>
      <w:spacing w:after="0"/>
      <w:ind w:firstLine="100"/>
      <w:jc w:val="left"/>
    </w:pPr>
    <w:rPr>
      <w:rFonts w:eastAsia="宋体"/>
      <w:smallCaps/>
      <w:sz w:val="28"/>
    </w:rPr>
  </w:style>
  <w:style w:type="paragraph" w:styleId="95">
    <w:name w:val="toc 3"/>
    <w:basedOn w:val="19"/>
    <w:next w:val="1"/>
    <w:qFormat/>
    <w:uiPriority w:val="39"/>
    <w:pPr>
      <w:spacing w:after="0"/>
      <w:ind w:firstLine="200" w:firstLineChars="200"/>
      <w:jc w:val="left"/>
    </w:pPr>
    <w:rPr>
      <w:rFonts w:eastAsia="宋体"/>
      <w:iCs/>
      <w:sz w:val="28"/>
    </w:rPr>
  </w:style>
  <w:style w:type="paragraph" w:styleId="96">
    <w:name w:val="toc 4"/>
    <w:basedOn w:val="21"/>
    <w:next w:val="1"/>
    <w:qFormat/>
    <w:uiPriority w:val="39"/>
    <w:pPr>
      <w:ind w:left="630"/>
      <w:jc w:val="left"/>
    </w:pPr>
    <w:rPr>
      <w:szCs w:val="21"/>
    </w:rPr>
  </w:style>
  <w:style w:type="paragraph" w:styleId="97">
    <w:name w:val="toc 5"/>
    <w:basedOn w:val="1"/>
    <w:next w:val="1"/>
    <w:qFormat/>
    <w:uiPriority w:val="39"/>
    <w:pPr>
      <w:topLinePunct/>
      <w:ind w:left="840"/>
      <w:jc w:val="left"/>
    </w:pPr>
    <w:rPr>
      <w:rFonts w:ascii="Times New Roman" w:hAnsi="Times New Roman" w:eastAsia="宋体"/>
    </w:rPr>
  </w:style>
  <w:style w:type="paragraph" w:styleId="98">
    <w:name w:val="toc 6"/>
    <w:basedOn w:val="1"/>
    <w:next w:val="1"/>
    <w:qFormat/>
    <w:uiPriority w:val="39"/>
    <w:pPr>
      <w:topLinePunct/>
      <w:ind w:left="1050"/>
      <w:jc w:val="left"/>
    </w:pPr>
    <w:rPr>
      <w:rFonts w:ascii="Times New Roman" w:hAnsi="Times New Roman" w:eastAsia="宋体"/>
    </w:rPr>
  </w:style>
  <w:style w:type="paragraph" w:styleId="99">
    <w:name w:val="toc 7"/>
    <w:basedOn w:val="1"/>
    <w:next w:val="1"/>
    <w:qFormat/>
    <w:uiPriority w:val="39"/>
    <w:pPr>
      <w:topLinePunct/>
      <w:ind w:left="1260"/>
      <w:jc w:val="left"/>
    </w:pPr>
    <w:rPr>
      <w:rFonts w:ascii="Times New Roman" w:hAnsi="Times New Roman" w:eastAsia="宋体"/>
    </w:rPr>
  </w:style>
  <w:style w:type="paragraph" w:styleId="100">
    <w:name w:val="toc 8"/>
    <w:basedOn w:val="1"/>
    <w:next w:val="1"/>
    <w:qFormat/>
    <w:uiPriority w:val="39"/>
    <w:pPr>
      <w:topLinePunct/>
      <w:ind w:left="1470"/>
      <w:jc w:val="left"/>
    </w:pPr>
    <w:rPr>
      <w:rFonts w:ascii="Times New Roman" w:hAnsi="Times New Roman" w:eastAsia="宋体"/>
    </w:rPr>
  </w:style>
  <w:style w:type="paragraph" w:styleId="101">
    <w:name w:val="toc 9"/>
    <w:basedOn w:val="1"/>
    <w:next w:val="1"/>
    <w:qFormat/>
    <w:uiPriority w:val="39"/>
    <w:pPr>
      <w:topLinePunct/>
      <w:ind w:left="1680"/>
      <w:jc w:val="left"/>
    </w:pPr>
    <w:rPr>
      <w:rFonts w:ascii="Times New Roman" w:hAnsi="Times New Roman" w:eastAsia="宋体"/>
    </w:rPr>
  </w:style>
  <w:style w:type="character" w:customStyle="1" w:styleId="102">
    <w:name w:val="标题 2 字符"/>
    <w:link w:val="3"/>
    <w:qFormat/>
    <w:uiPriority w:val="0"/>
    <w:rPr>
      <w:rFonts w:ascii="Arial" w:hAnsi="Arial" w:eastAsia="方正楷体_GBK"/>
      <w:b/>
      <w:sz w:val="30"/>
      <w:szCs w:val="24"/>
    </w:rPr>
  </w:style>
  <w:style w:type="character" w:customStyle="1" w:styleId="103">
    <w:name w:val="标题 1 字符"/>
    <w:link w:val="2"/>
    <w:qFormat/>
    <w:uiPriority w:val="0"/>
    <w:rPr>
      <w:rFonts w:ascii="黑体" w:hAnsi="黑体" w:eastAsia="黑体"/>
      <w:kern w:val="44"/>
      <w:sz w:val="32"/>
      <w:szCs w:val="24"/>
    </w:rPr>
  </w:style>
  <w:style w:type="character" w:customStyle="1" w:styleId="104">
    <w:name w:val="标题 6 字符"/>
    <w:link w:val="8"/>
    <w:qFormat/>
    <w:uiPriority w:val="9"/>
    <w:rPr>
      <w:rFonts w:ascii="Times New Roman" w:hAnsi="Times New Roman" w:eastAsia="仿宋" w:cs="Times New Roman"/>
      <w:b/>
      <w:bCs/>
      <w:sz w:val="28"/>
      <w:szCs w:val="24"/>
    </w:rPr>
  </w:style>
  <w:style w:type="character" w:customStyle="1" w:styleId="105">
    <w:name w:val="标题 7 字符"/>
    <w:link w:val="9"/>
    <w:qFormat/>
    <w:uiPriority w:val="9"/>
    <w:rPr>
      <w:rFonts w:ascii="Times New Roman" w:hAnsi="Times New Roman" w:eastAsia="仿宋" w:cs="Times New Roman"/>
      <w:b/>
      <w:bCs/>
      <w:sz w:val="28"/>
      <w:szCs w:val="24"/>
    </w:rPr>
  </w:style>
  <w:style w:type="paragraph" w:customStyle="1" w:styleId="106">
    <w:name w:val="_6级"/>
    <w:basedOn w:val="107"/>
    <w:next w:val="1"/>
    <w:qFormat/>
    <w:uiPriority w:val="0"/>
    <w:pPr>
      <w:numPr>
        <w:ilvl w:val="5"/>
      </w:numPr>
      <w:outlineLvl w:val="5"/>
    </w:pPr>
  </w:style>
  <w:style w:type="paragraph" w:customStyle="1" w:styleId="107">
    <w:name w:val="_5级"/>
    <w:basedOn w:val="1"/>
    <w:link w:val="284"/>
    <w:qFormat/>
    <w:uiPriority w:val="0"/>
    <w:pPr>
      <w:numPr>
        <w:ilvl w:val="4"/>
        <w:numId w:val="1"/>
      </w:numPr>
      <w:ind w:firstLineChars="0"/>
      <w:outlineLvl w:val="4"/>
    </w:pPr>
    <w:rPr>
      <w:rFonts w:ascii="Times New Roman" w:hAnsi="Times New Roman" w:eastAsia="黑体"/>
    </w:rPr>
  </w:style>
  <w:style w:type="paragraph" w:customStyle="1" w:styleId="108">
    <w:name w:val="_3级"/>
    <w:basedOn w:val="1"/>
    <w:qFormat/>
    <w:uiPriority w:val="0"/>
    <w:pPr>
      <w:numPr>
        <w:ilvl w:val="2"/>
        <w:numId w:val="1"/>
      </w:numPr>
      <w:ind w:firstLineChars="0"/>
      <w:outlineLvl w:val="2"/>
    </w:pPr>
    <w:rPr>
      <w:rFonts w:ascii="Times New Roman" w:hAnsi="Times New Roman" w:eastAsia="黑体"/>
      <w:color w:val="000000"/>
    </w:rPr>
  </w:style>
  <w:style w:type="paragraph" w:customStyle="1" w:styleId="109">
    <w:name w:val="_4级"/>
    <w:basedOn w:val="1"/>
    <w:qFormat/>
    <w:uiPriority w:val="0"/>
    <w:pPr>
      <w:numPr>
        <w:ilvl w:val="3"/>
        <w:numId w:val="1"/>
      </w:numPr>
      <w:ind w:firstLineChars="0"/>
      <w:outlineLvl w:val="3"/>
    </w:pPr>
    <w:rPr>
      <w:rFonts w:ascii="Times New Roman" w:hAnsi="Times New Roman" w:eastAsia="黑体"/>
      <w:color w:val="000000"/>
    </w:rPr>
  </w:style>
  <w:style w:type="paragraph" w:customStyle="1" w:styleId="110">
    <w:name w:val="_7级"/>
    <w:basedOn w:val="106"/>
    <w:next w:val="1"/>
    <w:qFormat/>
    <w:uiPriority w:val="0"/>
    <w:pPr>
      <w:numPr>
        <w:ilvl w:val="6"/>
      </w:numPr>
      <w:outlineLvl w:val="6"/>
    </w:pPr>
  </w:style>
  <w:style w:type="paragraph" w:customStyle="1" w:styleId="111">
    <w:name w:val="_8级"/>
    <w:basedOn w:val="110"/>
    <w:next w:val="112"/>
    <w:qFormat/>
    <w:uiPriority w:val="0"/>
    <w:pPr>
      <w:numPr>
        <w:ilvl w:val="7"/>
      </w:numPr>
      <w:outlineLvl w:val="7"/>
    </w:pPr>
    <w:rPr>
      <w:bCs/>
      <w:lang w:val="zh-CN"/>
    </w:rPr>
  </w:style>
  <w:style w:type="paragraph" w:customStyle="1" w:styleId="112">
    <w:name w:val="！正文"/>
    <w:basedOn w:val="1"/>
    <w:link w:val="299"/>
    <w:qFormat/>
    <w:uiPriority w:val="0"/>
    <w:pPr>
      <w:autoSpaceDN w:val="0"/>
    </w:pPr>
    <w:rPr>
      <w:rFonts w:ascii="Times New Roman" w:hAnsi="Times New Roman"/>
    </w:rPr>
  </w:style>
  <w:style w:type="paragraph" w:customStyle="1" w:styleId="113">
    <w:name w:val="_9级"/>
    <w:basedOn w:val="111"/>
    <w:next w:val="112"/>
    <w:qFormat/>
    <w:uiPriority w:val="0"/>
    <w:pPr>
      <w:numPr>
        <w:ilvl w:val="0"/>
        <w:numId w:val="0"/>
      </w:numPr>
      <w:spacing w:before="190" w:beforeLines="50"/>
      <w:outlineLvl w:val="8"/>
    </w:pPr>
  </w:style>
  <w:style w:type="character" w:customStyle="1" w:styleId="114">
    <w:name w:val="标题 3 字符"/>
    <w:link w:val="4"/>
    <w:qFormat/>
    <w:uiPriority w:val="0"/>
    <w:rPr>
      <w:rFonts w:ascii="Calibri" w:hAnsi="Calibri" w:eastAsia="黑体" w:cs="Times New Roman"/>
      <w:bCs/>
      <w:kern w:val="0"/>
      <w:sz w:val="28"/>
      <w:szCs w:val="32"/>
      <w:lang w:val="ru-RU" w:eastAsia="en-US"/>
    </w:rPr>
  </w:style>
  <w:style w:type="character" w:customStyle="1" w:styleId="115">
    <w:name w:val="标题 4 字符"/>
    <w:link w:val="6"/>
    <w:qFormat/>
    <w:uiPriority w:val="0"/>
    <w:rPr>
      <w:rFonts w:ascii="等线 Light" w:hAnsi="等线 Light" w:eastAsia="黑体" w:cs="Times New Roman"/>
      <w:bCs/>
      <w:sz w:val="28"/>
      <w:szCs w:val="28"/>
    </w:rPr>
  </w:style>
  <w:style w:type="character" w:customStyle="1" w:styleId="116">
    <w:name w:val="标题 5 字符"/>
    <w:link w:val="7"/>
    <w:qFormat/>
    <w:uiPriority w:val="0"/>
    <w:rPr>
      <w:rFonts w:ascii="等线" w:hAnsi="等线" w:eastAsia="黑体"/>
      <w:b/>
      <w:bCs/>
      <w:kern w:val="2"/>
      <w:sz w:val="28"/>
      <w:szCs w:val="28"/>
    </w:rPr>
  </w:style>
  <w:style w:type="character" w:customStyle="1" w:styleId="117">
    <w:name w:val="标题 8 字符"/>
    <w:link w:val="10"/>
    <w:qFormat/>
    <w:uiPriority w:val="9"/>
    <w:rPr>
      <w:rFonts w:ascii="Times New Roman" w:hAnsi="Times New Roman" w:eastAsia="仿宋" w:cs="Times New Roman"/>
      <w:b/>
      <w:kern w:val="0"/>
      <w:sz w:val="28"/>
      <w:szCs w:val="24"/>
    </w:rPr>
  </w:style>
  <w:style w:type="character" w:customStyle="1" w:styleId="118">
    <w:name w:val="标题 9 字符"/>
    <w:link w:val="11"/>
    <w:qFormat/>
    <w:uiPriority w:val="9"/>
    <w:rPr>
      <w:rFonts w:ascii="Times New Roman" w:hAnsi="Times New Roman" w:eastAsia="仿宋" w:cs="Times New Roman"/>
      <w:b/>
      <w:sz w:val="28"/>
      <w:szCs w:val="21"/>
    </w:rPr>
  </w:style>
  <w:style w:type="character" w:customStyle="1" w:styleId="119">
    <w:name w:val="正文缩进 字符"/>
    <w:link w:val="79"/>
    <w:qFormat/>
    <w:uiPriority w:val="0"/>
    <w:rPr>
      <w:rFonts w:ascii="Times New Roman" w:hAnsi="Times New Roman" w:eastAsia="宋体" w:cs="Times New Roman"/>
      <w:sz w:val="28"/>
      <w:szCs w:val="24"/>
    </w:rPr>
  </w:style>
  <w:style w:type="character" w:customStyle="1" w:styleId="120">
    <w:name w:val="题注 字符"/>
    <w:link w:val="24"/>
    <w:qFormat/>
    <w:uiPriority w:val="35"/>
    <w:rPr>
      <w:rFonts w:eastAsia="黑体"/>
      <w:color w:val="000000"/>
      <w:kern w:val="2"/>
    </w:rPr>
  </w:style>
  <w:style w:type="character" w:customStyle="1" w:styleId="121">
    <w:name w:val="文档结构图 字符"/>
    <w:link w:val="31"/>
    <w:qFormat/>
    <w:uiPriority w:val="99"/>
    <w:rPr>
      <w:rFonts w:ascii="宋体" w:hAnsi="Times New Roman"/>
      <w:sz w:val="18"/>
      <w:szCs w:val="18"/>
    </w:rPr>
  </w:style>
  <w:style w:type="character" w:customStyle="1" w:styleId="122">
    <w:name w:val="批注文字 字符1"/>
    <w:link w:val="28"/>
    <w:qFormat/>
    <w:uiPriority w:val="99"/>
    <w:rPr>
      <w:rFonts w:ascii="Calibri" w:hAnsi="Calibri" w:eastAsia="宋体" w:cs="Times New Roman"/>
    </w:rPr>
  </w:style>
  <w:style w:type="character" w:customStyle="1" w:styleId="123">
    <w:name w:val="正文文本 字符"/>
    <w:link w:val="16"/>
    <w:qFormat/>
    <w:uiPriority w:val="99"/>
    <w:rPr>
      <w:rFonts w:ascii="Times New Roman" w:hAnsi="Times New Roman"/>
      <w:sz w:val="28"/>
      <w:szCs w:val="24"/>
    </w:rPr>
  </w:style>
  <w:style w:type="character" w:customStyle="1" w:styleId="124">
    <w:name w:val="正文文本缩进 字符"/>
    <w:link w:val="20"/>
    <w:qFormat/>
    <w:uiPriority w:val="99"/>
    <w:rPr>
      <w:rFonts w:ascii="Times New Roman" w:hAnsi="Times New Roman"/>
      <w:sz w:val="24"/>
      <w:szCs w:val="24"/>
    </w:rPr>
  </w:style>
  <w:style w:type="character" w:customStyle="1" w:styleId="125">
    <w:name w:val="正文文本首行缩进 字符"/>
    <w:link w:val="19"/>
    <w:qFormat/>
    <w:uiPriority w:val="0"/>
  </w:style>
  <w:style w:type="character" w:customStyle="1" w:styleId="126">
    <w:name w:val="纯文本 字符"/>
    <w:link w:val="82"/>
    <w:qFormat/>
    <w:uiPriority w:val="99"/>
    <w:rPr>
      <w:rFonts w:ascii="宋体" w:hAnsi="Courier New"/>
      <w:sz w:val="28"/>
    </w:rPr>
  </w:style>
  <w:style w:type="character" w:customStyle="1" w:styleId="127">
    <w:name w:val="日期 字符"/>
    <w:link w:val="30"/>
    <w:qFormat/>
    <w:uiPriority w:val="99"/>
    <w:rPr>
      <w:rFonts w:ascii="Times New Roman" w:hAnsi="Times New Roman" w:eastAsia="宋体" w:cs="Times New Roman"/>
      <w:kern w:val="2"/>
      <w:sz w:val="24"/>
      <w:szCs w:val="24"/>
    </w:rPr>
  </w:style>
  <w:style w:type="character" w:customStyle="1" w:styleId="128">
    <w:name w:val="批注框文本 字符"/>
    <w:link w:val="14"/>
    <w:qFormat/>
    <w:uiPriority w:val="99"/>
    <w:rPr>
      <w:rFonts w:ascii="Calibri" w:hAnsi="Calibri" w:eastAsia="宋体" w:cs="Times New Roman"/>
      <w:sz w:val="18"/>
      <w:szCs w:val="18"/>
    </w:rPr>
  </w:style>
  <w:style w:type="character" w:customStyle="1" w:styleId="129">
    <w:name w:val="页脚 字符"/>
    <w:link w:val="38"/>
    <w:qFormat/>
    <w:uiPriority w:val="99"/>
    <w:rPr>
      <w:rFonts w:ascii="Calibri" w:hAnsi="Calibri" w:eastAsia="宋体" w:cs="Times New Roman"/>
      <w:sz w:val="18"/>
      <w:szCs w:val="18"/>
    </w:rPr>
  </w:style>
  <w:style w:type="character" w:customStyle="1" w:styleId="130">
    <w:name w:val="页眉 字符"/>
    <w:link w:val="41"/>
    <w:qFormat/>
    <w:uiPriority w:val="99"/>
    <w:rPr>
      <w:rFonts w:ascii="Calibri" w:hAnsi="Calibri" w:eastAsia="宋体" w:cs="Times New Roman"/>
      <w:sz w:val="18"/>
      <w:szCs w:val="18"/>
    </w:rPr>
  </w:style>
  <w:style w:type="character" w:customStyle="1" w:styleId="131">
    <w:name w:val="正文文本首行缩进 2 字符"/>
    <w:link w:val="21"/>
    <w:qFormat/>
    <w:uiPriority w:val="99"/>
    <w:rPr>
      <w:rFonts w:ascii="Times New Roman" w:hAnsi="Times New Roman" w:eastAsia="仿宋" w:cs="Times New Roman"/>
      <w:sz w:val="28"/>
      <w:szCs w:val="24"/>
    </w:rPr>
  </w:style>
  <w:style w:type="character" w:customStyle="1" w:styleId="132">
    <w:name w:val="正文文本缩进 Char1"/>
    <w:semiHidden/>
    <w:qFormat/>
    <w:uiPriority w:val="99"/>
    <w:rPr>
      <w:rFonts w:ascii="Calibri" w:hAnsi="Calibri" w:eastAsia="仿宋" w:cs="Times New Roman"/>
      <w:sz w:val="32"/>
    </w:rPr>
  </w:style>
  <w:style w:type="character" w:customStyle="1" w:styleId="133">
    <w:name w:val="副标题 字符"/>
    <w:link w:val="86"/>
    <w:qFormat/>
    <w:uiPriority w:val="11"/>
    <w:rPr>
      <w:rFonts w:ascii="Cambria" w:hAnsi="Cambria"/>
      <w:b/>
      <w:bCs/>
      <w:kern w:val="28"/>
      <w:sz w:val="32"/>
      <w:szCs w:val="32"/>
    </w:rPr>
  </w:style>
  <w:style w:type="character" w:customStyle="1" w:styleId="134">
    <w:name w:val="脚注文本 字符"/>
    <w:link w:val="40"/>
    <w:qFormat/>
    <w:uiPriority w:val="99"/>
    <w:rPr>
      <w:rFonts w:eastAsia="仿宋"/>
      <w:kern w:val="2"/>
      <w:sz w:val="18"/>
      <w:szCs w:val="18"/>
    </w:rPr>
  </w:style>
  <w:style w:type="character" w:customStyle="1" w:styleId="135">
    <w:name w:val="正文文本缩进 3 字符"/>
    <w:link w:val="23"/>
    <w:qFormat/>
    <w:uiPriority w:val="0"/>
    <w:rPr>
      <w:sz w:val="16"/>
      <w:szCs w:val="16"/>
    </w:rPr>
  </w:style>
  <w:style w:type="character" w:customStyle="1" w:styleId="136">
    <w:name w:val="图表目录 字符"/>
    <w:link w:val="89"/>
    <w:qFormat/>
    <w:uiPriority w:val="99"/>
    <w:rPr>
      <w:rFonts w:ascii="Times New Roman" w:hAnsi="Times New Roman" w:eastAsia="宋体"/>
      <w:kern w:val="2"/>
      <w:sz w:val="28"/>
      <w:szCs w:val="24"/>
    </w:rPr>
  </w:style>
  <w:style w:type="character" w:customStyle="1" w:styleId="137">
    <w:name w:val="普通(网站) 字符"/>
    <w:link w:val="78"/>
    <w:qFormat/>
    <w:uiPriority w:val="99"/>
    <w:rPr>
      <w:rFonts w:ascii="宋体" w:hAnsi="宋体" w:eastAsia="宋体" w:cs="宋体"/>
      <w:sz w:val="24"/>
      <w:szCs w:val="24"/>
    </w:rPr>
  </w:style>
  <w:style w:type="character" w:customStyle="1" w:styleId="138">
    <w:name w:val="标题 字符"/>
    <w:link w:val="91"/>
    <w:qFormat/>
    <w:uiPriority w:val="10"/>
    <w:rPr>
      <w:rFonts w:ascii="Cambria" w:hAnsi="Cambria" w:eastAsia="黑体"/>
      <w:b/>
      <w:bCs/>
      <w:sz w:val="32"/>
      <w:szCs w:val="32"/>
    </w:rPr>
  </w:style>
  <w:style w:type="character" w:customStyle="1" w:styleId="139">
    <w:name w:val="批注主题 字符"/>
    <w:link w:val="29"/>
    <w:qFormat/>
    <w:uiPriority w:val="99"/>
    <w:rPr>
      <w:rFonts w:ascii="Calibri" w:hAnsi="Calibri" w:eastAsia="仿宋" w:cs="Times New Roman"/>
      <w:b/>
      <w:bCs/>
      <w:sz w:val="32"/>
    </w:rPr>
  </w:style>
  <w:style w:type="character" w:customStyle="1" w:styleId="140">
    <w:name w:val="批注文字 字符"/>
    <w:qFormat/>
    <w:uiPriority w:val="99"/>
    <w:rPr>
      <w:rFonts w:ascii="Calibri" w:hAnsi="Calibri" w:eastAsia="宋体" w:cs="Times New Roman"/>
    </w:rPr>
  </w:style>
  <w:style w:type="paragraph" w:customStyle="1" w:styleId="141">
    <w:name w:val="标题 11"/>
    <w:next w:val="1"/>
    <w:qFormat/>
    <w:uiPriority w:val="9"/>
    <w:pPr>
      <w:keepNext/>
      <w:keepLines/>
      <w:pageBreakBefore/>
      <w:widowControl w:val="0"/>
      <w:spacing w:before="120" w:after="120" w:line="578" w:lineRule="auto"/>
      <w:ind w:left="432" w:hanging="432"/>
      <w:outlineLvl w:val="0"/>
    </w:pPr>
    <w:rPr>
      <w:rFonts w:ascii="Times New Roman" w:hAnsi="Times New Roman" w:eastAsia="黑体" w:cs="Times New Roman"/>
      <w:b/>
      <w:bCs/>
      <w:kern w:val="44"/>
      <w:sz w:val="44"/>
      <w:szCs w:val="44"/>
      <w:lang w:val="en-US" w:eastAsia="zh-CN" w:bidi="ar-SA"/>
    </w:rPr>
  </w:style>
  <w:style w:type="paragraph" w:customStyle="1" w:styleId="142">
    <w:name w:val="_2级"/>
    <w:next w:val="1"/>
    <w:unhideWhenUsed/>
    <w:qFormat/>
    <w:uiPriority w:val="9"/>
    <w:pPr>
      <w:keepNext/>
      <w:keepLines/>
      <w:numPr>
        <w:ilvl w:val="1"/>
        <w:numId w:val="1"/>
      </w:numPr>
      <w:adjustRightInd w:val="0"/>
      <w:snapToGrid w:val="0"/>
      <w:spacing w:line="360" w:lineRule="auto"/>
      <w:outlineLvl w:val="1"/>
    </w:pPr>
    <w:rPr>
      <w:rFonts w:ascii="Times New Roman" w:hAnsi="Times New Roman" w:eastAsia="黑体" w:cs="Times New Roman"/>
      <w:bCs/>
      <w:kern w:val="2"/>
      <w:sz w:val="30"/>
      <w:szCs w:val="32"/>
      <w:lang w:val="en-US" w:eastAsia="zh-CN" w:bidi="ar-SA"/>
    </w:rPr>
  </w:style>
  <w:style w:type="character" w:customStyle="1" w:styleId="143">
    <w:name w:val="批注文字 Char"/>
    <w:qFormat/>
    <w:uiPriority w:val="99"/>
  </w:style>
  <w:style w:type="paragraph" w:styleId="144">
    <w:name w:val="List Paragraph"/>
    <w:basedOn w:val="1"/>
    <w:link w:val="145"/>
    <w:qFormat/>
    <w:uiPriority w:val="34"/>
    <w:pPr>
      <w:ind w:firstLine="420"/>
    </w:pPr>
  </w:style>
  <w:style w:type="character" w:customStyle="1" w:styleId="145">
    <w:name w:val="列表段落 字符"/>
    <w:link w:val="144"/>
    <w:qFormat/>
    <w:uiPriority w:val="34"/>
    <w:rPr>
      <w:rFonts w:ascii="Calibri" w:hAnsi="Calibri" w:eastAsia="仿宋" w:cs="Times New Roman"/>
      <w:sz w:val="32"/>
    </w:rPr>
  </w:style>
  <w:style w:type="paragraph" w:customStyle="1" w:styleId="146">
    <w:name w:val="T图形题注"/>
    <w:basedOn w:val="1"/>
    <w:next w:val="1"/>
    <w:link w:val="147"/>
    <w:qFormat/>
    <w:uiPriority w:val="0"/>
    <w:pPr>
      <w:numPr>
        <w:ilvl w:val="0"/>
        <w:numId w:val="13"/>
      </w:numPr>
      <w:ind w:firstLine="0" w:firstLineChars="0"/>
      <w:jc w:val="center"/>
    </w:pPr>
    <w:rPr>
      <w:rFonts w:ascii="Times New Roman" w:hAnsi="Times New Roman" w:eastAsia="黑体"/>
      <w:kern w:val="0"/>
      <w:sz w:val="21"/>
      <w:szCs w:val="20"/>
      <w:lang w:val="zh-CN"/>
    </w:rPr>
  </w:style>
  <w:style w:type="character" w:customStyle="1" w:styleId="147">
    <w:name w:val="T图形题注 字符"/>
    <w:link w:val="146"/>
    <w:qFormat/>
    <w:uiPriority w:val="0"/>
    <w:rPr>
      <w:rFonts w:eastAsia="黑体"/>
      <w:sz w:val="21"/>
      <w:lang w:val="zh-CN"/>
    </w:rPr>
  </w:style>
  <w:style w:type="character" w:customStyle="1" w:styleId="148">
    <w:name w:val="text1"/>
    <w:qFormat/>
    <w:uiPriority w:val="0"/>
    <w:rPr>
      <w:sz w:val="21"/>
      <w:szCs w:val="21"/>
    </w:rPr>
  </w:style>
  <w:style w:type="character" w:customStyle="1" w:styleId="149">
    <w:name w:val="页眉 Char1"/>
    <w:semiHidden/>
    <w:qFormat/>
    <w:uiPriority w:val="99"/>
    <w:rPr>
      <w:rFonts w:ascii="Times New Roman" w:hAnsi="Times New Roman"/>
      <w:kern w:val="2"/>
      <w:sz w:val="18"/>
      <w:szCs w:val="18"/>
    </w:rPr>
  </w:style>
  <w:style w:type="character" w:customStyle="1" w:styleId="150">
    <w:name w:val="封面项目标题"/>
    <w:semiHidden/>
    <w:qFormat/>
    <w:uiPriority w:val="0"/>
    <w:rPr>
      <w:rFonts w:ascii="宋体"/>
      <w:sz w:val="32"/>
    </w:rPr>
  </w:style>
  <w:style w:type="character" w:customStyle="1" w:styleId="151">
    <w:name w:val="批注主题 Char1"/>
    <w:semiHidden/>
    <w:qFormat/>
    <w:uiPriority w:val="99"/>
    <w:rPr>
      <w:rFonts w:ascii="Times New Roman" w:hAnsi="Times New Roman"/>
      <w:b/>
      <w:bCs/>
      <w:kern w:val="2"/>
      <w:sz w:val="28"/>
      <w:szCs w:val="24"/>
    </w:rPr>
  </w:style>
  <w:style w:type="character" w:customStyle="1" w:styleId="152">
    <w:name w:val="表正文"/>
    <w:qFormat/>
    <w:uiPriority w:val="0"/>
    <w:rPr>
      <w:rFonts w:eastAsia="宋体"/>
      <w:kern w:val="2"/>
      <w:sz w:val="21"/>
      <w:lang w:val="en-US" w:eastAsia="zh-CN" w:bidi="ar-SA"/>
    </w:rPr>
  </w:style>
  <w:style w:type="character" w:customStyle="1" w:styleId="153">
    <w:name w:val="批注框文本 Char1"/>
    <w:semiHidden/>
    <w:qFormat/>
    <w:uiPriority w:val="99"/>
    <w:rPr>
      <w:rFonts w:ascii="Times New Roman" w:hAnsi="Times New Roman"/>
      <w:kern w:val="2"/>
      <w:sz w:val="18"/>
      <w:szCs w:val="18"/>
    </w:rPr>
  </w:style>
  <w:style w:type="character" w:customStyle="1" w:styleId="154">
    <w:name w:val="明显参考1"/>
    <w:qFormat/>
    <w:uiPriority w:val="32"/>
    <w:rPr>
      <w:b/>
      <w:bCs/>
      <w:smallCaps/>
      <w:color w:val="C0504D"/>
      <w:spacing w:val="5"/>
      <w:u w:val="single"/>
    </w:rPr>
  </w:style>
  <w:style w:type="character" w:customStyle="1" w:styleId="155">
    <w:name w:val="标题 Char1"/>
    <w:qFormat/>
    <w:uiPriority w:val="10"/>
    <w:rPr>
      <w:rFonts w:ascii="等线 Light" w:hAnsi="等线 Light" w:eastAsia="宋体" w:cs="Times New Roman"/>
      <w:b/>
      <w:bCs/>
      <w:sz w:val="32"/>
      <w:szCs w:val="32"/>
    </w:rPr>
  </w:style>
  <w:style w:type="character" w:customStyle="1" w:styleId="156">
    <w:name w:val="Char Char"/>
    <w:qFormat/>
    <w:uiPriority w:val="0"/>
    <w:rPr>
      <w:rFonts w:eastAsia="宋体"/>
      <w:b/>
      <w:bCs/>
      <w:kern w:val="44"/>
      <w:sz w:val="44"/>
      <w:szCs w:val="44"/>
      <w:lang w:val="en-US" w:eastAsia="zh-CN" w:bidi="ar-SA"/>
    </w:rPr>
  </w:style>
  <w:style w:type="character" w:customStyle="1" w:styleId="157">
    <w:name w:val="引用 Char1"/>
    <w:qFormat/>
    <w:uiPriority w:val="29"/>
    <w:rPr>
      <w:rFonts w:ascii="Times New Roman" w:hAnsi="Times New Roman" w:eastAsia="宋体" w:cs="Times New Roman"/>
      <w:i/>
      <w:iCs/>
      <w:color w:val="000000"/>
      <w:sz w:val="28"/>
      <w:szCs w:val="24"/>
    </w:rPr>
  </w:style>
  <w:style w:type="character" w:customStyle="1" w:styleId="158">
    <w:name w:val="style501"/>
    <w:qFormat/>
    <w:uiPriority w:val="0"/>
    <w:rPr>
      <w:rFonts w:hint="eastAsia" w:ascii="宋体" w:hAnsi="宋体" w:eastAsia="宋体"/>
      <w:sz w:val="18"/>
      <w:szCs w:val="18"/>
    </w:rPr>
  </w:style>
  <w:style w:type="character" w:customStyle="1" w:styleId="159">
    <w:name w:val="副标题 Char1"/>
    <w:qFormat/>
    <w:uiPriority w:val="11"/>
    <w:rPr>
      <w:rFonts w:ascii="等线 Light" w:hAnsi="等线 Light" w:eastAsia="宋体" w:cs="Times New Roman"/>
      <w:b/>
      <w:bCs/>
      <w:kern w:val="28"/>
      <w:sz w:val="32"/>
      <w:szCs w:val="32"/>
    </w:rPr>
  </w:style>
  <w:style w:type="character" w:customStyle="1" w:styleId="160">
    <w:name w:val="明显引用 字符"/>
    <w:link w:val="161"/>
    <w:qFormat/>
    <w:uiPriority w:val="30"/>
    <w:rPr>
      <w:rFonts w:ascii="Times New Roman" w:hAnsi="Times New Roman"/>
      <w:b/>
      <w:bCs/>
      <w:i/>
      <w:iCs/>
      <w:color w:val="4F81BD"/>
      <w:szCs w:val="24"/>
    </w:rPr>
  </w:style>
  <w:style w:type="paragraph" w:styleId="161">
    <w:name w:val="Intense Quote"/>
    <w:basedOn w:val="1"/>
    <w:next w:val="1"/>
    <w:link w:val="160"/>
    <w:qFormat/>
    <w:uiPriority w:val="30"/>
    <w:pPr>
      <w:pBdr>
        <w:bottom w:val="single" w:color="4F81BD" w:sz="4" w:space="4"/>
      </w:pBdr>
      <w:topLinePunct/>
      <w:spacing w:before="200" w:after="280"/>
      <w:ind w:left="936" w:right="936"/>
    </w:pPr>
    <w:rPr>
      <w:rFonts w:ascii="Times New Roman" w:hAnsi="Times New Roman" w:eastAsia="等线"/>
      <w:b/>
      <w:bCs/>
      <w:i/>
      <w:iCs/>
      <w:color w:val="4F81BD"/>
      <w:sz w:val="21"/>
      <w:szCs w:val="24"/>
    </w:rPr>
  </w:style>
  <w:style w:type="character" w:customStyle="1" w:styleId="162">
    <w:name w:val="明显引用 Char1"/>
    <w:qFormat/>
    <w:uiPriority w:val="30"/>
    <w:rPr>
      <w:rFonts w:ascii="Calibri" w:hAnsi="Calibri" w:eastAsia="仿宋" w:cs="Times New Roman"/>
      <w:i/>
      <w:iCs/>
      <w:color w:val="5B9BD5"/>
      <w:sz w:val="32"/>
    </w:rPr>
  </w:style>
  <w:style w:type="character" w:customStyle="1" w:styleId="163">
    <w:name w:val="font11"/>
    <w:qFormat/>
    <w:uiPriority w:val="0"/>
    <w:rPr>
      <w:rFonts w:hint="eastAsia" w:ascii="宋体" w:hAnsi="宋体" w:eastAsia="宋体"/>
      <w:color w:val="000000"/>
      <w:sz w:val="22"/>
      <w:szCs w:val="22"/>
      <w:u w:val="none"/>
    </w:rPr>
  </w:style>
  <w:style w:type="character" w:customStyle="1" w:styleId="164">
    <w:name w:val="正文文本缩进 3 Char1"/>
    <w:qFormat/>
    <w:uiPriority w:val="0"/>
    <w:rPr>
      <w:rFonts w:ascii="Calibri" w:hAnsi="Calibri" w:eastAsia="仿宋" w:cs="Times New Roman"/>
      <w:sz w:val="16"/>
      <w:szCs w:val="16"/>
    </w:rPr>
  </w:style>
  <w:style w:type="character" w:customStyle="1" w:styleId="165">
    <w:name w:val="正文文本 Char1"/>
    <w:semiHidden/>
    <w:qFormat/>
    <w:uiPriority w:val="99"/>
    <w:rPr>
      <w:rFonts w:ascii="Calibri" w:hAnsi="Calibri" w:eastAsia="仿宋" w:cs="Times New Roman"/>
      <w:sz w:val="32"/>
    </w:rPr>
  </w:style>
  <w:style w:type="character" w:customStyle="1" w:styleId="166">
    <w:name w:val="引用 字符"/>
    <w:link w:val="167"/>
    <w:qFormat/>
    <w:uiPriority w:val="29"/>
    <w:rPr>
      <w:rFonts w:ascii="Times New Roman" w:hAnsi="Times New Roman"/>
      <w:i/>
      <w:iCs/>
      <w:color w:val="000000"/>
      <w:szCs w:val="24"/>
    </w:rPr>
  </w:style>
  <w:style w:type="paragraph" w:styleId="167">
    <w:name w:val="Quote"/>
    <w:basedOn w:val="1"/>
    <w:next w:val="1"/>
    <w:link w:val="166"/>
    <w:qFormat/>
    <w:uiPriority w:val="29"/>
    <w:pPr>
      <w:topLinePunct/>
    </w:pPr>
    <w:rPr>
      <w:rFonts w:ascii="Times New Roman" w:hAnsi="Times New Roman" w:eastAsia="等线"/>
      <w:i/>
      <w:iCs/>
      <w:color w:val="000000"/>
      <w:sz w:val="21"/>
      <w:szCs w:val="24"/>
    </w:rPr>
  </w:style>
  <w:style w:type="character" w:customStyle="1" w:styleId="168">
    <w:name w:val="引用 Char2"/>
    <w:qFormat/>
    <w:uiPriority w:val="29"/>
    <w:rPr>
      <w:rFonts w:ascii="Calibri" w:hAnsi="Calibri" w:eastAsia="仿宋" w:cs="Times New Roman"/>
      <w:i/>
      <w:iCs/>
      <w:color w:val="3F3F3F"/>
      <w:sz w:val="32"/>
    </w:rPr>
  </w:style>
  <w:style w:type="character" w:customStyle="1" w:styleId="169">
    <w:name w:val="标题 1 Char Char Char Char Char Char Char Char Char"/>
    <w:qFormat/>
    <w:uiPriority w:val="0"/>
    <w:rPr>
      <w:rFonts w:eastAsia="宋体"/>
      <w:b/>
      <w:bCs/>
      <w:kern w:val="44"/>
      <w:sz w:val="44"/>
      <w:szCs w:val="44"/>
      <w:lang w:val="en-US" w:eastAsia="zh-CN" w:bidi="ar-SA"/>
    </w:rPr>
  </w:style>
  <w:style w:type="character" w:customStyle="1" w:styleId="170">
    <w:name w:val="书籍标题1"/>
    <w:qFormat/>
    <w:uiPriority w:val="33"/>
    <w:rPr>
      <w:b/>
      <w:bCs/>
      <w:smallCaps/>
      <w:spacing w:val="5"/>
    </w:rPr>
  </w:style>
  <w:style w:type="character" w:customStyle="1" w:styleId="171">
    <w:name w:val="文档结构图 Char1"/>
    <w:semiHidden/>
    <w:qFormat/>
    <w:uiPriority w:val="99"/>
    <w:rPr>
      <w:rFonts w:ascii="宋体" w:hAnsi="Times New Roman" w:eastAsia="宋体" w:cs="Times New Roman"/>
      <w:sz w:val="18"/>
      <w:szCs w:val="18"/>
    </w:rPr>
  </w:style>
  <w:style w:type="character" w:customStyle="1" w:styleId="172">
    <w:name w:val="论文正文 Char"/>
    <w:link w:val="173"/>
    <w:qFormat/>
    <w:uiPriority w:val="0"/>
    <w:rPr>
      <w:rFonts w:ascii="Times New Roman" w:hAnsi="Times New Roman"/>
      <w:sz w:val="28"/>
      <w:szCs w:val="24"/>
    </w:rPr>
  </w:style>
  <w:style w:type="paragraph" w:customStyle="1" w:styleId="173">
    <w:name w:val="论文正文"/>
    <w:basedOn w:val="1"/>
    <w:link w:val="172"/>
    <w:qFormat/>
    <w:uiPriority w:val="0"/>
    <w:pPr>
      <w:topLinePunct/>
      <w:ind w:firstLine="560"/>
      <w:jc w:val="left"/>
    </w:pPr>
    <w:rPr>
      <w:rFonts w:ascii="Times New Roman" w:hAnsi="Times New Roman" w:eastAsia="等线"/>
      <w:szCs w:val="24"/>
    </w:rPr>
  </w:style>
  <w:style w:type="character" w:customStyle="1" w:styleId="174">
    <w:name w:val="不明显参考1"/>
    <w:qFormat/>
    <w:uiPriority w:val="31"/>
    <w:rPr>
      <w:smallCaps/>
      <w:color w:val="C0504D"/>
      <w:u w:val="single"/>
    </w:rPr>
  </w:style>
  <w:style w:type="character" w:customStyle="1" w:styleId="175">
    <w:name w:val="文档结构图 Char2"/>
    <w:semiHidden/>
    <w:qFormat/>
    <w:uiPriority w:val="99"/>
    <w:rPr>
      <w:rFonts w:ascii="Microsoft YaHei UI" w:hAnsi="Calibri" w:eastAsia="Microsoft YaHei UI" w:cs="Times New Roman"/>
      <w:sz w:val="18"/>
      <w:szCs w:val="18"/>
    </w:rPr>
  </w:style>
  <w:style w:type="character" w:customStyle="1" w:styleId="176">
    <w:name w:val="正文首行缩进 Char1"/>
    <w:semiHidden/>
    <w:qFormat/>
    <w:uiPriority w:val="99"/>
    <w:rPr>
      <w:rFonts w:ascii="Calibri" w:hAnsi="Calibri" w:eastAsia="仿宋" w:cs="Times New Roman"/>
      <w:sz w:val="32"/>
    </w:rPr>
  </w:style>
  <w:style w:type="character" w:customStyle="1" w:styleId="177">
    <w:name w:val="纯文本 Char"/>
    <w:qFormat/>
    <w:uiPriority w:val="0"/>
    <w:rPr>
      <w:rFonts w:ascii="宋体" w:hAnsi="Courier New" w:eastAsia="宋体"/>
      <w:kern w:val="2"/>
      <w:sz w:val="28"/>
      <w:lang w:val="en-US" w:eastAsia="zh-CN" w:bidi="ar-SA"/>
    </w:rPr>
  </w:style>
  <w:style w:type="character" w:customStyle="1" w:styleId="178">
    <w:name w:val="unnamed21"/>
    <w:qFormat/>
    <w:uiPriority w:val="0"/>
    <w:rPr>
      <w:rFonts w:hint="default" w:ascii="ˎ̥" w:hAnsi="ˎ̥"/>
      <w:b/>
      <w:bCs/>
      <w:color w:val="000000"/>
      <w:sz w:val="21"/>
      <w:szCs w:val="21"/>
    </w:rPr>
  </w:style>
  <w:style w:type="character" w:customStyle="1" w:styleId="179">
    <w:name w:val="表文 Char"/>
    <w:link w:val="180"/>
    <w:qFormat/>
    <w:uiPriority w:val="0"/>
    <w:rPr>
      <w:rFonts w:ascii="宋体" w:hAnsi="宋体"/>
      <w:sz w:val="24"/>
      <w:szCs w:val="24"/>
    </w:rPr>
  </w:style>
  <w:style w:type="paragraph" w:customStyle="1" w:styleId="180">
    <w:name w:val="表文"/>
    <w:basedOn w:val="1"/>
    <w:link w:val="179"/>
    <w:qFormat/>
    <w:uiPriority w:val="0"/>
    <w:pPr>
      <w:keepNext/>
      <w:topLinePunct/>
    </w:pPr>
    <w:rPr>
      <w:rFonts w:ascii="宋体" w:hAnsi="宋体" w:eastAsia="等线"/>
      <w:sz w:val="24"/>
      <w:szCs w:val="24"/>
    </w:rPr>
  </w:style>
  <w:style w:type="character" w:customStyle="1" w:styleId="181">
    <w:name w:val="报告正文 Char"/>
    <w:link w:val="182"/>
    <w:qFormat/>
    <w:uiPriority w:val="0"/>
    <w:rPr>
      <w:rFonts w:ascii="Times New Roman" w:hAnsi="Times New Roman"/>
      <w:sz w:val="28"/>
      <w:szCs w:val="24"/>
    </w:rPr>
  </w:style>
  <w:style w:type="paragraph" w:customStyle="1" w:styleId="182">
    <w:name w:val="报告正文"/>
    <w:basedOn w:val="1"/>
    <w:link w:val="181"/>
    <w:qFormat/>
    <w:uiPriority w:val="0"/>
    <w:pPr>
      <w:topLinePunct/>
      <w:ind w:firstLine="560"/>
    </w:pPr>
    <w:rPr>
      <w:rFonts w:ascii="Times New Roman" w:hAnsi="Times New Roman" w:eastAsia="等线"/>
      <w:szCs w:val="24"/>
    </w:rPr>
  </w:style>
  <w:style w:type="character" w:customStyle="1" w:styleId="183">
    <w:name w:val="页脚 Char1"/>
    <w:semiHidden/>
    <w:qFormat/>
    <w:uiPriority w:val="99"/>
    <w:rPr>
      <w:rFonts w:ascii="Times New Roman" w:hAnsi="Times New Roman"/>
      <w:kern w:val="2"/>
      <w:sz w:val="18"/>
      <w:szCs w:val="18"/>
    </w:rPr>
  </w:style>
  <w:style w:type="character" w:customStyle="1" w:styleId="184">
    <w:name w:val="font21"/>
    <w:qFormat/>
    <w:uiPriority w:val="0"/>
    <w:rPr>
      <w:rFonts w:hint="eastAsia" w:ascii="宋体" w:hAnsi="宋体" w:eastAsia="宋体"/>
      <w:color w:val="000000"/>
      <w:sz w:val="20"/>
      <w:szCs w:val="20"/>
      <w:u w:val="none"/>
    </w:rPr>
  </w:style>
  <w:style w:type="character" w:customStyle="1" w:styleId="185">
    <w:name w:val="font01"/>
    <w:qFormat/>
    <w:uiPriority w:val="0"/>
    <w:rPr>
      <w:rFonts w:hint="eastAsia" w:ascii="宋体" w:hAnsi="宋体" w:eastAsia="宋体"/>
      <w:color w:val="000000"/>
      <w:sz w:val="20"/>
      <w:szCs w:val="20"/>
      <w:u w:val="none"/>
    </w:rPr>
  </w:style>
  <w:style w:type="character" w:customStyle="1" w:styleId="186">
    <w:name w:val="news1"/>
    <w:qFormat/>
    <w:uiPriority w:val="0"/>
    <w:rPr>
      <w:rFonts w:hint="default" w:ascii="Verdana" w:hAnsi="Verdana"/>
      <w:color w:val="000000"/>
      <w:sz w:val="26"/>
      <w:szCs w:val="26"/>
    </w:rPr>
  </w:style>
  <w:style w:type="character" w:customStyle="1" w:styleId="187">
    <w:name w:val="纯文本 Char2"/>
    <w:semiHidden/>
    <w:qFormat/>
    <w:uiPriority w:val="99"/>
    <w:rPr>
      <w:rFonts w:ascii="宋体" w:hAnsi="Courier New" w:eastAsia="宋体" w:cs="Courier New"/>
      <w:szCs w:val="21"/>
    </w:rPr>
  </w:style>
  <w:style w:type="character" w:customStyle="1" w:styleId="188">
    <w:name w:val="明显强调1"/>
    <w:qFormat/>
    <w:uiPriority w:val="21"/>
    <w:rPr>
      <w:b/>
      <w:bCs/>
      <w:i/>
      <w:iCs/>
      <w:color w:val="4F81BD"/>
    </w:rPr>
  </w:style>
  <w:style w:type="character" w:customStyle="1" w:styleId="189">
    <w:name w:val="Char Char1"/>
    <w:qFormat/>
    <w:uiPriority w:val="0"/>
    <w:rPr>
      <w:rFonts w:eastAsia="宋体"/>
      <w:b/>
      <w:bCs/>
      <w:kern w:val="44"/>
      <w:sz w:val="44"/>
      <w:szCs w:val="44"/>
      <w:lang w:val="en-US" w:eastAsia="zh-CN" w:bidi="ar-SA"/>
    </w:rPr>
  </w:style>
  <w:style w:type="character" w:customStyle="1" w:styleId="190">
    <w:name w:val="不明显强调1"/>
    <w:qFormat/>
    <w:uiPriority w:val="19"/>
    <w:rPr>
      <w:i/>
      <w:iCs/>
      <w:color w:val="808080"/>
    </w:rPr>
  </w:style>
  <w:style w:type="paragraph" w:customStyle="1" w:styleId="191">
    <w:name w:val="样式2"/>
    <w:basedOn w:val="182"/>
    <w:link w:val="192"/>
    <w:qFormat/>
    <w:uiPriority w:val="0"/>
  </w:style>
  <w:style w:type="character" w:customStyle="1" w:styleId="192">
    <w:name w:val="样式2 字符"/>
    <w:link w:val="191"/>
    <w:qFormat/>
    <w:uiPriority w:val="0"/>
    <w:rPr>
      <w:rFonts w:ascii="Times New Roman" w:hAnsi="Times New Roman"/>
      <w:kern w:val="2"/>
      <w:sz w:val="28"/>
      <w:szCs w:val="24"/>
    </w:rPr>
  </w:style>
  <w:style w:type="paragraph" w:customStyle="1" w:styleId="193">
    <w:name w:val="任务书标题1"/>
    <w:basedOn w:val="1"/>
    <w:semiHidden/>
    <w:qFormat/>
    <w:uiPriority w:val="0"/>
    <w:pPr>
      <w:topLinePunct/>
      <w:spacing w:before="90" w:after="80"/>
      <w:jc w:val="center"/>
    </w:pPr>
    <w:rPr>
      <w:rFonts w:ascii="Times New Roman" w:hAnsi="Times New Roman" w:eastAsia="楷体_GB2312"/>
      <w:szCs w:val="32"/>
    </w:rPr>
  </w:style>
  <w:style w:type="paragraph" w:customStyle="1" w:styleId="194">
    <w:name w:val="表格标题"/>
    <w:basedOn w:val="1"/>
    <w:next w:val="1"/>
    <w:qFormat/>
    <w:uiPriority w:val="0"/>
    <w:pPr>
      <w:keepNext/>
      <w:widowControl/>
      <w:overflowPunct w:val="0"/>
      <w:topLinePunct/>
      <w:spacing w:before="360" w:after="120" w:line="480" w:lineRule="exact"/>
      <w:jc w:val="center"/>
      <w:textAlignment w:val="baseline"/>
    </w:pPr>
    <w:rPr>
      <w:rFonts w:ascii="Arial" w:hAnsi="Arial" w:eastAsia="黑体"/>
      <w:kern w:val="0"/>
      <w:sz w:val="24"/>
      <w:szCs w:val="20"/>
    </w:rPr>
  </w:style>
  <w:style w:type="paragraph" w:customStyle="1" w:styleId="195">
    <w:name w:val="Normal_151"/>
    <w:qFormat/>
    <w:uiPriority w:val="0"/>
    <w:pPr>
      <w:spacing w:before="120" w:after="240"/>
      <w:jc w:val="both"/>
    </w:pPr>
    <w:rPr>
      <w:rFonts w:ascii="Calibri" w:hAnsi="Calibri" w:eastAsia="Calibri" w:cs="Times New Roman"/>
      <w:sz w:val="22"/>
      <w:szCs w:val="21"/>
      <w:lang w:val="ru-RU" w:eastAsia="en-US" w:bidi="ar-SA"/>
    </w:rPr>
  </w:style>
  <w:style w:type="paragraph" w:customStyle="1" w:styleId="196">
    <w:name w:val="英文关键词"/>
    <w:basedOn w:val="16"/>
    <w:semiHidden/>
    <w:qFormat/>
    <w:uiPriority w:val="0"/>
    <w:rPr>
      <w:sz w:val="24"/>
    </w:rPr>
  </w:style>
  <w:style w:type="paragraph" w:customStyle="1" w:styleId="197">
    <w:name w:val="Normal_149"/>
    <w:qFormat/>
    <w:uiPriority w:val="0"/>
    <w:pPr>
      <w:spacing w:before="120" w:after="240"/>
      <w:jc w:val="both"/>
    </w:pPr>
    <w:rPr>
      <w:rFonts w:ascii="Calibri" w:hAnsi="Calibri" w:eastAsia="Calibri" w:cs="Times New Roman"/>
      <w:sz w:val="22"/>
      <w:szCs w:val="21"/>
      <w:lang w:val="ru-RU" w:eastAsia="en-US" w:bidi="ar-SA"/>
    </w:rPr>
  </w:style>
  <w:style w:type="paragraph" w:customStyle="1" w:styleId="198">
    <w:name w:val="Char Char Char Char Char Char Char Char Char"/>
    <w:basedOn w:val="1"/>
    <w:qFormat/>
    <w:uiPriority w:val="0"/>
    <w:pPr>
      <w:widowControl/>
      <w:topLinePunct/>
      <w:spacing w:after="160" w:line="240" w:lineRule="exact"/>
      <w:jc w:val="left"/>
    </w:pPr>
    <w:rPr>
      <w:rFonts w:ascii="Verdana" w:hAnsi="Verdana" w:eastAsia="仿宋_GB2312" w:cs="Verdana"/>
      <w:kern w:val="0"/>
      <w:sz w:val="24"/>
      <w:szCs w:val="24"/>
      <w:lang w:eastAsia="en-US"/>
    </w:rPr>
  </w:style>
  <w:style w:type="paragraph" w:customStyle="1" w:styleId="199">
    <w:name w:val="Normal_19"/>
    <w:qFormat/>
    <w:uiPriority w:val="0"/>
    <w:pPr>
      <w:spacing w:before="120" w:after="240"/>
      <w:jc w:val="both"/>
    </w:pPr>
    <w:rPr>
      <w:rFonts w:ascii="Calibri" w:hAnsi="Calibri" w:eastAsia="Calibri" w:cs="Times New Roman"/>
      <w:sz w:val="22"/>
      <w:szCs w:val="21"/>
      <w:lang w:val="ru-RU" w:eastAsia="en-US" w:bidi="ar-SA"/>
    </w:rPr>
  </w:style>
  <w:style w:type="paragraph" w:customStyle="1" w:styleId="200">
    <w:name w:val="图题"/>
    <w:basedOn w:val="89"/>
    <w:qFormat/>
    <w:uiPriority w:val="0"/>
    <w:pPr>
      <w:numPr>
        <w:ilvl w:val="7"/>
        <w:numId w:val="14"/>
      </w:numPr>
      <w:ind w:left="0" w:leftChars="0" w:firstLine="0" w:firstLineChars="0"/>
      <w:jc w:val="center"/>
      <w:outlineLvl w:val="8"/>
    </w:pPr>
    <w:rPr>
      <w:b/>
      <w:sz w:val="24"/>
    </w:rPr>
  </w:style>
  <w:style w:type="paragraph" w:customStyle="1" w:styleId="201">
    <w:name w:val="Char Char Char Char Char Char1 Char"/>
    <w:basedOn w:val="1"/>
    <w:qFormat/>
    <w:uiPriority w:val="0"/>
    <w:pPr>
      <w:widowControl/>
      <w:topLinePunct/>
      <w:spacing w:after="160" w:line="240" w:lineRule="exact"/>
      <w:jc w:val="left"/>
    </w:pPr>
    <w:rPr>
      <w:rFonts w:ascii="Arial" w:hAnsi="Arial" w:eastAsia="Times New Roman" w:cs="Verdana"/>
      <w:b/>
      <w:kern w:val="0"/>
      <w:sz w:val="24"/>
      <w:szCs w:val="24"/>
      <w:lang w:eastAsia="en-US"/>
    </w:rPr>
  </w:style>
  <w:style w:type="paragraph" w:customStyle="1" w:styleId="202">
    <w:name w:val="封面项目"/>
    <w:basedOn w:val="1"/>
    <w:semiHidden/>
    <w:qFormat/>
    <w:uiPriority w:val="0"/>
    <w:pPr>
      <w:topLinePunct/>
      <w:ind w:right="1300" w:rightChars="1300" w:firstLine="1276"/>
    </w:pPr>
    <w:rPr>
      <w:rFonts w:ascii="Times New Roman" w:hAnsi="Times New Roman" w:eastAsia="宋体"/>
      <w:szCs w:val="24"/>
    </w:rPr>
  </w:style>
  <w:style w:type="paragraph" w:customStyle="1" w:styleId="203">
    <w:name w:val="参考文献标题"/>
    <w:basedOn w:val="1"/>
    <w:qFormat/>
    <w:uiPriority w:val="0"/>
    <w:pPr>
      <w:pageBreakBefore/>
      <w:topLinePunct/>
      <w:spacing w:beforeLines="100" w:afterLines="100"/>
      <w:jc w:val="center"/>
      <w:outlineLvl w:val="0"/>
    </w:pPr>
    <w:rPr>
      <w:rFonts w:ascii="Times New Roman" w:hAnsi="Times New Roman" w:eastAsia="黑体"/>
      <w:sz w:val="30"/>
      <w:szCs w:val="30"/>
    </w:rPr>
  </w:style>
  <w:style w:type="paragraph" w:customStyle="1" w:styleId="204">
    <w:name w:val="Abstract英文标题"/>
    <w:basedOn w:val="1"/>
    <w:semiHidden/>
    <w:qFormat/>
    <w:uiPriority w:val="0"/>
    <w:pPr>
      <w:pageBreakBefore/>
      <w:framePr w:hSpace="181" w:wrap="around" w:vAnchor="margin" w:hAnchor="text" w:xAlign="center" w:yAlign="top"/>
      <w:topLinePunct/>
      <w:jc w:val="center"/>
    </w:pPr>
    <w:rPr>
      <w:rFonts w:ascii="Times New Roman" w:hAnsi="Times New Roman" w:eastAsia="宋体"/>
      <w:b/>
      <w:caps/>
      <w:szCs w:val="24"/>
    </w:rPr>
  </w:style>
  <w:style w:type="paragraph" w:customStyle="1" w:styleId="205">
    <w:name w:val="任务书项目内容1"/>
    <w:basedOn w:val="1"/>
    <w:semiHidden/>
    <w:qFormat/>
    <w:uiPriority w:val="0"/>
    <w:pPr>
      <w:topLinePunct/>
      <w:jc w:val="center"/>
    </w:pPr>
    <w:rPr>
      <w:rFonts w:ascii="Times New Roman" w:hAnsi="Times New Roman" w:eastAsia="黑体"/>
      <w:b/>
      <w:szCs w:val="24"/>
    </w:rPr>
  </w:style>
  <w:style w:type="paragraph" w:customStyle="1" w:styleId="206">
    <w:name w:val="任务书项目内容2"/>
    <w:basedOn w:val="1"/>
    <w:semiHidden/>
    <w:qFormat/>
    <w:uiPriority w:val="0"/>
    <w:pPr>
      <w:topLinePunct/>
      <w:jc w:val="left"/>
    </w:pPr>
    <w:rPr>
      <w:rFonts w:ascii="Times New Roman" w:hAnsi="Times New Roman" w:eastAsia="黑体"/>
      <w:b/>
      <w:szCs w:val="24"/>
    </w:rPr>
  </w:style>
  <w:style w:type="paragraph" w:customStyle="1" w:styleId="207">
    <w:name w:val="默认段落字体 Para Char"/>
    <w:basedOn w:val="1"/>
    <w:qFormat/>
    <w:uiPriority w:val="0"/>
    <w:pPr>
      <w:topLinePunct/>
    </w:pPr>
    <w:rPr>
      <w:rFonts w:ascii="Times New Roman" w:hAnsi="Times New Roman" w:eastAsia="宋体"/>
      <w:kern w:val="0"/>
      <w:sz w:val="24"/>
      <w:szCs w:val="20"/>
    </w:rPr>
  </w:style>
  <w:style w:type="paragraph" w:customStyle="1" w:styleId="208">
    <w:name w:val="任务书项目名称"/>
    <w:basedOn w:val="1"/>
    <w:semiHidden/>
    <w:qFormat/>
    <w:uiPriority w:val="0"/>
    <w:pPr>
      <w:topLinePunct/>
    </w:pPr>
    <w:rPr>
      <w:rFonts w:ascii="Times New Roman" w:hAnsi="Times New Roman" w:eastAsia="黑体"/>
      <w:b/>
      <w:szCs w:val="24"/>
    </w:rPr>
  </w:style>
  <w:style w:type="paragraph" w:customStyle="1" w:styleId="209">
    <w:name w:val="Default"/>
    <w:qFormat/>
    <w:uiPriority w:val="0"/>
    <w:pPr>
      <w:widowControl w:val="0"/>
      <w:autoSpaceDE w:val="0"/>
      <w:autoSpaceDN w:val="0"/>
      <w:adjustRightInd w:val="0"/>
      <w:spacing w:after="624" w:line="276" w:lineRule="auto"/>
    </w:pPr>
    <w:rPr>
      <w:rFonts w:ascii="仿宋_GB2312" w:hAnsi="Calibri" w:eastAsia="仿宋_GB2312" w:cs="仿宋_GB2312"/>
      <w:color w:val="000000"/>
      <w:sz w:val="24"/>
      <w:szCs w:val="24"/>
      <w:lang w:val="en-US" w:eastAsia="zh-CN" w:bidi="ar-SA"/>
    </w:rPr>
  </w:style>
  <w:style w:type="paragraph" w:customStyle="1" w:styleId="210">
    <w:name w:val="封面 郑州轻工业学院"/>
    <w:basedOn w:val="1"/>
    <w:semiHidden/>
    <w:qFormat/>
    <w:uiPriority w:val="0"/>
    <w:pPr>
      <w:topLinePunct/>
      <w:spacing w:beforeLines="500"/>
      <w:ind w:firstLine="2650" w:firstLineChars="600"/>
    </w:pPr>
    <w:rPr>
      <w:rFonts w:ascii="Times New Roman" w:hAnsi="Times New Roman" w:eastAsia="宋体"/>
      <w:b/>
      <w:sz w:val="44"/>
      <w:szCs w:val="44"/>
    </w:rPr>
  </w:style>
  <w:style w:type="paragraph" w:customStyle="1" w:styleId="211">
    <w:name w:val="Normal_165"/>
    <w:qFormat/>
    <w:uiPriority w:val="0"/>
    <w:pPr>
      <w:spacing w:before="120" w:after="240"/>
      <w:jc w:val="both"/>
    </w:pPr>
    <w:rPr>
      <w:rFonts w:ascii="Calibri" w:hAnsi="Calibri" w:eastAsia="Calibri" w:cs="Times New Roman"/>
      <w:sz w:val="22"/>
      <w:szCs w:val="21"/>
      <w:lang w:val="ru-RU" w:eastAsia="en-US" w:bidi="ar-SA"/>
    </w:rPr>
  </w:style>
  <w:style w:type="paragraph" w:customStyle="1" w:styleId="212">
    <w:name w:val="摘要"/>
    <w:basedOn w:val="1"/>
    <w:semiHidden/>
    <w:qFormat/>
    <w:uiPriority w:val="0"/>
    <w:pPr>
      <w:topLinePunct/>
      <w:jc w:val="center"/>
      <w:outlineLvl w:val="0"/>
    </w:pPr>
    <w:rPr>
      <w:rFonts w:ascii="Times New Roman" w:hAnsi="Times New Roman" w:eastAsia="黑体"/>
      <w:sz w:val="30"/>
      <w:szCs w:val="24"/>
    </w:rPr>
  </w:style>
  <w:style w:type="paragraph" w:customStyle="1" w:styleId="213">
    <w:name w:val="英文摘要正文"/>
    <w:basedOn w:val="20"/>
    <w:semiHidden/>
    <w:qFormat/>
    <w:uiPriority w:val="0"/>
    <w:pPr>
      <w:spacing w:before="0" w:beforeLines="0" w:after="0" w:afterLines="0" w:line="360" w:lineRule="auto"/>
      <w:ind w:left="0" w:leftChars="0" w:firstLine="480"/>
    </w:pPr>
  </w:style>
  <w:style w:type="paragraph" w:customStyle="1" w:styleId="214">
    <w:name w:val="Normal_123"/>
    <w:qFormat/>
    <w:uiPriority w:val="0"/>
    <w:pPr>
      <w:spacing w:before="120" w:after="240"/>
      <w:jc w:val="both"/>
    </w:pPr>
    <w:rPr>
      <w:rFonts w:ascii="Calibri" w:hAnsi="Calibri" w:eastAsia="Calibri" w:cs="Times New Roman"/>
      <w:sz w:val="22"/>
      <w:szCs w:val="21"/>
      <w:lang w:val="ru-RU" w:eastAsia="en-US" w:bidi="ar-SA"/>
    </w:rPr>
  </w:style>
  <w:style w:type="paragraph" w:customStyle="1" w:styleId="215">
    <w:name w:val="样式 标题 2 + 行距: 1.5 倍行距"/>
    <w:basedOn w:val="3"/>
    <w:qFormat/>
    <w:uiPriority w:val="0"/>
    <w:pPr>
      <w:keepLines w:val="0"/>
      <w:topLinePunct/>
      <w:spacing w:before="120" w:after="120" w:line="360" w:lineRule="auto"/>
      <w:ind w:firstLine="640"/>
    </w:pPr>
    <w:rPr>
      <w:rFonts w:ascii="Times New Roman" w:hAnsi="Times New Roman" w:eastAsia="黑体" w:cs="宋体"/>
      <w:b w:val="0"/>
      <w:kern w:val="0"/>
      <w:szCs w:val="20"/>
    </w:rPr>
  </w:style>
  <w:style w:type="paragraph" w:customStyle="1" w:styleId="216">
    <w:name w:val="图居中"/>
    <w:basedOn w:val="1"/>
    <w:qFormat/>
    <w:uiPriority w:val="0"/>
    <w:pPr>
      <w:keepNext/>
      <w:topLinePunct/>
      <w:spacing w:beforeLines="100"/>
      <w:jc w:val="center"/>
    </w:pPr>
    <w:rPr>
      <w:rFonts w:ascii="Times New Roman" w:hAnsi="Times New Roman" w:eastAsia="宋体"/>
      <w:sz w:val="24"/>
      <w:szCs w:val="24"/>
    </w:rPr>
  </w:style>
  <w:style w:type="paragraph" w:customStyle="1" w:styleId="217">
    <w:name w:val="Normal_20"/>
    <w:qFormat/>
    <w:uiPriority w:val="0"/>
    <w:pPr>
      <w:spacing w:before="120" w:after="240"/>
      <w:jc w:val="both"/>
    </w:pPr>
    <w:rPr>
      <w:rFonts w:ascii="Calibri" w:hAnsi="Calibri" w:eastAsia="Calibri" w:cs="Times New Roman"/>
      <w:sz w:val="22"/>
      <w:szCs w:val="21"/>
      <w:lang w:val="ru-RU" w:eastAsia="en-US" w:bidi="ar-SA"/>
    </w:rPr>
  </w:style>
  <w:style w:type="paragraph" w:customStyle="1" w:styleId="218">
    <w:name w:val="样式syl"/>
    <w:basedOn w:val="1"/>
    <w:qFormat/>
    <w:uiPriority w:val="0"/>
    <w:pPr>
      <w:topLinePunct/>
      <w:ind w:firstLine="560"/>
    </w:pPr>
    <w:rPr>
      <w:rFonts w:ascii="宋体" w:hAnsi="宋体" w:eastAsia="宋体"/>
      <w:szCs w:val="28"/>
    </w:rPr>
  </w:style>
  <w:style w:type="paragraph" w:customStyle="1" w:styleId="219">
    <w:name w:val="样式1"/>
    <w:basedOn w:val="1"/>
    <w:link w:val="220"/>
    <w:qFormat/>
    <w:uiPriority w:val="0"/>
    <w:pPr>
      <w:framePr w:hSpace="181" w:wrap="around" w:vAnchor="margin" w:hAnchor="text" w:xAlign="center" w:yAlign="top"/>
      <w:topLinePunct/>
    </w:pPr>
    <w:rPr>
      <w:rFonts w:ascii="Times New Roman" w:hAnsi="Times New Roman" w:eastAsia="宋体"/>
      <w:sz w:val="24"/>
      <w:szCs w:val="24"/>
    </w:rPr>
  </w:style>
  <w:style w:type="character" w:customStyle="1" w:styleId="220">
    <w:name w:val="样式1 字符"/>
    <w:link w:val="219"/>
    <w:qFormat/>
    <w:uiPriority w:val="0"/>
    <w:rPr>
      <w:rFonts w:ascii="Times New Roman" w:hAnsi="Times New Roman" w:eastAsia="宋体"/>
      <w:kern w:val="2"/>
      <w:sz w:val="24"/>
      <w:szCs w:val="24"/>
    </w:rPr>
  </w:style>
  <w:style w:type="paragraph" w:customStyle="1" w:styleId="221">
    <w:name w:val="Char Char Char Char1 Char Char Char Char Char Char"/>
    <w:basedOn w:val="1"/>
    <w:qFormat/>
    <w:uiPriority w:val="0"/>
    <w:pPr>
      <w:widowControl/>
      <w:spacing w:after="160" w:line="240" w:lineRule="exact"/>
      <w:jc w:val="left"/>
    </w:pPr>
    <w:rPr>
      <w:rFonts w:ascii="Times New Roman" w:hAnsi="Times New Roman" w:eastAsia="宋体"/>
      <w:sz w:val="24"/>
      <w:szCs w:val="24"/>
    </w:rPr>
  </w:style>
  <w:style w:type="paragraph" w:customStyle="1" w:styleId="222">
    <w:name w:val="摘要关键词内容"/>
    <w:basedOn w:val="1"/>
    <w:semiHidden/>
    <w:qFormat/>
    <w:uiPriority w:val="0"/>
    <w:pPr>
      <w:topLinePunct/>
    </w:pPr>
    <w:rPr>
      <w:rFonts w:ascii="Times New Roman" w:hAnsi="Times New Roman" w:eastAsia="宋体"/>
      <w:sz w:val="24"/>
      <w:szCs w:val="24"/>
    </w:rPr>
  </w:style>
  <w:style w:type="paragraph" w:customStyle="1" w:styleId="223">
    <w:name w:val="Normal_92"/>
    <w:qFormat/>
    <w:uiPriority w:val="0"/>
    <w:pPr>
      <w:spacing w:before="120" w:after="240"/>
      <w:jc w:val="both"/>
    </w:pPr>
    <w:rPr>
      <w:rFonts w:ascii="Calibri" w:hAnsi="Calibri" w:eastAsia="Calibri" w:cs="Times New Roman"/>
      <w:sz w:val="22"/>
      <w:szCs w:val="21"/>
      <w:lang w:val="ru-RU" w:eastAsia="en-US" w:bidi="ar-SA"/>
    </w:rPr>
  </w:style>
  <w:style w:type="paragraph" w:customStyle="1" w:styleId="224">
    <w:name w:val="封面项目内容"/>
    <w:basedOn w:val="1"/>
    <w:semiHidden/>
    <w:qFormat/>
    <w:uiPriority w:val="0"/>
    <w:pPr>
      <w:topLinePunct/>
      <w:jc w:val="center"/>
    </w:pPr>
    <w:rPr>
      <w:rFonts w:ascii="Times New Roman" w:hAnsi="Times New Roman" w:eastAsia="黑体"/>
      <w:szCs w:val="24"/>
    </w:rPr>
  </w:style>
  <w:style w:type="paragraph" w:styleId="225">
    <w:name w:val="No Spacing"/>
    <w:basedOn w:val="1"/>
    <w:link w:val="226"/>
    <w:qFormat/>
    <w:uiPriority w:val="1"/>
    <w:pPr>
      <w:topLinePunct/>
    </w:pPr>
    <w:rPr>
      <w:rFonts w:ascii="Times New Roman" w:hAnsi="Times New Roman" w:eastAsia="宋体"/>
      <w:szCs w:val="24"/>
    </w:rPr>
  </w:style>
  <w:style w:type="character" w:customStyle="1" w:styleId="226">
    <w:name w:val="无间隔 字符"/>
    <w:link w:val="225"/>
    <w:qFormat/>
    <w:uiPriority w:val="1"/>
    <w:rPr>
      <w:rFonts w:ascii="Times New Roman" w:hAnsi="Times New Roman" w:eastAsia="宋体"/>
      <w:kern w:val="2"/>
      <w:sz w:val="28"/>
      <w:szCs w:val="24"/>
    </w:rPr>
  </w:style>
  <w:style w:type="paragraph" w:customStyle="1" w:styleId="227">
    <w:name w:val="默认段落字体 Para Char Char Char Char Char"/>
    <w:basedOn w:val="1"/>
    <w:qFormat/>
    <w:uiPriority w:val="0"/>
    <w:rPr>
      <w:rFonts w:ascii="Times New Roman" w:hAnsi="Times New Roman" w:eastAsia="宋体"/>
      <w:sz w:val="21"/>
      <w:szCs w:val="24"/>
    </w:rPr>
  </w:style>
  <w:style w:type="paragraph" w:customStyle="1" w:styleId="228">
    <w:name w:val="中文关键词"/>
    <w:basedOn w:val="16"/>
    <w:semiHidden/>
    <w:qFormat/>
    <w:uiPriority w:val="0"/>
    <w:rPr>
      <w:rFonts w:ascii="宋体" w:hAnsi="宋体"/>
      <w:sz w:val="24"/>
    </w:rPr>
  </w:style>
  <w:style w:type="paragraph" w:customStyle="1" w:styleId="229">
    <w:name w:val="编号，小四"/>
    <w:basedOn w:val="1"/>
    <w:qFormat/>
    <w:uiPriority w:val="0"/>
    <w:pPr>
      <w:numPr>
        <w:ilvl w:val="0"/>
        <w:numId w:val="15"/>
      </w:numPr>
    </w:pPr>
    <w:rPr>
      <w:rFonts w:ascii="Verdana" w:hAnsi="Verdana" w:eastAsia="宋体" w:cs="宋体"/>
      <w:sz w:val="24"/>
      <w:szCs w:val="20"/>
    </w:rPr>
  </w:style>
  <w:style w:type="paragraph" w:customStyle="1" w:styleId="230">
    <w:name w:val="代码文本"/>
    <w:basedOn w:val="182"/>
    <w:qFormat/>
    <w:uiPriority w:val="0"/>
    <w:pPr>
      <w:ind w:left="630" w:leftChars="300" w:firstLine="0" w:firstLineChars="0"/>
    </w:pPr>
    <w:rPr>
      <w:rFonts w:ascii="Courier New" w:hAnsi="Courier New" w:cs="Courier New"/>
    </w:rPr>
  </w:style>
  <w:style w:type="paragraph" w:customStyle="1" w:styleId="231">
    <w:name w:val="公式"/>
    <w:basedOn w:val="182"/>
    <w:qFormat/>
    <w:uiPriority w:val="0"/>
    <w:pPr>
      <w:ind w:firstLine="720" w:firstLineChars="300"/>
      <w:jc w:val="left"/>
    </w:pPr>
  </w:style>
  <w:style w:type="paragraph" w:customStyle="1" w:styleId="232">
    <w:name w:val="摘要中文标题"/>
    <w:basedOn w:val="1"/>
    <w:semiHidden/>
    <w:qFormat/>
    <w:uiPriority w:val="0"/>
    <w:pPr>
      <w:framePr w:hSpace="181" w:wrap="around" w:vAnchor="margin" w:hAnchor="text" w:xAlign="center" w:y="1"/>
      <w:topLinePunct/>
      <w:jc w:val="center"/>
    </w:pPr>
    <w:rPr>
      <w:rFonts w:ascii="Times New Roman" w:hAnsi="Times New Roman" w:eastAsia="黑体"/>
      <w:szCs w:val="24"/>
    </w:rPr>
  </w:style>
  <w:style w:type="paragraph" w:customStyle="1" w:styleId="233">
    <w:name w:val="封面项目名称"/>
    <w:basedOn w:val="1"/>
    <w:semiHidden/>
    <w:qFormat/>
    <w:uiPriority w:val="0"/>
    <w:pPr>
      <w:framePr w:hSpace="181" w:wrap="around" w:vAnchor="page" w:hAnchor="margin" w:x="1265" w:y="8772"/>
      <w:topLinePunct/>
    </w:pPr>
    <w:rPr>
      <w:rFonts w:ascii="Times New Roman" w:hAnsi="Times New Roman" w:eastAsia="宋体"/>
      <w:szCs w:val="24"/>
    </w:rPr>
  </w:style>
  <w:style w:type="paragraph" w:customStyle="1" w:styleId="234">
    <w:name w:val="Char Char Char Char"/>
    <w:basedOn w:val="1"/>
    <w:qFormat/>
    <w:uiPriority w:val="0"/>
    <w:pPr>
      <w:topLinePunct/>
    </w:pPr>
    <w:rPr>
      <w:rFonts w:ascii="Arial" w:hAnsi="Arial" w:eastAsia="宋体" w:cs="Arial"/>
      <w:szCs w:val="24"/>
    </w:rPr>
  </w:style>
  <w:style w:type="paragraph" w:customStyle="1" w:styleId="235">
    <w:name w:val="英文摘要标题"/>
    <w:basedOn w:val="1"/>
    <w:semiHidden/>
    <w:qFormat/>
    <w:uiPriority w:val="0"/>
    <w:pPr>
      <w:topLinePunct/>
      <w:jc w:val="center"/>
    </w:pPr>
    <w:rPr>
      <w:rFonts w:ascii="Times New Roman" w:hAnsi="Times New Roman" w:eastAsia="黑体"/>
      <w:b/>
      <w:szCs w:val="24"/>
    </w:rPr>
  </w:style>
  <w:style w:type="paragraph" w:customStyle="1" w:styleId="236">
    <w:name w:val="2"/>
    <w:basedOn w:val="1"/>
    <w:next w:val="144"/>
    <w:qFormat/>
    <w:uiPriority w:val="0"/>
    <w:pPr>
      <w:topLinePunct/>
      <w:ind w:firstLine="566" w:firstLineChars="202"/>
    </w:pPr>
    <w:rPr>
      <w:rFonts w:ascii="宋体" w:hAnsi="宋体" w:eastAsia="宋体"/>
      <w:szCs w:val="24"/>
    </w:rPr>
  </w:style>
  <w:style w:type="paragraph" w:customStyle="1" w:styleId="237">
    <w:name w:val="任务书中文题目"/>
    <w:basedOn w:val="1"/>
    <w:semiHidden/>
    <w:qFormat/>
    <w:uiPriority w:val="0"/>
    <w:pPr>
      <w:topLinePunct/>
      <w:jc w:val="center"/>
    </w:pPr>
    <w:rPr>
      <w:rFonts w:ascii="Times New Roman" w:hAnsi="Times New Roman" w:eastAsia="黑体"/>
      <w:b/>
      <w:szCs w:val="24"/>
    </w:rPr>
  </w:style>
  <w:style w:type="paragraph" w:customStyle="1" w:styleId="238">
    <w:name w:val="修订1"/>
    <w:unhideWhenUsed/>
    <w:qFormat/>
    <w:uiPriority w:val="99"/>
    <w:rPr>
      <w:rFonts w:ascii="Times New Roman" w:hAnsi="Times New Roman" w:eastAsia="宋体" w:cs="Times New Roman"/>
      <w:kern w:val="2"/>
      <w:sz w:val="28"/>
      <w:szCs w:val="24"/>
      <w:lang w:val="en-US" w:eastAsia="zh-CN" w:bidi="ar-SA"/>
    </w:rPr>
  </w:style>
  <w:style w:type="paragraph" w:customStyle="1" w:styleId="239">
    <w:name w:val="封面 本科毕业设计（论文）"/>
    <w:basedOn w:val="1"/>
    <w:semiHidden/>
    <w:qFormat/>
    <w:uiPriority w:val="0"/>
    <w:pPr>
      <w:topLinePunct/>
      <w:spacing w:before="170"/>
      <w:jc w:val="center"/>
    </w:pPr>
    <w:rPr>
      <w:rFonts w:ascii="Times New Roman" w:hAnsi="Times New Roman" w:eastAsia="华文新魏"/>
      <w:sz w:val="72"/>
      <w:szCs w:val="72"/>
    </w:rPr>
  </w:style>
  <w:style w:type="paragraph" w:customStyle="1" w:styleId="240">
    <w:name w:val="Char Char5"/>
    <w:basedOn w:val="1"/>
    <w:qFormat/>
    <w:uiPriority w:val="0"/>
    <w:rPr>
      <w:rFonts w:ascii="Arial" w:hAnsi="Arial" w:eastAsia="宋体" w:cs="Arial"/>
      <w:sz w:val="21"/>
      <w:szCs w:val="24"/>
    </w:rPr>
  </w:style>
  <w:style w:type="paragraph" w:customStyle="1" w:styleId="241">
    <w:name w:val="摘要关键词名称"/>
    <w:basedOn w:val="1"/>
    <w:semiHidden/>
    <w:qFormat/>
    <w:uiPriority w:val="0"/>
    <w:pPr>
      <w:topLinePunct/>
    </w:pPr>
    <w:rPr>
      <w:rFonts w:ascii="Times New Roman" w:hAnsi="Times New Roman" w:eastAsia="黑体"/>
      <w:sz w:val="24"/>
      <w:szCs w:val="24"/>
    </w:rPr>
  </w:style>
  <w:style w:type="paragraph" w:customStyle="1" w:styleId="242">
    <w:name w:val="任务书项目内容3"/>
    <w:basedOn w:val="1"/>
    <w:semiHidden/>
    <w:qFormat/>
    <w:uiPriority w:val="0"/>
    <w:pPr>
      <w:topLinePunct/>
      <w:ind w:firstLine="480"/>
    </w:pPr>
    <w:rPr>
      <w:rFonts w:ascii="Times New Roman" w:hAnsi="Times New Roman" w:eastAsia="宋体"/>
      <w:sz w:val="24"/>
      <w:szCs w:val="24"/>
    </w:rPr>
  </w:style>
  <w:style w:type="paragraph" w:customStyle="1" w:styleId="243">
    <w:name w:val="附录标题"/>
    <w:basedOn w:val="1"/>
    <w:semiHidden/>
    <w:qFormat/>
    <w:uiPriority w:val="0"/>
    <w:pPr>
      <w:pageBreakBefore/>
      <w:topLinePunct/>
      <w:spacing w:beforeLines="100" w:afterLines="100"/>
      <w:jc w:val="center"/>
      <w:outlineLvl w:val="0"/>
    </w:pPr>
    <w:rPr>
      <w:rFonts w:ascii="Times New Roman" w:hAnsi="Times New Roman" w:eastAsia="黑体"/>
      <w:sz w:val="30"/>
      <w:szCs w:val="30"/>
    </w:rPr>
  </w:style>
  <w:style w:type="paragraph" w:customStyle="1" w:styleId="244">
    <w:name w:val="Char Char Char Char Char Char1 Char1"/>
    <w:basedOn w:val="1"/>
    <w:qFormat/>
    <w:uiPriority w:val="0"/>
    <w:pPr>
      <w:widowControl/>
      <w:topLinePunct/>
      <w:spacing w:after="160" w:line="240" w:lineRule="exact"/>
      <w:jc w:val="left"/>
    </w:pPr>
    <w:rPr>
      <w:rFonts w:ascii="Arial" w:hAnsi="Arial" w:eastAsia="Times New Roman" w:cs="Verdana"/>
      <w:b/>
      <w:kern w:val="0"/>
      <w:sz w:val="24"/>
      <w:szCs w:val="24"/>
      <w:lang w:eastAsia="en-US"/>
    </w:rPr>
  </w:style>
  <w:style w:type="paragraph" w:customStyle="1" w:styleId="245">
    <w:name w:val="任务书标题2"/>
    <w:basedOn w:val="1"/>
    <w:semiHidden/>
    <w:qFormat/>
    <w:uiPriority w:val="0"/>
    <w:pPr>
      <w:topLinePunct/>
      <w:spacing w:before="260" w:after="700"/>
      <w:jc w:val="center"/>
    </w:pPr>
    <w:rPr>
      <w:rFonts w:ascii="Times New Roman" w:hAnsi="Times New Roman" w:eastAsia="黑体"/>
      <w:b/>
      <w:bCs/>
      <w:sz w:val="30"/>
      <w:szCs w:val="30"/>
    </w:rPr>
  </w:style>
  <w:style w:type="paragraph" w:customStyle="1" w:styleId="246">
    <w:name w:val="表题"/>
    <w:basedOn w:val="1"/>
    <w:next w:val="89"/>
    <w:qFormat/>
    <w:uiPriority w:val="0"/>
    <w:pPr>
      <w:keepNext/>
      <w:numPr>
        <w:ilvl w:val="8"/>
        <w:numId w:val="14"/>
      </w:numPr>
      <w:topLinePunct/>
      <w:spacing w:before="312" w:after="156"/>
      <w:jc w:val="center"/>
      <w:outlineLvl w:val="8"/>
    </w:pPr>
    <w:rPr>
      <w:rFonts w:ascii="Times New Roman" w:hAnsi="Times New Roman" w:eastAsia="宋体"/>
      <w:b/>
      <w:sz w:val="24"/>
      <w:szCs w:val="24"/>
    </w:rPr>
  </w:style>
  <w:style w:type="paragraph" w:customStyle="1" w:styleId="247">
    <w:name w:val="参考文献项目"/>
    <w:basedOn w:val="1"/>
    <w:qFormat/>
    <w:uiPriority w:val="0"/>
    <w:pPr>
      <w:tabs>
        <w:tab w:val="left" w:pos="454"/>
      </w:tabs>
      <w:topLinePunct/>
      <w:ind w:firstLine="0"/>
    </w:pPr>
    <w:rPr>
      <w:rFonts w:ascii="Times New Roman" w:hAnsi="Times New Roman" w:eastAsia="宋体"/>
      <w:szCs w:val="24"/>
    </w:rPr>
  </w:style>
  <w:style w:type="paragraph" w:customStyle="1" w:styleId="248">
    <w:name w:val="Normal_190"/>
    <w:qFormat/>
    <w:uiPriority w:val="0"/>
    <w:pPr>
      <w:spacing w:before="120" w:after="240"/>
      <w:jc w:val="both"/>
    </w:pPr>
    <w:rPr>
      <w:rFonts w:ascii="Calibri" w:hAnsi="Calibri" w:eastAsia="Calibri" w:cs="Times New Roman"/>
      <w:sz w:val="22"/>
      <w:szCs w:val="21"/>
      <w:lang w:val="ru-RU" w:eastAsia="en-US" w:bidi="ar-SA"/>
    </w:rPr>
  </w:style>
  <w:style w:type="paragraph" w:customStyle="1" w:styleId="249">
    <w:name w:val="Abstract"/>
    <w:basedOn w:val="1"/>
    <w:semiHidden/>
    <w:qFormat/>
    <w:uiPriority w:val="0"/>
    <w:pPr>
      <w:topLinePunct/>
      <w:jc w:val="center"/>
      <w:outlineLvl w:val="0"/>
    </w:pPr>
    <w:rPr>
      <w:rFonts w:ascii="Times New Roman" w:hAnsi="Times New Roman" w:eastAsia="宋体"/>
      <w:b/>
      <w:szCs w:val="28"/>
    </w:rPr>
  </w:style>
  <w:style w:type="paragraph" w:customStyle="1" w:styleId="250">
    <w:name w:val="Normal_17"/>
    <w:qFormat/>
    <w:uiPriority w:val="0"/>
    <w:pPr>
      <w:spacing w:before="120" w:after="240"/>
      <w:jc w:val="both"/>
    </w:pPr>
    <w:rPr>
      <w:rFonts w:ascii="Calibri" w:hAnsi="Calibri" w:eastAsia="Calibri" w:cs="Times New Roman"/>
      <w:sz w:val="22"/>
      <w:szCs w:val="21"/>
      <w:lang w:val="ru-RU" w:eastAsia="en-US" w:bidi="ar-SA"/>
    </w:rPr>
  </w:style>
  <w:style w:type="paragraph" w:customStyle="1" w:styleId="251">
    <w:name w:val="Abstract Key words项目"/>
    <w:basedOn w:val="1"/>
    <w:semiHidden/>
    <w:qFormat/>
    <w:uiPriority w:val="0"/>
    <w:pPr>
      <w:framePr w:hSpace="181" w:wrap="around" w:vAnchor="margin" w:hAnchor="text" w:xAlign="center" w:yAlign="top"/>
      <w:topLinePunct/>
    </w:pPr>
    <w:rPr>
      <w:rFonts w:ascii="Times New Roman" w:hAnsi="Times New Roman" w:eastAsia="宋体"/>
      <w:b/>
      <w:sz w:val="24"/>
      <w:szCs w:val="24"/>
    </w:rPr>
  </w:style>
  <w:style w:type="paragraph" w:customStyle="1" w:styleId="252">
    <w:name w:val="列出段落1"/>
    <w:basedOn w:val="1"/>
    <w:qFormat/>
    <w:uiPriority w:val="0"/>
    <w:pPr>
      <w:topLinePunct/>
      <w:ind w:firstLine="420"/>
    </w:pPr>
    <w:rPr>
      <w:rFonts w:ascii="Times New Roman" w:hAnsi="Times New Roman" w:eastAsia="宋体"/>
      <w:szCs w:val="24"/>
    </w:rPr>
  </w:style>
  <w:style w:type="paragraph" w:customStyle="1" w:styleId="253">
    <w:name w:val="目录标题"/>
    <w:basedOn w:val="1"/>
    <w:semiHidden/>
    <w:qFormat/>
    <w:uiPriority w:val="0"/>
    <w:pPr>
      <w:pageBreakBefore/>
      <w:topLinePunct/>
      <w:spacing w:beforeLines="200" w:afterLines="200"/>
      <w:jc w:val="center"/>
    </w:pPr>
    <w:rPr>
      <w:rFonts w:ascii="Times New Roman" w:hAnsi="Times New Roman" w:eastAsia="黑体"/>
      <w:szCs w:val="24"/>
    </w:rPr>
  </w:style>
  <w:style w:type="paragraph" w:customStyle="1" w:styleId="254">
    <w:name w:val="Char"/>
    <w:basedOn w:val="1"/>
    <w:qFormat/>
    <w:uiPriority w:val="0"/>
    <w:pPr>
      <w:widowControl/>
      <w:spacing w:after="160" w:line="240" w:lineRule="exact"/>
      <w:jc w:val="left"/>
    </w:pPr>
    <w:rPr>
      <w:rFonts w:ascii="宋体" w:hAnsi="宋体" w:eastAsia="宋体" w:cs="宋体"/>
      <w:kern w:val="0"/>
      <w:sz w:val="24"/>
      <w:szCs w:val="24"/>
    </w:rPr>
  </w:style>
  <w:style w:type="paragraph" w:customStyle="1" w:styleId="255">
    <w:name w:val="Char Char Char Char Char Char Char Char Char1"/>
    <w:basedOn w:val="1"/>
    <w:qFormat/>
    <w:uiPriority w:val="0"/>
    <w:pPr>
      <w:widowControl/>
      <w:topLinePunct/>
      <w:spacing w:after="160" w:line="240" w:lineRule="exact"/>
      <w:jc w:val="left"/>
    </w:pPr>
    <w:rPr>
      <w:rFonts w:ascii="Verdana" w:hAnsi="Verdana" w:eastAsia="仿宋_GB2312"/>
      <w:kern w:val="0"/>
      <w:sz w:val="24"/>
      <w:szCs w:val="20"/>
      <w:lang w:eastAsia="en-US"/>
    </w:rPr>
  </w:style>
  <w:style w:type="paragraph" w:customStyle="1" w:styleId="256">
    <w:name w:val="论文中文标题"/>
    <w:basedOn w:val="1"/>
    <w:semiHidden/>
    <w:qFormat/>
    <w:uiPriority w:val="0"/>
    <w:pPr>
      <w:topLinePunct/>
      <w:jc w:val="center"/>
    </w:pPr>
    <w:rPr>
      <w:rFonts w:ascii="Times New Roman" w:hAnsi="Times New Roman" w:eastAsia="黑体"/>
      <w:szCs w:val="24"/>
    </w:rPr>
  </w:style>
  <w:style w:type="paragraph" w:customStyle="1" w:styleId="257">
    <w:name w:val="_Style 99"/>
    <w:next w:val="1"/>
    <w:qFormat/>
    <w:uiPriority w:val="0"/>
    <w:pPr>
      <w:widowControl w:val="0"/>
      <w:topLinePunct/>
      <w:adjustRightInd w:val="0"/>
      <w:snapToGrid w:val="0"/>
      <w:jc w:val="both"/>
    </w:pPr>
    <w:rPr>
      <w:rFonts w:ascii="Times New Roman" w:hAnsi="Times New Roman" w:eastAsia="宋体" w:cs="Times New Roman"/>
      <w:kern w:val="2"/>
      <w:sz w:val="28"/>
      <w:szCs w:val="24"/>
      <w:lang w:val="en-US" w:eastAsia="zh-CN" w:bidi="ar-SA"/>
    </w:rPr>
  </w:style>
  <w:style w:type="paragraph" w:customStyle="1" w:styleId="258">
    <w:name w:val="任务书参考文献"/>
    <w:basedOn w:val="1"/>
    <w:semiHidden/>
    <w:qFormat/>
    <w:uiPriority w:val="0"/>
    <w:pPr>
      <w:numPr>
        <w:ilvl w:val="0"/>
        <w:numId w:val="16"/>
      </w:numPr>
      <w:topLinePunct/>
    </w:pPr>
    <w:rPr>
      <w:rFonts w:ascii="Times New Roman" w:hAnsi="Times New Roman" w:eastAsia="宋体"/>
      <w:sz w:val="24"/>
      <w:szCs w:val="24"/>
    </w:rPr>
  </w:style>
  <w:style w:type="paragraph" w:customStyle="1" w:styleId="259">
    <w:name w:val="Normal_35"/>
    <w:qFormat/>
    <w:uiPriority w:val="0"/>
    <w:pPr>
      <w:spacing w:before="120" w:after="240"/>
      <w:jc w:val="both"/>
    </w:pPr>
    <w:rPr>
      <w:rFonts w:ascii="Calibri" w:hAnsi="Calibri" w:eastAsia="Calibri" w:cs="Times New Roman"/>
      <w:sz w:val="22"/>
      <w:szCs w:val="21"/>
      <w:lang w:val="ru-RU" w:eastAsia="en-US" w:bidi="ar-SA"/>
    </w:rPr>
  </w:style>
  <w:style w:type="paragraph" w:customStyle="1" w:styleId="260">
    <w:name w:val="TOC 标题1"/>
    <w:basedOn w:val="2"/>
    <w:next w:val="1"/>
    <w:qFormat/>
    <w:uiPriority w:val="39"/>
    <w:pPr>
      <w:topLinePunct/>
      <w:spacing w:before="468" w:line="578" w:lineRule="auto"/>
      <w:outlineLvl w:val="9"/>
    </w:pPr>
    <w:rPr>
      <w:rFonts w:ascii="Times New Roman" w:hAnsi="Times New Roman" w:eastAsia="宋体"/>
      <w:bCs/>
      <w:sz w:val="44"/>
      <w:szCs w:val="44"/>
    </w:rPr>
  </w:style>
  <w:style w:type="paragraph" w:customStyle="1" w:styleId="261">
    <w:name w:val="Compact"/>
    <w:basedOn w:val="16"/>
    <w:qFormat/>
    <w:uiPriority w:val="0"/>
    <w:pPr>
      <w:widowControl/>
      <w:kinsoku w:val="0"/>
      <w:topLinePunct w:val="0"/>
      <w:autoSpaceDE w:val="0"/>
      <w:autoSpaceDN w:val="0"/>
      <w:spacing w:before="36" w:after="36"/>
      <w:jc w:val="left"/>
      <w:textAlignment w:val="baseline"/>
    </w:pPr>
    <w:rPr>
      <w:rFonts w:ascii="宋体" w:hAnsi="宋体" w:eastAsia="宋体" w:cs="宋体"/>
      <w:snapToGrid w:val="0"/>
      <w:color w:val="000000"/>
      <w:kern w:val="0"/>
      <w:sz w:val="20"/>
      <w:szCs w:val="20"/>
      <w:lang w:eastAsia="en-US"/>
    </w:rPr>
  </w:style>
  <w:style w:type="table" w:customStyle="1" w:styleId="262">
    <w:name w:val="Table"/>
    <w:unhideWhenUsed/>
    <w:qFormat/>
    <w:uiPriority w:val="0"/>
    <w:tblPr>
      <w:tblCellMar>
        <w:top w:w="0" w:type="dxa"/>
        <w:left w:w="108" w:type="dxa"/>
        <w:bottom w:w="0" w:type="dxa"/>
        <w:right w:w="108" w:type="dxa"/>
      </w:tblCellMar>
    </w:tblPr>
  </w:style>
  <w:style w:type="paragraph" w:customStyle="1" w:styleId="263">
    <w:name w:val="Table Text"/>
    <w:basedOn w:val="1"/>
    <w:link w:val="264"/>
    <w:qFormat/>
    <w:uiPriority w:val="0"/>
    <w:rPr>
      <w:rFonts w:ascii="微软雅黑" w:hAnsi="微软雅黑" w:eastAsia="微软雅黑" w:cs="微软雅黑"/>
      <w:sz w:val="17"/>
      <w:szCs w:val="17"/>
    </w:rPr>
  </w:style>
  <w:style w:type="character" w:customStyle="1" w:styleId="264">
    <w:name w:val="Table Text Char1"/>
    <w:link w:val="263"/>
    <w:qFormat/>
    <w:uiPriority w:val="0"/>
    <w:rPr>
      <w:rFonts w:ascii="微软雅黑" w:hAnsi="微软雅黑" w:eastAsia="微软雅黑" w:cs="微软雅黑"/>
      <w:kern w:val="2"/>
      <w:sz w:val="17"/>
      <w:szCs w:val="17"/>
    </w:rPr>
  </w:style>
  <w:style w:type="table" w:customStyle="1" w:styleId="265">
    <w:name w:val="Table Normal1"/>
    <w:unhideWhenUsed/>
    <w:qFormat/>
    <w:uiPriority w:val="2"/>
    <w:tblPr>
      <w:tblCellMar>
        <w:top w:w="0" w:type="dxa"/>
        <w:left w:w="0" w:type="dxa"/>
        <w:bottom w:w="0" w:type="dxa"/>
        <w:right w:w="0" w:type="dxa"/>
      </w:tblCellMar>
    </w:tblPr>
  </w:style>
  <w:style w:type="paragraph" w:customStyle="1" w:styleId="266">
    <w:name w:val="0正！！！"/>
    <w:basedOn w:val="1"/>
    <w:qFormat/>
    <w:uiPriority w:val="0"/>
    <w:pPr>
      <w:ind w:left="200" w:leftChars="200" w:right="100" w:rightChars="100"/>
    </w:pPr>
    <w:rPr>
      <w:rFonts w:ascii="仿宋_GB2312" w:hAnsi="仿宋_GB2312" w:eastAsia="仿宋_GB2312"/>
      <w:color w:val="000000"/>
    </w:rPr>
  </w:style>
  <w:style w:type="paragraph" w:customStyle="1" w:styleId="267">
    <w:name w:val="总结标题3"/>
    <w:basedOn w:val="4"/>
    <w:qFormat/>
    <w:uiPriority w:val="0"/>
    <w:pPr>
      <w:widowControl/>
      <w:numPr>
        <w:ilvl w:val="2"/>
        <w:numId w:val="14"/>
      </w:numPr>
      <w:spacing w:before="25" w:beforeLines="25" w:line="300" w:lineRule="auto"/>
    </w:pPr>
    <w:rPr>
      <w:rFonts w:ascii="宋体" w:hAnsi="宋体" w:cs="宋体"/>
      <w:snapToGrid w:val="0"/>
      <w:color w:val="000000"/>
      <w:sz w:val="30"/>
    </w:rPr>
  </w:style>
  <w:style w:type="paragraph" w:customStyle="1" w:styleId="268">
    <w:name w:val="总结正文"/>
    <w:basedOn w:val="1"/>
    <w:qFormat/>
    <w:uiPriority w:val="0"/>
    <w:pPr>
      <w:spacing w:line="300" w:lineRule="auto"/>
      <w:jc w:val="left"/>
    </w:pPr>
    <w:rPr>
      <w:rFonts w:ascii="仿宋" w:hAnsi="仿宋" w:cs="宋体"/>
      <w:color w:val="000000"/>
      <w:kern w:val="0"/>
    </w:rPr>
  </w:style>
  <w:style w:type="paragraph" w:customStyle="1" w:styleId="269">
    <w:name w:val="总结标题4"/>
    <w:basedOn w:val="6"/>
    <w:next w:val="1"/>
    <w:qFormat/>
    <w:uiPriority w:val="0"/>
    <w:pPr>
      <w:numPr>
        <w:ilvl w:val="0"/>
        <w:numId w:val="14"/>
      </w:numPr>
      <w:spacing w:before="25" w:beforeLines="25" w:after="0"/>
    </w:pPr>
    <w:rPr>
      <w:rFonts w:eastAsia="宋体"/>
      <w:snapToGrid w:val="0"/>
      <w:color w:val="000000"/>
      <w:kern w:val="0"/>
      <w:lang w:eastAsia="en-US"/>
    </w:rPr>
  </w:style>
  <w:style w:type="paragraph" w:customStyle="1" w:styleId="270">
    <w:name w:val="总结标题5"/>
    <w:basedOn w:val="7"/>
    <w:next w:val="1"/>
    <w:qFormat/>
    <w:uiPriority w:val="0"/>
    <w:pPr>
      <w:numPr>
        <w:numId w:val="14"/>
      </w:numPr>
      <w:spacing w:before="25" w:beforeLines="25" w:line="300" w:lineRule="auto"/>
    </w:pPr>
  </w:style>
  <w:style w:type="paragraph" w:customStyle="1" w:styleId="271">
    <w:name w:val="总结标题2"/>
    <w:basedOn w:val="3"/>
    <w:next w:val="1"/>
    <w:qFormat/>
    <w:uiPriority w:val="0"/>
    <w:pPr>
      <w:widowControl/>
      <w:numPr>
        <w:ilvl w:val="1"/>
        <w:numId w:val="14"/>
      </w:numPr>
      <w:kinsoku w:val="0"/>
      <w:autoSpaceDE w:val="0"/>
      <w:autoSpaceDN w:val="0"/>
      <w:spacing w:before="78" w:beforeLines="25" w:after="0" w:line="300" w:lineRule="auto"/>
      <w:ind w:hanging="309" w:hangingChars="309"/>
      <w:jc w:val="left"/>
      <w:textAlignment w:val="baseline"/>
    </w:pPr>
    <w:rPr>
      <w:rFonts w:ascii="宋体" w:hAnsi="宋体"/>
      <w:snapToGrid w:val="0"/>
      <w:color w:val="000000"/>
      <w:kern w:val="0"/>
      <w:szCs w:val="21"/>
      <w:lang w:eastAsia="en-US"/>
    </w:rPr>
  </w:style>
  <w:style w:type="paragraph" w:customStyle="1" w:styleId="272">
    <w:name w:val="!BECC正文"/>
    <w:basedOn w:val="1"/>
    <w:qFormat/>
    <w:uiPriority w:val="0"/>
    <w:pPr>
      <w:widowControl/>
      <w:tabs>
        <w:tab w:val="left" w:pos="0"/>
      </w:tabs>
      <w:spacing w:before="156" w:beforeLines="50" w:after="156" w:afterLines="50"/>
    </w:pPr>
    <w:rPr>
      <w:rFonts w:ascii="宋体" w:hAnsi="宋体"/>
      <w:kern w:val="20"/>
      <w:sz w:val="24"/>
    </w:rPr>
  </w:style>
  <w:style w:type="paragraph" w:customStyle="1" w:styleId="273">
    <w:name w:val="标题10"/>
    <w:qFormat/>
    <w:uiPriority w:val="0"/>
    <w:pPr>
      <w:spacing w:before="120" w:after="120" w:line="360" w:lineRule="auto"/>
      <w:ind w:left="1060" w:hanging="420"/>
    </w:pPr>
    <w:rPr>
      <w:rFonts w:ascii="Calibri" w:hAnsi="Calibri" w:eastAsia="仿宋_GB2312" w:cs="Times New Roman"/>
      <w:kern w:val="2"/>
      <w:sz w:val="32"/>
      <w:szCs w:val="21"/>
      <w:lang w:val="en-US" w:eastAsia="zh-CN" w:bidi="ar-SA"/>
    </w:rPr>
  </w:style>
  <w:style w:type="paragraph" w:customStyle="1" w:styleId="274">
    <w:name w:val="First Paragraph"/>
    <w:basedOn w:val="16"/>
    <w:next w:val="16"/>
    <w:qFormat/>
    <w:uiPriority w:val="0"/>
    <w:pPr>
      <w:widowControl/>
      <w:kinsoku w:val="0"/>
      <w:topLinePunct w:val="0"/>
      <w:autoSpaceDE w:val="0"/>
      <w:autoSpaceDN w:val="0"/>
      <w:spacing w:after="0"/>
      <w:jc w:val="left"/>
      <w:textAlignment w:val="baseline"/>
    </w:pPr>
    <w:rPr>
      <w:rFonts w:ascii="宋体" w:hAnsi="宋体" w:eastAsia="宋体" w:cs="宋体"/>
      <w:snapToGrid w:val="0"/>
      <w:color w:val="000000"/>
      <w:kern w:val="0"/>
      <w:sz w:val="20"/>
      <w:szCs w:val="20"/>
      <w:lang w:eastAsia="en-US"/>
    </w:rPr>
  </w:style>
  <w:style w:type="paragraph" w:customStyle="1" w:styleId="275">
    <w:name w:val="Table Caption"/>
    <w:basedOn w:val="1"/>
    <w:qFormat/>
    <w:uiPriority w:val="0"/>
    <w:pPr>
      <w:keepNext/>
      <w:jc w:val="center"/>
    </w:pPr>
    <w:rPr>
      <w:rFonts w:eastAsia="黑体" w:cs="黑体"/>
    </w:rPr>
  </w:style>
  <w:style w:type="paragraph" w:customStyle="1" w:styleId="276">
    <w:name w:val="样式W5"/>
    <w:basedOn w:val="7"/>
    <w:link w:val="277"/>
    <w:qFormat/>
    <w:uiPriority w:val="0"/>
    <w:pPr>
      <w:numPr>
        <w:ilvl w:val="0"/>
        <w:numId w:val="0"/>
      </w:numPr>
      <w:tabs>
        <w:tab w:val="left" w:pos="900"/>
      </w:tabs>
      <w:spacing w:before="50" w:beforeLines="50" w:after="50" w:afterLines="50" w:line="300" w:lineRule="auto"/>
      <w:jc w:val="left"/>
    </w:pPr>
    <w:rPr>
      <w:rFonts w:ascii="黑体" w:hAnsi="Times New Roman"/>
      <w:sz w:val="32"/>
      <w:szCs w:val="32"/>
    </w:rPr>
  </w:style>
  <w:style w:type="character" w:customStyle="1" w:styleId="277">
    <w:name w:val="样式W5 Char"/>
    <w:link w:val="276"/>
    <w:qFormat/>
    <w:uiPriority w:val="0"/>
    <w:rPr>
      <w:rFonts w:ascii="黑体" w:hAnsi="Times New Roman" w:eastAsia="仿宋" w:cs="Times New Roman"/>
      <w:b/>
      <w:bCs/>
      <w:kern w:val="2"/>
      <w:sz w:val="32"/>
      <w:szCs w:val="32"/>
    </w:rPr>
  </w:style>
  <w:style w:type="character" w:styleId="278">
    <w:name w:val="Placeholder Text"/>
    <w:semiHidden/>
    <w:qFormat/>
    <w:uiPriority w:val="99"/>
    <w:rPr>
      <w:color w:val="808080"/>
    </w:rPr>
  </w:style>
  <w:style w:type="paragraph" w:customStyle="1" w:styleId="279">
    <w:name w:val="正文#"/>
    <w:basedOn w:val="1"/>
    <w:qFormat/>
    <w:uiPriority w:val="0"/>
    <w:pPr>
      <w:spacing w:line="500" w:lineRule="atLeast"/>
      <w:ind w:firstLine="0" w:firstLineChars="0"/>
    </w:pPr>
    <w:rPr>
      <w:rFonts w:ascii="宋体" w:hAnsi="宋体" w:eastAsia="宋体"/>
      <w:sz w:val="24"/>
      <w:szCs w:val="24"/>
    </w:rPr>
  </w:style>
  <w:style w:type="paragraph" w:customStyle="1" w:styleId="280">
    <w:name w:val="标题1"/>
    <w:basedOn w:val="1"/>
    <w:link w:val="569"/>
    <w:qFormat/>
    <w:uiPriority w:val="0"/>
    <w:pPr>
      <w:spacing w:before="50" w:beforeLines="50" w:after="50" w:afterLines="50"/>
      <w:ind w:firstLine="0" w:firstLineChars="0"/>
      <w:jc w:val="center"/>
      <w:outlineLvl w:val="0"/>
    </w:pPr>
    <w:rPr>
      <w:rFonts w:ascii="Times New Roman" w:hAnsi="Times New Roman" w:eastAsia="宋体"/>
      <w:b/>
      <w:szCs w:val="24"/>
    </w:rPr>
  </w:style>
  <w:style w:type="paragraph" w:customStyle="1" w:styleId="281">
    <w:name w:val="正文（1）"/>
    <w:basedOn w:val="1"/>
    <w:link w:val="282"/>
    <w:qFormat/>
    <w:uiPriority w:val="0"/>
    <w:pPr>
      <w:widowControl/>
      <w:ind w:left="420" w:firstLine="0" w:firstLineChars="0"/>
      <w:jc w:val="left"/>
    </w:pPr>
    <w:rPr>
      <w:rFonts w:ascii="Times New Roman" w:hAnsi="Times New Roman" w:eastAsia="宋体"/>
      <w:sz w:val="24"/>
    </w:rPr>
  </w:style>
  <w:style w:type="character" w:customStyle="1" w:styleId="282">
    <w:name w:val="正文（1） Char"/>
    <w:link w:val="281"/>
    <w:qFormat/>
    <w:uiPriority w:val="0"/>
    <w:rPr>
      <w:rFonts w:ascii="Times New Roman" w:hAnsi="Times New Roman" w:eastAsia="宋体"/>
      <w:sz w:val="24"/>
      <w:szCs w:val="21"/>
    </w:rPr>
  </w:style>
  <w:style w:type="character" w:customStyle="1" w:styleId="283">
    <w:name w:val="未处理的提及1"/>
    <w:unhideWhenUsed/>
    <w:qFormat/>
    <w:uiPriority w:val="99"/>
    <w:rPr>
      <w:color w:val="605E5C"/>
      <w:shd w:val="clear" w:color="auto" w:fill="E1DFDD"/>
    </w:rPr>
  </w:style>
  <w:style w:type="character" w:customStyle="1" w:styleId="284">
    <w:name w:val="_5级 Char"/>
    <w:link w:val="107"/>
    <w:qFormat/>
    <w:uiPriority w:val="0"/>
    <w:rPr>
      <w:rFonts w:eastAsia="黑体"/>
      <w:kern w:val="2"/>
      <w:sz w:val="28"/>
      <w:szCs w:val="21"/>
    </w:rPr>
  </w:style>
  <w:style w:type="character" w:customStyle="1" w:styleId="285">
    <w:name w:val="*正文 Char"/>
    <w:link w:val="286"/>
    <w:qFormat/>
    <w:uiPriority w:val="0"/>
    <w:rPr>
      <w:rFonts w:ascii="宋体" w:hAnsi="宋体"/>
      <w:sz w:val="22"/>
      <w:szCs w:val="24"/>
    </w:rPr>
  </w:style>
  <w:style w:type="paragraph" w:customStyle="1" w:styleId="286">
    <w:name w:val="*正文"/>
    <w:basedOn w:val="1"/>
    <w:link w:val="285"/>
    <w:qFormat/>
    <w:uiPriority w:val="0"/>
    <w:pPr>
      <w:adjustRightInd/>
      <w:snapToGrid/>
    </w:pPr>
    <w:rPr>
      <w:rFonts w:ascii="宋体" w:hAnsi="宋体" w:eastAsia="等线"/>
      <w:kern w:val="0"/>
      <w:sz w:val="22"/>
      <w:szCs w:val="24"/>
    </w:rPr>
  </w:style>
  <w:style w:type="paragraph" w:customStyle="1" w:styleId="287">
    <w:name w:val="TOC 标题2"/>
    <w:basedOn w:val="2"/>
    <w:next w:val="1"/>
    <w:unhideWhenUsed/>
    <w:qFormat/>
    <w:uiPriority w:val="39"/>
    <w:pPr>
      <w:numPr>
        <w:numId w:val="0"/>
      </w:numPr>
      <w:adjustRightInd/>
      <w:snapToGrid/>
      <w:spacing w:before="480" w:line="276" w:lineRule="auto"/>
      <w:outlineLvl w:val="9"/>
    </w:pPr>
    <w:rPr>
      <w:rFonts w:ascii="等线 Light" w:hAnsi="等线 Light" w:eastAsia="等线 Light"/>
      <w:b/>
      <w:bCs/>
      <w:color w:val="2E75B5"/>
      <w:kern w:val="2"/>
      <w:sz w:val="24"/>
      <w:szCs w:val="28"/>
    </w:rPr>
  </w:style>
  <w:style w:type="character" w:customStyle="1" w:styleId="288">
    <w:name w:val="不明显强调2"/>
    <w:qFormat/>
    <w:uiPriority w:val="19"/>
    <w:rPr>
      <w:i/>
      <w:iCs/>
      <w:color w:val="7E7E7E"/>
    </w:rPr>
  </w:style>
  <w:style w:type="character" w:customStyle="1" w:styleId="289">
    <w:name w:val="明显强调2"/>
    <w:qFormat/>
    <w:uiPriority w:val="21"/>
    <w:rPr>
      <w:b/>
      <w:bCs/>
      <w:i/>
      <w:iCs/>
      <w:color w:val="5B9BD5"/>
    </w:rPr>
  </w:style>
  <w:style w:type="character" w:customStyle="1" w:styleId="290">
    <w:name w:val="不明显参考2"/>
    <w:qFormat/>
    <w:uiPriority w:val="31"/>
    <w:rPr>
      <w:smallCaps/>
      <w:color w:val="ED7D31"/>
      <w:u w:val="single"/>
    </w:rPr>
  </w:style>
  <w:style w:type="character" w:customStyle="1" w:styleId="291">
    <w:name w:val="明显参考2"/>
    <w:qFormat/>
    <w:uiPriority w:val="32"/>
    <w:rPr>
      <w:b/>
      <w:bCs/>
      <w:smallCaps/>
      <w:color w:val="ED7D31"/>
      <w:spacing w:val="5"/>
      <w:u w:val="single"/>
    </w:rPr>
  </w:style>
  <w:style w:type="character" w:customStyle="1" w:styleId="292">
    <w:name w:val="书籍标题2"/>
    <w:qFormat/>
    <w:uiPriority w:val="33"/>
    <w:rPr>
      <w:b/>
      <w:bCs/>
      <w:smallCaps/>
      <w:spacing w:val="5"/>
    </w:rPr>
  </w:style>
  <w:style w:type="paragraph" w:customStyle="1" w:styleId="293">
    <w:name w:val="正文(首行缩进)"/>
    <w:basedOn w:val="1"/>
    <w:link w:val="294"/>
    <w:qFormat/>
    <w:uiPriority w:val="0"/>
    <w:pPr>
      <w:widowControl/>
      <w:adjustRightInd/>
      <w:snapToGrid/>
      <w:jc w:val="left"/>
    </w:pPr>
    <w:rPr>
      <w:rFonts w:ascii="Arial Narrow" w:hAnsi="Arial Narrow" w:eastAsia="宋体"/>
      <w:kern w:val="0"/>
      <w:sz w:val="24"/>
      <w:szCs w:val="22"/>
    </w:rPr>
  </w:style>
  <w:style w:type="character" w:customStyle="1" w:styleId="294">
    <w:name w:val="正文(首行缩进) Char"/>
    <w:link w:val="293"/>
    <w:qFormat/>
    <w:uiPriority w:val="0"/>
    <w:rPr>
      <w:rFonts w:ascii="Arial Narrow" w:hAnsi="Arial Narrow" w:eastAsia="宋体" w:cs="Times New Roman"/>
      <w:sz w:val="24"/>
      <w:szCs w:val="22"/>
    </w:rPr>
  </w:style>
  <w:style w:type="paragraph" w:customStyle="1" w:styleId="295">
    <w:name w:val="标题四（CMDI）"/>
    <w:basedOn w:val="4"/>
    <w:link w:val="296"/>
    <w:qFormat/>
    <w:uiPriority w:val="0"/>
    <w:pPr>
      <w:keepNext w:val="0"/>
      <w:keepLines w:val="0"/>
      <w:pageBreakBefore w:val="0"/>
      <w:kinsoku/>
      <w:autoSpaceDE/>
      <w:autoSpaceDN/>
      <w:adjustRightInd/>
      <w:snapToGrid/>
      <w:jc w:val="both"/>
      <w:textAlignment w:val="auto"/>
      <w:outlineLvl w:val="3"/>
    </w:pPr>
    <w:rPr>
      <w:rFonts w:ascii="Times New Roman" w:hAnsi="Times New Roman" w:eastAsia="宋体"/>
      <w:b w:val="0"/>
      <w:bCs w:val="0"/>
      <w:kern w:val="2"/>
      <w:sz w:val="24"/>
      <w:szCs w:val="24"/>
    </w:rPr>
  </w:style>
  <w:style w:type="character" w:customStyle="1" w:styleId="296">
    <w:name w:val="标题四（CMDI） Char"/>
    <w:link w:val="295"/>
    <w:qFormat/>
    <w:uiPriority w:val="0"/>
    <w:rPr>
      <w:rFonts w:ascii="Times New Roman" w:hAnsi="Times New Roman" w:eastAsia="宋体" w:cs="Times New Roman"/>
      <w:kern w:val="2"/>
      <w:sz w:val="24"/>
      <w:szCs w:val="24"/>
      <w:lang w:val="ru-RU" w:eastAsia="en-US"/>
    </w:rPr>
  </w:style>
  <w:style w:type="paragraph" w:customStyle="1" w:styleId="297">
    <w:name w:val="Table Heading"/>
    <w:basedOn w:val="263"/>
    <w:link w:val="298"/>
    <w:qFormat/>
    <w:uiPriority w:val="0"/>
    <w:pPr>
      <w:keepLines/>
      <w:adjustRightInd/>
      <w:snapToGrid/>
      <w:spacing w:before="120" w:after="120" w:line="240" w:lineRule="auto"/>
    </w:pPr>
    <w:rPr>
      <w:rFonts w:ascii="等线" w:hAnsi="等线" w:eastAsia="等线" w:cs="Times New Roman"/>
      <w:b/>
      <w:sz w:val="16"/>
      <w:szCs w:val="24"/>
    </w:rPr>
  </w:style>
  <w:style w:type="character" w:customStyle="1" w:styleId="298">
    <w:name w:val="Table Heading Char"/>
    <w:link w:val="297"/>
    <w:qFormat/>
    <w:uiPriority w:val="0"/>
    <w:rPr>
      <w:b/>
      <w:kern w:val="2"/>
      <w:sz w:val="16"/>
      <w:szCs w:val="24"/>
    </w:rPr>
  </w:style>
  <w:style w:type="character" w:customStyle="1" w:styleId="299">
    <w:name w:val="！正文 Char"/>
    <w:link w:val="112"/>
    <w:qFormat/>
    <w:uiPriority w:val="0"/>
    <w:rPr>
      <w:rFonts w:eastAsia="仿宋"/>
      <w:kern w:val="2"/>
      <w:sz w:val="28"/>
      <w:szCs w:val="21"/>
    </w:rPr>
  </w:style>
  <w:style w:type="paragraph" w:customStyle="1" w:styleId="300">
    <w:name w:val="图片编号"/>
    <w:link w:val="301"/>
    <w:qFormat/>
    <w:uiPriority w:val="0"/>
    <w:pPr>
      <w:spacing w:line="288" w:lineRule="auto"/>
      <w:jc w:val="center"/>
    </w:pPr>
    <w:rPr>
      <w:rFonts w:ascii="微软雅黑" w:hAnsi="微软雅黑" w:eastAsia="宋体" w:cs="微软雅黑"/>
      <w:kern w:val="2"/>
      <w:sz w:val="21"/>
      <w:szCs w:val="22"/>
      <w:lang w:val="en-US" w:eastAsia="zh-CN" w:bidi="ar-SA"/>
    </w:rPr>
  </w:style>
  <w:style w:type="character" w:customStyle="1" w:styleId="301">
    <w:name w:val="图片编号 Char"/>
    <w:link w:val="300"/>
    <w:qFormat/>
    <w:uiPriority w:val="0"/>
    <w:rPr>
      <w:rFonts w:ascii="微软雅黑" w:hAnsi="微软雅黑" w:eastAsia="宋体" w:cs="微软雅黑"/>
      <w:kern w:val="2"/>
      <w:sz w:val="21"/>
      <w:szCs w:val="22"/>
    </w:rPr>
  </w:style>
  <w:style w:type="paragraph" w:customStyle="1" w:styleId="302">
    <w:name w:val="正文文字"/>
    <w:basedOn w:val="1"/>
    <w:qFormat/>
    <w:uiPriority w:val="0"/>
    <w:pPr>
      <w:adjustRightInd/>
      <w:snapToGrid/>
      <w:spacing w:before="60" w:after="60"/>
      <w:ind w:firstLine="480"/>
    </w:pPr>
    <w:rPr>
      <w:rFonts w:ascii="宋体" w:hAnsi="Times New Roman" w:eastAsia="宋体"/>
      <w:sz w:val="24"/>
    </w:rPr>
  </w:style>
  <w:style w:type="table" w:customStyle="1" w:styleId="303">
    <w:name w:val="网格型!11"/>
    <w:basedOn w:val="13"/>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
    <w:name w:val="网格型!1"/>
    <w:basedOn w:val="13"/>
    <w:qFormat/>
    <w:uiPriority w:val="0"/>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05">
    <w:name w:val="图表标题字体"/>
    <w:basedOn w:val="1"/>
    <w:qFormat/>
    <w:uiPriority w:val="0"/>
    <w:pPr>
      <w:adjustRightInd/>
      <w:snapToGrid/>
      <w:jc w:val="center"/>
    </w:pPr>
    <w:rPr>
      <w:rFonts w:ascii="Times New Roman" w:hAnsi="Times New Roman" w:eastAsia="宋体" w:cs="宋体"/>
      <w:kern w:val="0"/>
      <w:sz w:val="21"/>
      <w:szCs w:val="20"/>
    </w:rPr>
  </w:style>
  <w:style w:type="paragraph" w:customStyle="1" w:styleId="306">
    <w:name w:val="font5"/>
    <w:basedOn w:val="1"/>
    <w:qFormat/>
    <w:uiPriority w:val="0"/>
    <w:pPr>
      <w:widowControl/>
      <w:adjustRightInd/>
      <w:snapToGrid/>
      <w:spacing w:before="100" w:beforeAutospacing="1" w:after="100" w:afterAutospacing="1" w:line="240" w:lineRule="auto"/>
      <w:jc w:val="left"/>
    </w:pPr>
    <w:rPr>
      <w:rFonts w:ascii="宋体" w:hAnsi="宋体" w:eastAsia="宋体" w:cs="宋体"/>
      <w:b/>
      <w:bCs/>
      <w:kern w:val="0"/>
      <w:sz w:val="18"/>
      <w:szCs w:val="18"/>
    </w:rPr>
  </w:style>
  <w:style w:type="paragraph" w:customStyle="1" w:styleId="307">
    <w:name w:val="font6"/>
    <w:basedOn w:val="1"/>
    <w:qFormat/>
    <w:uiPriority w:val="0"/>
    <w:pPr>
      <w:widowControl/>
      <w:adjustRightInd/>
      <w:snapToGrid/>
      <w:spacing w:before="100" w:beforeAutospacing="1" w:after="100" w:afterAutospacing="1" w:line="240" w:lineRule="auto"/>
      <w:jc w:val="left"/>
    </w:pPr>
    <w:rPr>
      <w:rFonts w:ascii="宋体" w:hAnsi="宋体" w:eastAsia="宋体" w:cs="宋体"/>
      <w:kern w:val="0"/>
      <w:sz w:val="18"/>
      <w:szCs w:val="18"/>
    </w:rPr>
  </w:style>
  <w:style w:type="paragraph" w:customStyle="1" w:styleId="308">
    <w:name w:val="font7"/>
    <w:basedOn w:val="1"/>
    <w:qFormat/>
    <w:uiPriority w:val="0"/>
    <w:pPr>
      <w:widowControl/>
      <w:adjustRightInd/>
      <w:snapToGrid/>
      <w:spacing w:before="100" w:beforeAutospacing="1" w:after="100" w:afterAutospacing="1" w:line="240" w:lineRule="auto"/>
      <w:jc w:val="left"/>
    </w:pPr>
    <w:rPr>
      <w:rFonts w:eastAsia="等线" w:cs="宋体"/>
      <w:kern w:val="0"/>
      <w:sz w:val="18"/>
      <w:szCs w:val="18"/>
    </w:rPr>
  </w:style>
  <w:style w:type="paragraph" w:customStyle="1" w:styleId="309">
    <w:name w:val="font8"/>
    <w:basedOn w:val="1"/>
    <w:qFormat/>
    <w:uiPriority w:val="0"/>
    <w:pPr>
      <w:widowControl/>
      <w:adjustRightInd/>
      <w:snapToGrid/>
      <w:spacing w:before="100" w:beforeAutospacing="1" w:after="100" w:afterAutospacing="1" w:line="240" w:lineRule="auto"/>
      <w:jc w:val="left"/>
    </w:pPr>
    <w:rPr>
      <w:rFonts w:eastAsia="等线" w:cs="宋体"/>
      <w:kern w:val="0"/>
      <w:sz w:val="20"/>
      <w:szCs w:val="20"/>
    </w:rPr>
  </w:style>
  <w:style w:type="paragraph" w:customStyle="1" w:styleId="310">
    <w:name w:val="font9"/>
    <w:basedOn w:val="1"/>
    <w:qFormat/>
    <w:uiPriority w:val="0"/>
    <w:pPr>
      <w:widowControl/>
      <w:adjustRightInd/>
      <w:snapToGrid/>
      <w:spacing w:before="100" w:beforeAutospacing="1" w:after="100" w:afterAutospacing="1" w:line="240" w:lineRule="auto"/>
      <w:jc w:val="left"/>
    </w:pPr>
    <w:rPr>
      <w:rFonts w:eastAsia="等线" w:cs="宋体"/>
      <w:kern w:val="0"/>
      <w:sz w:val="20"/>
      <w:szCs w:val="20"/>
    </w:rPr>
  </w:style>
  <w:style w:type="paragraph" w:customStyle="1" w:styleId="311">
    <w:name w:val="font10"/>
    <w:basedOn w:val="1"/>
    <w:qFormat/>
    <w:uiPriority w:val="0"/>
    <w:pPr>
      <w:widowControl/>
      <w:adjustRightInd/>
      <w:snapToGrid/>
      <w:spacing w:before="100" w:beforeAutospacing="1" w:after="100" w:afterAutospacing="1" w:line="240" w:lineRule="auto"/>
      <w:jc w:val="left"/>
    </w:pPr>
    <w:rPr>
      <w:rFonts w:ascii="Calibri" w:hAnsi="Calibri" w:eastAsia="宋体" w:cs="Calibri"/>
      <w:kern w:val="0"/>
      <w:sz w:val="20"/>
      <w:szCs w:val="20"/>
    </w:rPr>
  </w:style>
  <w:style w:type="paragraph" w:customStyle="1" w:styleId="312">
    <w:name w:val="xl65"/>
    <w:basedOn w:val="1"/>
    <w:qFormat/>
    <w:uiPriority w:val="0"/>
    <w:pPr>
      <w:widowControl/>
      <w:adjustRightInd/>
      <w:snapToGrid/>
      <w:spacing w:before="100" w:beforeAutospacing="1" w:after="100" w:afterAutospacing="1" w:line="240" w:lineRule="auto"/>
      <w:jc w:val="left"/>
    </w:pPr>
    <w:rPr>
      <w:rFonts w:ascii="宋体" w:hAnsi="宋体" w:eastAsia="宋体" w:cs="宋体"/>
      <w:kern w:val="0"/>
      <w:sz w:val="24"/>
      <w:szCs w:val="24"/>
    </w:rPr>
  </w:style>
  <w:style w:type="paragraph" w:customStyle="1" w:styleId="313">
    <w:name w:val="xl66"/>
    <w:basedOn w:val="1"/>
    <w:qFormat/>
    <w:uiPriority w:val="0"/>
    <w:pPr>
      <w:widowControl/>
      <w:adjustRightInd/>
      <w:snapToGrid/>
      <w:spacing w:before="100" w:beforeAutospacing="1" w:after="100" w:afterAutospacing="1" w:line="240" w:lineRule="auto"/>
      <w:jc w:val="left"/>
      <w:textAlignment w:val="center"/>
    </w:pPr>
    <w:rPr>
      <w:rFonts w:ascii="宋体" w:hAnsi="宋体" w:eastAsia="宋体" w:cs="宋体"/>
      <w:b/>
      <w:bCs/>
      <w:kern w:val="0"/>
      <w:sz w:val="20"/>
      <w:szCs w:val="20"/>
    </w:rPr>
  </w:style>
  <w:style w:type="paragraph" w:customStyle="1" w:styleId="314">
    <w:name w:val="xl67"/>
    <w:basedOn w:val="1"/>
    <w:qFormat/>
    <w:uiPriority w:val="0"/>
    <w:pPr>
      <w:widowControl/>
      <w:adjustRightInd/>
      <w:snapToGrid/>
      <w:spacing w:before="100" w:beforeAutospacing="1" w:after="100" w:afterAutospacing="1" w:line="240" w:lineRule="auto"/>
      <w:jc w:val="left"/>
    </w:pPr>
    <w:rPr>
      <w:rFonts w:ascii="宋体" w:hAnsi="宋体" w:eastAsia="宋体" w:cs="宋体"/>
      <w:kern w:val="0"/>
      <w:sz w:val="20"/>
      <w:szCs w:val="20"/>
    </w:rPr>
  </w:style>
  <w:style w:type="paragraph" w:customStyle="1" w:styleId="315">
    <w:name w:val="xl68"/>
    <w:basedOn w:val="1"/>
    <w:qFormat/>
    <w:uiPriority w:val="0"/>
    <w:pPr>
      <w:widowControl/>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16">
    <w:name w:val="xl69"/>
    <w:basedOn w:val="1"/>
    <w:qFormat/>
    <w:uiPriority w:val="0"/>
    <w:pPr>
      <w:widowControl/>
      <w:adjustRightInd/>
      <w:snapToGrid/>
      <w:spacing w:before="100" w:beforeAutospacing="1" w:after="100" w:afterAutospacing="1" w:line="240" w:lineRule="auto"/>
      <w:jc w:val="left"/>
    </w:pPr>
    <w:rPr>
      <w:rFonts w:ascii="宋体" w:hAnsi="宋体" w:eastAsia="宋体" w:cs="宋体"/>
      <w:kern w:val="0"/>
      <w:sz w:val="20"/>
      <w:szCs w:val="20"/>
    </w:rPr>
  </w:style>
  <w:style w:type="paragraph" w:customStyle="1" w:styleId="317">
    <w:name w:val="xl70"/>
    <w:basedOn w:val="1"/>
    <w:qFormat/>
    <w:uiPriority w:val="0"/>
    <w:pPr>
      <w:widowControl/>
      <w:adjustRightInd/>
      <w:snapToGrid/>
      <w:spacing w:before="100" w:beforeAutospacing="1" w:after="100" w:afterAutospacing="1" w:line="240" w:lineRule="auto"/>
      <w:jc w:val="left"/>
      <w:textAlignment w:val="center"/>
    </w:pPr>
    <w:rPr>
      <w:rFonts w:ascii="宋体" w:hAnsi="宋体" w:eastAsia="宋体" w:cs="宋体"/>
      <w:kern w:val="0"/>
      <w:sz w:val="20"/>
      <w:szCs w:val="20"/>
    </w:rPr>
  </w:style>
  <w:style w:type="paragraph" w:customStyle="1" w:styleId="318">
    <w:name w:val="xl71"/>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19">
    <w:name w:val="xl72"/>
    <w:basedOn w:val="1"/>
    <w:qFormat/>
    <w:uiPriority w:val="0"/>
    <w:pPr>
      <w:widowControl/>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20">
    <w:name w:val="xl73"/>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line="240" w:lineRule="auto"/>
      <w:jc w:val="center"/>
      <w:textAlignment w:val="center"/>
    </w:pPr>
    <w:rPr>
      <w:rFonts w:ascii="宋体" w:hAnsi="宋体" w:eastAsia="宋体" w:cs="宋体"/>
      <w:b/>
      <w:bCs/>
      <w:kern w:val="0"/>
      <w:sz w:val="20"/>
      <w:szCs w:val="20"/>
    </w:rPr>
  </w:style>
  <w:style w:type="paragraph" w:customStyle="1" w:styleId="321">
    <w:name w:val="xl74"/>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22">
    <w:name w:val="xl75"/>
    <w:basedOn w:val="1"/>
    <w:qFormat/>
    <w:uiPriority w:val="0"/>
    <w:pPr>
      <w:widowControl/>
      <w:pBdr>
        <w:top w:val="single" w:color="auto" w:sz="4" w:space="0"/>
        <w:left w:val="single" w:color="auto" w:sz="4" w:space="0"/>
        <w:bottom w:val="single" w:color="auto" w:sz="4" w:space="0"/>
        <w:right w:val="single" w:color="auto" w:sz="4" w:space="0"/>
      </w:pBdr>
      <w:shd w:val="clear" w:color="000000" w:fill="FF0000"/>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23">
    <w:name w:val="xl76"/>
    <w:basedOn w:val="1"/>
    <w:qFormat/>
    <w:uiPriority w:val="0"/>
    <w:pPr>
      <w:widowControl/>
      <w:pBdr>
        <w:top w:val="single" w:color="auto" w:sz="4" w:space="0"/>
        <w:left w:val="single" w:color="auto" w:sz="4" w:space="0"/>
        <w:bottom w:val="single" w:color="auto" w:sz="4" w:space="0"/>
        <w:right w:val="single" w:color="auto" w:sz="4" w:space="0"/>
      </w:pBdr>
      <w:shd w:val="clear" w:color="000000" w:fill="F2F2F2"/>
      <w:adjustRightInd/>
      <w:snapToGrid/>
      <w:spacing w:before="100" w:beforeAutospacing="1" w:after="100" w:afterAutospacing="1" w:line="240" w:lineRule="auto"/>
      <w:jc w:val="center"/>
      <w:textAlignment w:val="center"/>
    </w:pPr>
    <w:rPr>
      <w:rFonts w:ascii="宋体" w:hAnsi="宋体" w:eastAsia="宋体" w:cs="宋体"/>
      <w:b/>
      <w:bCs/>
      <w:kern w:val="0"/>
      <w:sz w:val="20"/>
      <w:szCs w:val="20"/>
    </w:rPr>
  </w:style>
  <w:style w:type="paragraph" w:customStyle="1" w:styleId="324">
    <w:name w:val="xl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left"/>
      <w:textAlignment w:val="center"/>
    </w:pPr>
    <w:rPr>
      <w:rFonts w:ascii="宋体" w:hAnsi="宋体" w:eastAsia="宋体" w:cs="宋体"/>
      <w:kern w:val="0"/>
      <w:sz w:val="20"/>
      <w:szCs w:val="20"/>
    </w:rPr>
  </w:style>
  <w:style w:type="paragraph" w:customStyle="1" w:styleId="325">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left"/>
      <w:textAlignment w:val="center"/>
    </w:pPr>
    <w:rPr>
      <w:rFonts w:ascii="宋体" w:hAnsi="宋体" w:eastAsia="宋体" w:cs="宋体"/>
      <w:kern w:val="0"/>
      <w:sz w:val="20"/>
      <w:szCs w:val="20"/>
    </w:rPr>
  </w:style>
  <w:style w:type="paragraph" w:customStyle="1" w:styleId="326">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27">
    <w:name w:val="xl8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left"/>
      <w:textAlignment w:val="center"/>
    </w:pPr>
    <w:rPr>
      <w:rFonts w:ascii="宋体" w:hAnsi="宋体" w:eastAsia="宋体" w:cs="宋体"/>
      <w:b/>
      <w:bCs/>
      <w:kern w:val="0"/>
      <w:sz w:val="20"/>
      <w:szCs w:val="20"/>
    </w:rPr>
  </w:style>
  <w:style w:type="paragraph" w:customStyle="1" w:styleId="328">
    <w:name w:val="xl8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29">
    <w:name w:val="xl8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left"/>
    </w:pPr>
    <w:rPr>
      <w:rFonts w:ascii="宋体" w:hAnsi="宋体" w:eastAsia="宋体" w:cs="宋体"/>
      <w:kern w:val="0"/>
      <w:sz w:val="20"/>
      <w:szCs w:val="20"/>
    </w:rPr>
  </w:style>
  <w:style w:type="paragraph" w:customStyle="1" w:styleId="330">
    <w:name w:val="xl83"/>
    <w:basedOn w:val="1"/>
    <w:qFormat/>
    <w:uiPriority w:val="0"/>
    <w:pPr>
      <w:widowControl/>
      <w:pBdr>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31">
    <w:name w:val="xl8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left"/>
    </w:pPr>
    <w:rPr>
      <w:rFonts w:ascii="宋体" w:hAnsi="宋体" w:eastAsia="宋体" w:cs="宋体"/>
      <w:kern w:val="0"/>
      <w:sz w:val="20"/>
      <w:szCs w:val="20"/>
    </w:rPr>
  </w:style>
  <w:style w:type="paragraph" w:customStyle="1" w:styleId="332">
    <w:name w:val="xl8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left"/>
    </w:pPr>
    <w:rPr>
      <w:rFonts w:ascii="宋体" w:hAnsi="宋体" w:eastAsia="宋体" w:cs="宋体"/>
      <w:kern w:val="0"/>
      <w:sz w:val="20"/>
      <w:szCs w:val="20"/>
    </w:rPr>
  </w:style>
  <w:style w:type="paragraph" w:customStyle="1" w:styleId="333">
    <w:name w:val="xl8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left"/>
    </w:pPr>
    <w:rPr>
      <w:rFonts w:ascii="宋体" w:hAnsi="宋体" w:eastAsia="宋体" w:cs="宋体"/>
      <w:kern w:val="0"/>
      <w:sz w:val="20"/>
      <w:szCs w:val="20"/>
    </w:rPr>
  </w:style>
  <w:style w:type="paragraph" w:customStyle="1" w:styleId="334">
    <w:name w:val="xl8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left"/>
      <w:textAlignment w:val="center"/>
    </w:pPr>
    <w:rPr>
      <w:rFonts w:ascii="宋体" w:hAnsi="宋体" w:eastAsia="宋体" w:cs="宋体"/>
      <w:kern w:val="0"/>
      <w:sz w:val="20"/>
      <w:szCs w:val="20"/>
    </w:rPr>
  </w:style>
  <w:style w:type="paragraph" w:customStyle="1" w:styleId="335">
    <w:name w:val="xl8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center"/>
    </w:pPr>
    <w:rPr>
      <w:rFonts w:ascii="宋体" w:hAnsi="宋体" w:eastAsia="宋体" w:cs="宋体"/>
      <w:kern w:val="0"/>
      <w:sz w:val="20"/>
      <w:szCs w:val="20"/>
    </w:rPr>
  </w:style>
  <w:style w:type="paragraph" w:customStyle="1" w:styleId="336">
    <w:name w:val="xl89"/>
    <w:basedOn w:val="1"/>
    <w:qFormat/>
    <w:uiPriority w:val="0"/>
    <w:pPr>
      <w:widowControl/>
      <w:pBdr>
        <w:top w:val="single" w:color="auto" w:sz="4" w:space="0"/>
        <w:left w:val="single" w:color="auto" w:sz="4" w:space="0"/>
        <w:bottom w:val="single" w:color="auto" w:sz="4" w:space="0"/>
        <w:right w:val="single" w:color="auto" w:sz="4" w:space="0"/>
      </w:pBdr>
      <w:shd w:val="clear" w:color="000000" w:fill="F2F2F2"/>
      <w:adjustRightInd/>
      <w:snapToGrid/>
      <w:spacing w:before="100" w:beforeAutospacing="1" w:after="100" w:afterAutospacing="1" w:line="240" w:lineRule="auto"/>
      <w:jc w:val="center"/>
      <w:textAlignment w:val="center"/>
    </w:pPr>
    <w:rPr>
      <w:rFonts w:ascii="宋体" w:hAnsi="宋体" w:eastAsia="宋体" w:cs="宋体"/>
      <w:b/>
      <w:bCs/>
      <w:kern w:val="0"/>
      <w:sz w:val="20"/>
      <w:szCs w:val="20"/>
    </w:rPr>
  </w:style>
  <w:style w:type="paragraph" w:customStyle="1" w:styleId="337">
    <w:name w:val="xl90"/>
    <w:basedOn w:val="1"/>
    <w:qFormat/>
    <w:uiPriority w:val="0"/>
    <w:pPr>
      <w:widowControl/>
      <w:pBdr>
        <w:top w:val="single" w:color="auto" w:sz="4" w:space="0"/>
        <w:left w:val="single" w:color="auto" w:sz="4" w:space="0"/>
        <w:bottom w:val="single" w:color="auto" w:sz="4" w:space="0"/>
        <w:right w:val="single" w:color="auto" w:sz="4" w:space="0"/>
      </w:pBdr>
      <w:shd w:val="clear" w:color="000000" w:fill="F2F2F2"/>
      <w:adjustRightInd/>
      <w:snapToGrid/>
      <w:spacing w:before="100" w:beforeAutospacing="1" w:after="100" w:afterAutospacing="1" w:line="240" w:lineRule="auto"/>
      <w:jc w:val="left"/>
      <w:textAlignment w:val="center"/>
    </w:pPr>
    <w:rPr>
      <w:rFonts w:ascii="宋体" w:hAnsi="宋体" w:eastAsia="宋体" w:cs="宋体"/>
      <w:b/>
      <w:bCs/>
      <w:kern w:val="0"/>
      <w:sz w:val="20"/>
      <w:szCs w:val="20"/>
    </w:rPr>
  </w:style>
  <w:style w:type="paragraph" w:customStyle="1" w:styleId="338">
    <w:name w:val="xl91"/>
    <w:basedOn w:val="1"/>
    <w:qFormat/>
    <w:uiPriority w:val="0"/>
    <w:pPr>
      <w:widowControl/>
      <w:pBdr>
        <w:left w:val="single" w:color="auto" w:sz="4" w:space="0"/>
        <w:bottom w:val="single" w:color="auto" w:sz="4" w:space="0"/>
      </w:pBdr>
      <w:shd w:val="clear" w:color="000000" w:fill="F2F2F2"/>
      <w:adjustRightInd/>
      <w:snapToGrid/>
      <w:spacing w:before="100" w:beforeAutospacing="1" w:after="100" w:afterAutospacing="1" w:line="240" w:lineRule="auto"/>
      <w:jc w:val="center"/>
      <w:textAlignment w:val="center"/>
    </w:pPr>
    <w:rPr>
      <w:rFonts w:ascii="宋体" w:hAnsi="宋体" w:eastAsia="宋体" w:cs="宋体"/>
      <w:b/>
      <w:bCs/>
      <w:kern w:val="0"/>
      <w:sz w:val="20"/>
      <w:szCs w:val="20"/>
    </w:rPr>
  </w:style>
  <w:style w:type="paragraph" w:customStyle="1" w:styleId="339">
    <w:name w:val="xl92"/>
    <w:basedOn w:val="1"/>
    <w:qFormat/>
    <w:uiPriority w:val="0"/>
    <w:pPr>
      <w:widowControl/>
      <w:pBdr>
        <w:bottom w:val="single" w:color="auto" w:sz="4" w:space="0"/>
      </w:pBdr>
      <w:shd w:val="clear" w:color="000000" w:fill="F2F2F2"/>
      <w:adjustRightInd/>
      <w:snapToGrid/>
      <w:spacing w:before="100" w:beforeAutospacing="1" w:after="100" w:afterAutospacing="1" w:line="240" w:lineRule="auto"/>
      <w:jc w:val="center"/>
      <w:textAlignment w:val="center"/>
    </w:pPr>
    <w:rPr>
      <w:rFonts w:ascii="宋体" w:hAnsi="宋体" w:eastAsia="宋体" w:cs="宋体"/>
      <w:b/>
      <w:bCs/>
      <w:kern w:val="0"/>
      <w:sz w:val="20"/>
      <w:szCs w:val="20"/>
    </w:rPr>
  </w:style>
  <w:style w:type="paragraph" w:customStyle="1" w:styleId="340">
    <w:name w:val="xl93"/>
    <w:basedOn w:val="1"/>
    <w:qFormat/>
    <w:uiPriority w:val="0"/>
    <w:pPr>
      <w:widowControl/>
      <w:pBdr>
        <w:top w:val="single" w:color="auto" w:sz="4" w:space="0"/>
        <w:left w:val="single" w:color="auto" w:sz="4" w:space="0"/>
        <w:bottom w:val="single" w:color="auto" w:sz="4" w:space="0"/>
        <w:right w:val="single" w:color="auto" w:sz="4" w:space="0"/>
      </w:pBdr>
      <w:shd w:val="clear" w:color="000000" w:fill="F2F2F2"/>
      <w:adjustRightInd/>
      <w:snapToGrid/>
      <w:spacing w:before="100" w:beforeAutospacing="1" w:after="100" w:afterAutospacing="1" w:line="240" w:lineRule="auto"/>
      <w:jc w:val="left"/>
      <w:textAlignment w:val="center"/>
    </w:pPr>
    <w:rPr>
      <w:rFonts w:ascii="宋体" w:hAnsi="宋体" w:eastAsia="宋体" w:cs="宋体"/>
      <w:b/>
      <w:bCs/>
      <w:kern w:val="0"/>
      <w:sz w:val="20"/>
      <w:szCs w:val="20"/>
    </w:rPr>
  </w:style>
  <w:style w:type="paragraph" w:customStyle="1" w:styleId="341">
    <w:name w:val="xl9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left"/>
      <w:textAlignment w:val="center"/>
    </w:pPr>
    <w:rPr>
      <w:rFonts w:ascii="宋体" w:hAnsi="宋体" w:eastAsia="宋体" w:cs="宋体"/>
      <w:b/>
      <w:bCs/>
      <w:kern w:val="0"/>
      <w:sz w:val="20"/>
      <w:szCs w:val="20"/>
    </w:rPr>
  </w:style>
  <w:style w:type="paragraph" w:customStyle="1" w:styleId="342">
    <w:name w:val="xl95"/>
    <w:basedOn w:val="1"/>
    <w:qFormat/>
    <w:uiPriority w:val="0"/>
    <w:pPr>
      <w:widowControl/>
      <w:adjustRightInd/>
      <w:snapToGrid/>
      <w:spacing w:before="100" w:beforeAutospacing="1" w:after="100" w:afterAutospacing="1" w:line="240" w:lineRule="auto"/>
      <w:jc w:val="left"/>
    </w:pPr>
    <w:rPr>
      <w:rFonts w:ascii="宋体" w:hAnsi="宋体" w:eastAsia="宋体" w:cs="宋体"/>
      <w:kern w:val="0"/>
      <w:sz w:val="20"/>
      <w:szCs w:val="20"/>
    </w:rPr>
  </w:style>
  <w:style w:type="paragraph" w:customStyle="1" w:styleId="343">
    <w:name w:val="xl96"/>
    <w:basedOn w:val="1"/>
    <w:qFormat/>
    <w:uiPriority w:val="0"/>
    <w:pPr>
      <w:widowControl/>
      <w:pBdr>
        <w:top w:val="single" w:color="auto" w:sz="4" w:space="0"/>
        <w:left w:val="single" w:color="auto" w:sz="4" w:space="0"/>
        <w:right w:val="single" w:color="auto" w:sz="4" w:space="0"/>
      </w:pBdr>
      <w:shd w:val="clear" w:color="000000" w:fill="F2F2F2"/>
      <w:adjustRightInd/>
      <w:snapToGrid/>
      <w:spacing w:before="100" w:beforeAutospacing="1" w:after="100" w:afterAutospacing="1" w:line="240" w:lineRule="auto"/>
      <w:jc w:val="center"/>
      <w:textAlignment w:val="center"/>
    </w:pPr>
    <w:rPr>
      <w:rFonts w:ascii="宋体" w:hAnsi="宋体" w:eastAsia="宋体" w:cs="宋体"/>
      <w:b/>
      <w:bCs/>
      <w:kern w:val="0"/>
      <w:sz w:val="20"/>
      <w:szCs w:val="20"/>
    </w:rPr>
  </w:style>
  <w:style w:type="paragraph" w:customStyle="1" w:styleId="344">
    <w:name w:val="xl97"/>
    <w:basedOn w:val="1"/>
    <w:qFormat/>
    <w:uiPriority w:val="0"/>
    <w:pPr>
      <w:widowControl/>
      <w:pBdr>
        <w:left w:val="single" w:color="auto" w:sz="4" w:space="0"/>
        <w:bottom w:val="single" w:color="auto" w:sz="4" w:space="0"/>
        <w:right w:val="single" w:color="auto" w:sz="4" w:space="0"/>
      </w:pBdr>
      <w:shd w:val="clear" w:color="000000" w:fill="F2F2F2"/>
      <w:adjustRightInd/>
      <w:snapToGrid/>
      <w:spacing w:before="100" w:beforeAutospacing="1" w:after="100" w:afterAutospacing="1" w:line="240" w:lineRule="auto"/>
      <w:jc w:val="center"/>
      <w:textAlignment w:val="center"/>
    </w:pPr>
    <w:rPr>
      <w:rFonts w:ascii="宋体" w:hAnsi="宋体" w:eastAsia="宋体" w:cs="宋体"/>
      <w:b/>
      <w:bCs/>
      <w:kern w:val="0"/>
      <w:sz w:val="20"/>
      <w:szCs w:val="20"/>
    </w:rPr>
  </w:style>
  <w:style w:type="paragraph" w:customStyle="1" w:styleId="345">
    <w:name w:val="xl98"/>
    <w:basedOn w:val="1"/>
    <w:qFormat/>
    <w:uiPriority w:val="0"/>
    <w:pPr>
      <w:widowControl/>
      <w:pBdr>
        <w:left w:val="single" w:color="auto" w:sz="4" w:space="0"/>
        <w:bottom w:val="single" w:color="auto" w:sz="4" w:space="0"/>
      </w:pBdr>
      <w:shd w:val="clear" w:color="000000" w:fill="F2F2F2"/>
      <w:adjustRightInd/>
      <w:snapToGrid/>
      <w:spacing w:before="100" w:beforeAutospacing="1" w:after="100" w:afterAutospacing="1" w:line="240" w:lineRule="auto"/>
      <w:jc w:val="center"/>
      <w:textAlignment w:val="center"/>
    </w:pPr>
    <w:rPr>
      <w:rFonts w:ascii="宋体" w:hAnsi="宋体" w:eastAsia="宋体" w:cs="宋体"/>
      <w:b/>
      <w:bCs/>
      <w:kern w:val="0"/>
      <w:sz w:val="20"/>
      <w:szCs w:val="20"/>
    </w:rPr>
  </w:style>
  <w:style w:type="paragraph" w:customStyle="1" w:styleId="346">
    <w:name w:val="xl99"/>
    <w:basedOn w:val="1"/>
    <w:qFormat/>
    <w:uiPriority w:val="0"/>
    <w:pPr>
      <w:widowControl/>
      <w:pBdr>
        <w:bottom w:val="single" w:color="auto" w:sz="4" w:space="0"/>
      </w:pBdr>
      <w:shd w:val="clear" w:color="000000" w:fill="F2F2F2"/>
      <w:adjustRightInd/>
      <w:snapToGrid/>
      <w:spacing w:before="100" w:beforeAutospacing="1" w:after="100" w:afterAutospacing="1" w:line="240" w:lineRule="auto"/>
      <w:jc w:val="center"/>
      <w:textAlignment w:val="center"/>
    </w:pPr>
    <w:rPr>
      <w:rFonts w:ascii="宋体" w:hAnsi="宋体" w:eastAsia="宋体" w:cs="宋体"/>
      <w:b/>
      <w:bCs/>
      <w:kern w:val="0"/>
      <w:sz w:val="20"/>
      <w:szCs w:val="20"/>
    </w:rPr>
  </w:style>
  <w:style w:type="paragraph" w:customStyle="1" w:styleId="347">
    <w:name w:val="xl100"/>
    <w:basedOn w:val="1"/>
    <w:qFormat/>
    <w:uiPriority w:val="0"/>
    <w:pPr>
      <w:widowControl/>
      <w:pBdr>
        <w:left w:val="single" w:color="auto" w:sz="4" w:space="0"/>
        <w:right w:val="single" w:color="auto" w:sz="4" w:space="0"/>
      </w:pBdr>
      <w:shd w:val="clear" w:color="000000" w:fill="FFFFFF"/>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48">
    <w:name w:val="xl101"/>
    <w:basedOn w:val="1"/>
    <w:qFormat/>
    <w:uiPriority w:val="0"/>
    <w:pPr>
      <w:widowControl/>
      <w:pBdr>
        <w:left w:val="single" w:color="auto" w:sz="4" w:space="0"/>
        <w:right w:val="single" w:color="auto" w:sz="4" w:space="0"/>
      </w:pBdr>
      <w:shd w:val="clear" w:color="000000" w:fill="FFFFFF"/>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49">
    <w:name w:val="xl102"/>
    <w:basedOn w:val="1"/>
    <w:qFormat/>
    <w:uiPriority w:val="0"/>
    <w:pPr>
      <w:widowControl/>
      <w:pBdr>
        <w:top w:val="single" w:color="auto" w:sz="4" w:space="0"/>
        <w:left w:val="single" w:color="auto" w:sz="4" w:space="0"/>
        <w:right w:val="single" w:color="auto" w:sz="4" w:space="0"/>
      </w:pBdr>
      <w:shd w:val="clear" w:color="000000" w:fill="FFFFFF"/>
      <w:adjustRightInd/>
      <w:snapToGrid/>
      <w:spacing w:before="100" w:beforeAutospacing="1" w:after="100" w:afterAutospacing="1" w:line="240" w:lineRule="auto"/>
      <w:jc w:val="left"/>
      <w:textAlignment w:val="center"/>
    </w:pPr>
    <w:rPr>
      <w:rFonts w:ascii="宋体" w:hAnsi="宋体" w:eastAsia="宋体" w:cs="宋体"/>
      <w:kern w:val="0"/>
      <w:sz w:val="20"/>
      <w:szCs w:val="20"/>
    </w:rPr>
  </w:style>
  <w:style w:type="paragraph" w:customStyle="1" w:styleId="350">
    <w:name w:val="xl103"/>
    <w:basedOn w:val="1"/>
    <w:qFormat/>
    <w:uiPriority w:val="0"/>
    <w:pPr>
      <w:widowControl/>
      <w:pBdr>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left"/>
      <w:textAlignment w:val="center"/>
    </w:pPr>
    <w:rPr>
      <w:rFonts w:ascii="宋体" w:hAnsi="宋体" w:eastAsia="宋体" w:cs="宋体"/>
      <w:kern w:val="0"/>
      <w:sz w:val="20"/>
      <w:szCs w:val="20"/>
    </w:rPr>
  </w:style>
  <w:style w:type="paragraph" w:customStyle="1" w:styleId="351">
    <w:name w:val="xl104"/>
    <w:basedOn w:val="1"/>
    <w:qFormat/>
    <w:uiPriority w:val="0"/>
    <w:pPr>
      <w:widowControl/>
      <w:pBdr>
        <w:top w:val="single" w:color="auto" w:sz="4" w:space="0"/>
        <w:left w:val="single" w:color="auto" w:sz="4" w:space="0"/>
        <w:right w:val="single" w:color="auto" w:sz="4" w:space="0"/>
      </w:pBdr>
      <w:shd w:val="clear" w:color="000000" w:fill="FF0000"/>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52">
    <w:name w:val="xl105"/>
    <w:basedOn w:val="1"/>
    <w:qFormat/>
    <w:uiPriority w:val="0"/>
    <w:pPr>
      <w:widowControl/>
      <w:pBdr>
        <w:left w:val="single" w:color="auto" w:sz="4" w:space="0"/>
        <w:bottom w:val="single" w:color="auto" w:sz="4" w:space="0"/>
        <w:right w:val="single" w:color="auto" w:sz="4" w:space="0"/>
      </w:pBdr>
      <w:shd w:val="clear" w:color="000000" w:fill="FF0000"/>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53">
    <w:name w:val="xl106"/>
    <w:basedOn w:val="1"/>
    <w:qFormat/>
    <w:uiPriority w:val="0"/>
    <w:pPr>
      <w:widowControl/>
      <w:pBdr>
        <w:top w:val="single" w:color="auto" w:sz="4" w:space="0"/>
        <w:left w:val="single" w:color="auto" w:sz="4" w:space="0"/>
      </w:pBdr>
      <w:shd w:val="clear" w:color="000000" w:fill="FFFFFF"/>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54">
    <w:name w:val="xl107"/>
    <w:basedOn w:val="1"/>
    <w:qFormat/>
    <w:uiPriority w:val="0"/>
    <w:pPr>
      <w:widowControl/>
      <w:pBdr>
        <w:left w:val="single" w:color="auto" w:sz="4" w:space="0"/>
      </w:pBdr>
      <w:shd w:val="clear" w:color="000000" w:fill="FFFFFF"/>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55">
    <w:name w:val="xl108"/>
    <w:basedOn w:val="1"/>
    <w:qFormat/>
    <w:uiPriority w:val="0"/>
    <w:pPr>
      <w:widowControl/>
      <w:pBdr>
        <w:left w:val="single" w:color="auto" w:sz="4" w:space="0"/>
        <w:bottom w:val="single" w:color="auto" w:sz="4" w:space="0"/>
      </w:pBdr>
      <w:shd w:val="clear" w:color="000000" w:fill="FFFFFF"/>
      <w:adjustRightInd/>
      <w:snapToGrid/>
      <w:spacing w:before="100" w:beforeAutospacing="1" w:after="100" w:afterAutospacing="1" w:line="240" w:lineRule="auto"/>
      <w:jc w:val="center"/>
      <w:textAlignment w:val="center"/>
    </w:pPr>
    <w:rPr>
      <w:rFonts w:ascii="宋体" w:hAnsi="宋体" w:eastAsia="宋体" w:cs="宋体"/>
      <w:kern w:val="0"/>
      <w:sz w:val="20"/>
      <w:szCs w:val="20"/>
    </w:rPr>
  </w:style>
  <w:style w:type="paragraph" w:customStyle="1" w:styleId="356">
    <w:name w:val="xl109"/>
    <w:basedOn w:val="1"/>
    <w:qFormat/>
    <w:uiPriority w:val="0"/>
    <w:pPr>
      <w:widowControl/>
      <w:pBdr>
        <w:top w:val="single" w:color="auto" w:sz="4" w:space="0"/>
        <w:right w:val="single" w:color="auto" w:sz="4" w:space="0"/>
      </w:pBdr>
      <w:shd w:val="clear" w:color="000000" w:fill="FFFFFF"/>
      <w:adjustRightInd/>
      <w:snapToGrid/>
      <w:spacing w:before="100" w:beforeAutospacing="1" w:after="100" w:afterAutospacing="1" w:line="240" w:lineRule="auto"/>
      <w:jc w:val="left"/>
      <w:textAlignment w:val="center"/>
    </w:pPr>
    <w:rPr>
      <w:rFonts w:ascii="宋体" w:hAnsi="宋体" w:eastAsia="宋体" w:cs="宋体"/>
      <w:kern w:val="0"/>
      <w:sz w:val="20"/>
      <w:szCs w:val="20"/>
    </w:rPr>
  </w:style>
  <w:style w:type="paragraph" w:customStyle="1" w:styleId="357">
    <w:name w:val="xl110"/>
    <w:basedOn w:val="1"/>
    <w:qFormat/>
    <w:uiPriority w:val="0"/>
    <w:pPr>
      <w:widowControl/>
      <w:pBdr>
        <w:right w:val="single" w:color="auto" w:sz="4" w:space="0"/>
      </w:pBdr>
      <w:shd w:val="clear" w:color="000000" w:fill="FFFFFF"/>
      <w:adjustRightInd/>
      <w:snapToGrid/>
      <w:spacing w:before="100" w:beforeAutospacing="1" w:after="100" w:afterAutospacing="1" w:line="240" w:lineRule="auto"/>
      <w:jc w:val="left"/>
      <w:textAlignment w:val="center"/>
    </w:pPr>
    <w:rPr>
      <w:rFonts w:ascii="宋体" w:hAnsi="宋体" w:eastAsia="宋体" w:cs="宋体"/>
      <w:kern w:val="0"/>
      <w:sz w:val="20"/>
      <w:szCs w:val="20"/>
    </w:rPr>
  </w:style>
  <w:style w:type="paragraph" w:customStyle="1" w:styleId="358">
    <w:name w:val="xl111"/>
    <w:basedOn w:val="1"/>
    <w:qFormat/>
    <w:uiPriority w:val="0"/>
    <w:pPr>
      <w:widowControl/>
      <w:pBdr>
        <w:bottom w:val="single" w:color="auto" w:sz="4" w:space="0"/>
        <w:right w:val="single" w:color="auto" w:sz="4" w:space="0"/>
      </w:pBdr>
      <w:shd w:val="clear" w:color="000000" w:fill="FFFFFF"/>
      <w:adjustRightInd/>
      <w:snapToGrid/>
      <w:spacing w:before="100" w:beforeAutospacing="1" w:after="100" w:afterAutospacing="1" w:line="240" w:lineRule="auto"/>
      <w:jc w:val="left"/>
      <w:textAlignment w:val="center"/>
    </w:pPr>
    <w:rPr>
      <w:rFonts w:ascii="宋体" w:hAnsi="宋体" w:eastAsia="宋体" w:cs="宋体"/>
      <w:kern w:val="0"/>
      <w:sz w:val="20"/>
      <w:szCs w:val="20"/>
    </w:rPr>
  </w:style>
  <w:style w:type="paragraph" w:customStyle="1" w:styleId="359">
    <w:name w:val="xl112"/>
    <w:basedOn w:val="1"/>
    <w:qFormat/>
    <w:uiPriority w:val="0"/>
    <w:pPr>
      <w:widowControl/>
      <w:pBdr>
        <w:top w:val="single" w:color="auto" w:sz="4" w:space="0"/>
        <w:left w:val="single" w:color="auto" w:sz="4" w:space="0"/>
        <w:right w:val="single" w:color="auto" w:sz="4" w:space="0"/>
      </w:pBdr>
      <w:shd w:val="clear" w:color="000000" w:fill="FFFFFF"/>
      <w:adjustRightInd/>
      <w:snapToGrid/>
      <w:spacing w:before="100" w:beforeAutospacing="1" w:after="100" w:afterAutospacing="1" w:line="240" w:lineRule="auto"/>
      <w:jc w:val="left"/>
      <w:textAlignment w:val="center"/>
    </w:pPr>
    <w:rPr>
      <w:rFonts w:ascii="宋体" w:hAnsi="宋体" w:eastAsia="宋体" w:cs="宋体"/>
      <w:kern w:val="0"/>
      <w:sz w:val="20"/>
      <w:szCs w:val="20"/>
    </w:rPr>
  </w:style>
  <w:style w:type="paragraph" w:customStyle="1" w:styleId="360">
    <w:name w:val="xl113"/>
    <w:basedOn w:val="1"/>
    <w:qFormat/>
    <w:uiPriority w:val="0"/>
    <w:pPr>
      <w:widowControl/>
      <w:pBdr>
        <w:left w:val="single" w:color="auto" w:sz="4" w:space="0"/>
        <w:right w:val="single" w:color="auto" w:sz="4" w:space="0"/>
      </w:pBdr>
      <w:shd w:val="clear" w:color="000000" w:fill="FFFFFF"/>
      <w:adjustRightInd/>
      <w:snapToGrid/>
      <w:spacing w:before="100" w:beforeAutospacing="1" w:after="100" w:afterAutospacing="1" w:line="240" w:lineRule="auto"/>
      <w:jc w:val="left"/>
      <w:textAlignment w:val="center"/>
    </w:pPr>
    <w:rPr>
      <w:rFonts w:ascii="宋体" w:hAnsi="宋体" w:eastAsia="宋体" w:cs="宋体"/>
      <w:kern w:val="0"/>
      <w:sz w:val="20"/>
      <w:szCs w:val="20"/>
    </w:rPr>
  </w:style>
  <w:style w:type="paragraph" w:customStyle="1" w:styleId="361">
    <w:name w:val="xl114"/>
    <w:basedOn w:val="1"/>
    <w:qFormat/>
    <w:uiPriority w:val="0"/>
    <w:pPr>
      <w:widowControl/>
      <w:pBdr>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jc w:val="left"/>
      <w:textAlignment w:val="center"/>
    </w:pPr>
    <w:rPr>
      <w:rFonts w:ascii="宋体" w:hAnsi="宋体" w:eastAsia="宋体" w:cs="宋体"/>
      <w:kern w:val="0"/>
      <w:sz w:val="20"/>
      <w:szCs w:val="20"/>
    </w:rPr>
  </w:style>
  <w:style w:type="table" w:customStyle="1" w:styleId="362">
    <w:name w:val="网格型6"/>
    <w:basedOn w:val="13"/>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
    <w:name w:val="网格型11"/>
    <w:basedOn w:val="13"/>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64">
    <w:name w:val="表格编号"/>
    <w:basedOn w:val="89"/>
    <w:link w:val="365"/>
    <w:qFormat/>
    <w:uiPriority w:val="0"/>
    <w:pPr>
      <w:tabs>
        <w:tab w:val="right" w:leader="dot" w:pos="8297"/>
      </w:tabs>
      <w:topLinePunct w:val="0"/>
      <w:adjustRightInd/>
      <w:snapToGrid/>
      <w:ind w:left="0" w:leftChars="0" w:firstLine="0" w:firstLineChars="0"/>
      <w:jc w:val="center"/>
    </w:pPr>
  </w:style>
  <w:style w:type="character" w:customStyle="1" w:styleId="365">
    <w:name w:val="表格编号 Char"/>
    <w:link w:val="364"/>
    <w:qFormat/>
    <w:uiPriority w:val="0"/>
    <w:rPr>
      <w:rFonts w:ascii="Times New Roman" w:hAnsi="Times New Roman" w:eastAsia="宋体"/>
      <w:kern w:val="2"/>
      <w:sz w:val="28"/>
      <w:szCs w:val="24"/>
    </w:rPr>
  </w:style>
  <w:style w:type="paragraph" w:customStyle="1" w:styleId="366">
    <w:name w:val="表格样式"/>
    <w:link w:val="367"/>
    <w:qFormat/>
    <w:uiPriority w:val="0"/>
    <w:pPr>
      <w:spacing w:line="288" w:lineRule="auto"/>
      <w:jc w:val="center"/>
    </w:pPr>
    <w:rPr>
      <w:rFonts w:ascii="微软雅黑" w:hAnsi="微软雅黑" w:eastAsia="宋体" w:cs="微软雅黑"/>
      <w:kern w:val="2"/>
      <w:sz w:val="21"/>
      <w:szCs w:val="22"/>
      <w:lang w:val="en-US" w:eastAsia="zh-CN" w:bidi="ar-SA"/>
    </w:rPr>
  </w:style>
  <w:style w:type="character" w:customStyle="1" w:styleId="367">
    <w:name w:val="表格样式 Char"/>
    <w:link w:val="366"/>
    <w:qFormat/>
    <w:uiPriority w:val="0"/>
    <w:rPr>
      <w:rFonts w:ascii="微软雅黑" w:hAnsi="微软雅黑" w:eastAsia="宋体" w:cs="微软雅黑"/>
      <w:kern w:val="2"/>
      <w:sz w:val="21"/>
      <w:szCs w:val="22"/>
    </w:rPr>
  </w:style>
  <w:style w:type="paragraph" w:customStyle="1" w:styleId="368">
    <w:name w:val="图样式"/>
    <w:basedOn w:val="366"/>
    <w:link w:val="369"/>
    <w:qFormat/>
    <w:uiPriority w:val="0"/>
  </w:style>
  <w:style w:type="character" w:customStyle="1" w:styleId="369">
    <w:name w:val="图样式 Char"/>
    <w:link w:val="368"/>
    <w:qFormat/>
    <w:uiPriority w:val="0"/>
    <w:rPr>
      <w:rFonts w:ascii="微软雅黑" w:hAnsi="微软雅黑" w:eastAsia="宋体" w:cs="微软雅黑"/>
      <w:kern w:val="2"/>
      <w:sz w:val="21"/>
      <w:szCs w:val="22"/>
    </w:rPr>
  </w:style>
  <w:style w:type="character" w:customStyle="1" w:styleId="370">
    <w:name w:val="正文文本 字符1"/>
    <w:qFormat/>
    <w:uiPriority w:val="99"/>
    <w:rPr>
      <w:rFonts w:ascii="Times New Roman" w:hAnsi="Times New Roman" w:eastAsia="宋体" w:cs="Times New Roman"/>
      <w:sz w:val="24"/>
      <w:szCs w:val="24"/>
    </w:rPr>
  </w:style>
  <w:style w:type="paragraph" w:customStyle="1" w:styleId="371">
    <w:name w:val="文档正文"/>
    <w:basedOn w:val="1"/>
    <w:link w:val="372"/>
    <w:qFormat/>
    <w:uiPriority w:val="0"/>
    <w:pPr>
      <w:adjustRightInd/>
      <w:snapToGrid/>
      <w:spacing w:before="120" w:after="120"/>
      <w:ind w:firstLine="454" w:firstLineChars="0"/>
    </w:pPr>
    <w:rPr>
      <w:rFonts w:ascii="Times New Roman" w:hAnsi="Times New Roman" w:eastAsia="宋体"/>
      <w:sz w:val="22"/>
      <w:szCs w:val="20"/>
    </w:rPr>
  </w:style>
  <w:style w:type="character" w:customStyle="1" w:styleId="372">
    <w:name w:val="文档正文 Char"/>
    <w:link w:val="371"/>
    <w:qFormat/>
    <w:uiPriority w:val="0"/>
    <w:rPr>
      <w:rFonts w:ascii="Times New Roman" w:hAnsi="Times New Roman" w:eastAsia="宋体" w:cs="Times New Roman"/>
      <w:kern w:val="2"/>
      <w:sz w:val="22"/>
    </w:rPr>
  </w:style>
  <w:style w:type="paragraph" w:customStyle="1" w:styleId="373">
    <w:name w:val="四级标题"/>
    <w:basedOn w:val="1"/>
    <w:qFormat/>
    <w:uiPriority w:val="0"/>
    <w:pPr>
      <w:keepNext/>
      <w:keepLines/>
      <w:tabs>
        <w:tab w:val="left" w:pos="1620"/>
      </w:tabs>
      <w:adjustRightInd/>
      <w:snapToGrid/>
      <w:ind w:firstLine="0" w:firstLineChars="0"/>
      <w:outlineLvl w:val="3"/>
    </w:pPr>
    <w:rPr>
      <w:rFonts w:ascii="Times New Roman" w:hAnsi="Times New Roman" w:eastAsia="宋体"/>
      <w:sz w:val="21"/>
      <w:szCs w:val="20"/>
    </w:rPr>
  </w:style>
  <w:style w:type="character" w:customStyle="1" w:styleId="374">
    <w:name w:val="！正文（四号字） Char"/>
    <w:link w:val="375"/>
    <w:qFormat/>
    <w:uiPriority w:val="0"/>
    <w:rPr>
      <w:sz w:val="24"/>
      <w:szCs w:val="28"/>
    </w:rPr>
  </w:style>
  <w:style w:type="paragraph" w:customStyle="1" w:styleId="375">
    <w:name w:val="！正文（四号字）"/>
    <w:link w:val="374"/>
    <w:qFormat/>
    <w:uiPriority w:val="0"/>
    <w:pPr>
      <w:snapToGrid w:val="0"/>
      <w:spacing w:line="360" w:lineRule="auto"/>
      <w:ind w:firstLine="200" w:firstLineChars="200"/>
      <w:jc w:val="both"/>
    </w:pPr>
    <w:rPr>
      <w:rFonts w:ascii="等线" w:hAnsi="等线" w:eastAsia="等线" w:cs="Times New Roman"/>
      <w:sz w:val="24"/>
      <w:szCs w:val="28"/>
      <w:lang w:val="en-US" w:eastAsia="zh-CN" w:bidi="ar-SA"/>
    </w:rPr>
  </w:style>
  <w:style w:type="paragraph" w:customStyle="1" w:styleId="376">
    <w:name w:val="列表段落1"/>
    <w:basedOn w:val="1"/>
    <w:link w:val="377"/>
    <w:qFormat/>
    <w:uiPriority w:val="34"/>
    <w:pPr>
      <w:autoSpaceDE w:val="0"/>
      <w:autoSpaceDN w:val="0"/>
      <w:ind w:firstLine="420"/>
      <w:jc w:val="left"/>
    </w:pPr>
    <w:rPr>
      <w:rFonts w:ascii="Times New Roman" w:hAnsi="Times New Roman" w:eastAsia="宋体"/>
      <w:kern w:val="0"/>
      <w:sz w:val="21"/>
    </w:rPr>
  </w:style>
  <w:style w:type="character" w:customStyle="1" w:styleId="377">
    <w:name w:val="列表段落 字符1"/>
    <w:link w:val="376"/>
    <w:qFormat/>
    <w:uiPriority w:val="34"/>
    <w:rPr>
      <w:rFonts w:ascii="Times New Roman" w:hAnsi="Times New Roman" w:eastAsia="宋体" w:cs="Times New Roman"/>
      <w:sz w:val="21"/>
      <w:szCs w:val="21"/>
    </w:rPr>
  </w:style>
  <w:style w:type="paragraph" w:customStyle="1" w:styleId="378">
    <w:name w:val="Item List"/>
    <w:link w:val="525"/>
    <w:qFormat/>
    <w:uiPriority w:val="0"/>
    <w:pPr>
      <w:numPr>
        <w:ilvl w:val="0"/>
        <w:numId w:val="17"/>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379">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380">
    <w:name w:val="Sub Item List"/>
    <w:basedOn w:val="1"/>
    <w:qFormat/>
    <w:uiPriority w:val="0"/>
    <w:pPr>
      <w:widowControl/>
      <w:numPr>
        <w:ilvl w:val="0"/>
        <w:numId w:val="18"/>
      </w:numPr>
      <w:topLinePunct/>
      <w:spacing w:before="80" w:after="80" w:line="240" w:lineRule="atLeast"/>
      <w:ind w:firstLine="0" w:firstLineChars="0"/>
      <w:jc w:val="left"/>
    </w:pPr>
    <w:rPr>
      <w:rFonts w:hint="eastAsia" w:ascii="Times New Roman" w:hAnsi="Times New Roman" w:eastAsia="宋体" w:cs="Arial"/>
      <w:sz w:val="21"/>
    </w:rPr>
  </w:style>
  <w:style w:type="paragraph" w:customStyle="1" w:styleId="381">
    <w:name w:val="Third Level Item List"/>
    <w:basedOn w:val="1"/>
    <w:qFormat/>
    <w:uiPriority w:val="0"/>
    <w:pPr>
      <w:widowControl/>
      <w:numPr>
        <w:ilvl w:val="1"/>
        <w:numId w:val="18"/>
      </w:numPr>
      <w:topLinePunct/>
      <w:spacing w:before="80" w:after="80" w:line="240" w:lineRule="atLeast"/>
      <w:ind w:firstLine="0" w:firstLineChars="0"/>
      <w:jc w:val="left"/>
    </w:pPr>
    <w:rPr>
      <w:rFonts w:hint="eastAsia" w:ascii="Times New Roman" w:hAnsi="Times New Roman" w:eastAsia="宋体" w:cs="Arial"/>
      <w:sz w:val="21"/>
    </w:rPr>
  </w:style>
  <w:style w:type="paragraph" w:customStyle="1" w:styleId="382">
    <w:name w:val="Fourth Level Item List"/>
    <w:basedOn w:val="1"/>
    <w:qFormat/>
    <w:uiPriority w:val="0"/>
    <w:pPr>
      <w:widowControl/>
      <w:numPr>
        <w:ilvl w:val="2"/>
        <w:numId w:val="18"/>
      </w:numPr>
      <w:topLinePunct/>
      <w:spacing w:before="80" w:after="80" w:line="240" w:lineRule="atLeast"/>
      <w:ind w:firstLine="0" w:firstLineChars="0"/>
      <w:jc w:val="left"/>
    </w:pPr>
    <w:rPr>
      <w:rFonts w:hint="eastAsia" w:ascii="Times New Roman" w:hAnsi="Times New Roman" w:eastAsia="宋体" w:cs="Arial"/>
      <w:sz w:val="21"/>
    </w:rPr>
  </w:style>
  <w:style w:type="paragraph" w:customStyle="1" w:styleId="383">
    <w:name w:val="Figure"/>
    <w:basedOn w:val="1"/>
    <w:next w:val="1"/>
    <w:qFormat/>
    <w:uiPriority w:val="0"/>
    <w:pPr>
      <w:keepNext/>
      <w:widowControl/>
      <w:topLinePunct/>
      <w:spacing w:before="160" w:after="160" w:line="240" w:lineRule="atLeast"/>
      <w:ind w:left="1701" w:firstLine="0" w:firstLineChars="0"/>
      <w:jc w:val="left"/>
    </w:pPr>
    <w:rPr>
      <w:rFonts w:hint="eastAsia" w:ascii="Times New Roman" w:hAnsi="Times New Roman" w:eastAsia="宋体" w:cs="Arial"/>
      <w:sz w:val="21"/>
    </w:rPr>
  </w:style>
  <w:style w:type="paragraph" w:customStyle="1" w:styleId="384">
    <w:name w:val="Figure Description"/>
    <w:next w:val="383"/>
    <w:qFormat/>
    <w:uiPriority w:val="0"/>
    <w:pPr>
      <w:keepNext/>
      <w:adjustRightInd w:val="0"/>
      <w:snapToGrid w:val="0"/>
      <w:spacing w:before="320" w:after="80" w:line="240" w:lineRule="atLeast"/>
      <w:ind w:left="1701"/>
    </w:pPr>
    <w:rPr>
      <w:rFonts w:ascii="Times New Roman" w:hAnsi="Times New Roman" w:eastAsia="黑体" w:cs="Arial"/>
      <w:spacing w:val="-4"/>
      <w:kern w:val="2"/>
      <w:sz w:val="21"/>
      <w:szCs w:val="21"/>
      <w:lang w:val="en-US" w:eastAsia="zh-CN" w:bidi="ar-SA"/>
    </w:rPr>
  </w:style>
  <w:style w:type="paragraph" w:customStyle="1" w:styleId="385">
    <w:name w:val="Step"/>
    <w:basedOn w:val="1"/>
    <w:qFormat/>
    <w:uiPriority w:val="0"/>
    <w:pPr>
      <w:widowControl/>
      <w:tabs>
        <w:tab w:val="left" w:pos="1701"/>
      </w:tabs>
      <w:topLinePunct/>
      <w:spacing w:before="160" w:after="160" w:line="240" w:lineRule="atLeast"/>
      <w:ind w:left="1701" w:hanging="159" w:firstLineChars="0"/>
      <w:jc w:val="left"/>
    </w:pPr>
    <w:rPr>
      <w:rFonts w:hint="eastAsia" w:ascii="Times New Roman" w:hAnsi="Times New Roman" w:eastAsia="宋体" w:cs="Arial"/>
      <w:snapToGrid w:val="0"/>
      <w:kern w:val="0"/>
      <w:sz w:val="21"/>
    </w:rPr>
  </w:style>
  <w:style w:type="paragraph" w:customStyle="1" w:styleId="386">
    <w:name w:val="Table Description"/>
    <w:basedOn w:val="1"/>
    <w:next w:val="1"/>
    <w:qFormat/>
    <w:uiPriority w:val="0"/>
    <w:pPr>
      <w:keepNext/>
      <w:widowControl/>
      <w:topLinePunct/>
      <w:spacing w:before="320" w:after="80" w:line="240" w:lineRule="atLeast"/>
      <w:ind w:left="1701" w:firstLine="0" w:firstLineChars="0"/>
      <w:jc w:val="left"/>
    </w:pPr>
    <w:rPr>
      <w:rFonts w:hint="eastAsia" w:ascii="Times New Roman" w:hAnsi="Times New Roman" w:eastAsia="黑体" w:cs="Arial"/>
      <w:spacing w:val="-4"/>
      <w:sz w:val="21"/>
    </w:rPr>
  </w:style>
  <w:style w:type="paragraph" w:customStyle="1" w:styleId="387">
    <w:name w:val="Heading Left"/>
    <w:basedOn w:val="1"/>
    <w:qFormat/>
    <w:uiPriority w:val="0"/>
    <w:pPr>
      <w:widowControl/>
      <w:topLinePunct/>
      <w:spacing w:line="240" w:lineRule="atLeast"/>
      <w:ind w:firstLine="0" w:firstLineChars="0"/>
      <w:jc w:val="left"/>
    </w:pPr>
    <w:rPr>
      <w:rFonts w:hint="eastAsia" w:ascii="Times New Roman" w:hAnsi="Times New Roman" w:eastAsia="宋体" w:cs="Arial"/>
      <w:sz w:val="20"/>
      <w:szCs w:val="20"/>
    </w:rPr>
  </w:style>
  <w:style w:type="paragraph" w:customStyle="1" w:styleId="388">
    <w:name w:val="Heading Right"/>
    <w:basedOn w:val="1"/>
    <w:link w:val="389"/>
    <w:qFormat/>
    <w:uiPriority w:val="0"/>
    <w:pPr>
      <w:widowControl/>
      <w:topLinePunct/>
      <w:spacing w:line="240" w:lineRule="atLeast"/>
      <w:ind w:firstLine="0" w:firstLineChars="0"/>
      <w:jc w:val="right"/>
    </w:pPr>
    <w:rPr>
      <w:rFonts w:ascii="Times New Roman" w:hAnsi="Times New Roman" w:eastAsia="宋体" w:cs="Arial"/>
      <w:sz w:val="20"/>
      <w:szCs w:val="20"/>
    </w:rPr>
  </w:style>
  <w:style w:type="character" w:customStyle="1" w:styleId="389">
    <w:name w:val="Heading Right Char"/>
    <w:link w:val="388"/>
    <w:qFormat/>
    <w:uiPriority w:val="0"/>
    <w:rPr>
      <w:rFonts w:ascii="Times New Roman" w:hAnsi="Times New Roman" w:eastAsia="宋体" w:cs="Arial"/>
      <w:kern w:val="2"/>
    </w:rPr>
  </w:style>
  <w:style w:type="paragraph" w:customStyle="1" w:styleId="390">
    <w:name w:val="Heading Middle"/>
    <w:qFormat/>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391">
    <w:name w:val="Item Step"/>
    <w:qFormat/>
    <w:uiPriority w:val="0"/>
    <w:pPr>
      <w:numPr>
        <w:ilvl w:val="0"/>
        <w:numId w:val="19"/>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392">
    <w:name w:val="Sub Item Step"/>
    <w:qFormat/>
    <w:uiPriority w:val="0"/>
    <w:pPr>
      <w:numPr>
        <w:ilvl w:val="1"/>
        <w:numId w:val="19"/>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393">
    <w:name w:val="Third Level Item Step"/>
    <w:qFormat/>
    <w:uiPriority w:val="0"/>
    <w:pPr>
      <w:numPr>
        <w:ilvl w:val="2"/>
        <w:numId w:val="19"/>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394">
    <w:name w:val="Fourth Level Item Step"/>
    <w:qFormat/>
    <w:uiPriority w:val="0"/>
    <w:pPr>
      <w:numPr>
        <w:ilvl w:val="3"/>
        <w:numId w:val="19"/>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395">
    <w:name w:val="修订2"/>
    <w:unhideWhenUsed/>
    <w:qFormat/>
    <w:uiPriority w:val="99"/>
    <w:rPr>
      <w:rFonts w:ascii="Times New Roman" w:hAnsi="Times New Roman" w:eastAsia="宋体" w:cs="Times New Roman"/>
      <w:kern w:val="2"/>
      <w:sz w:val="28"/>
      <w:szCs w:val="24"/>
      <w:lang w:val="en-US" w:eastAsia="zh-CN" w:bidi="ar-SA"/>
    </w:rPr>
  </w:style>
  <w:style w:type="paragraph" w:customStyle="1" w:styleId="396">
    <w:name w:val="自定义"/>
    <w:basedOn w:val="1"/>
    <w:link w:val="397"/>
    <w:qFormat/>
    <w:uiPriority w:val="0"/>
    <w:pPr>
      <w:numPr>
        <w:ilvl w:val="0"/>
        <w:numId w:val="20"/>
      </w:numPr>
      <w:ind w:firstLine="0" w:firstLineChars="0"/>
    </w:pPr>
  </w:style>
  <w:style w:type="character" w:customStyle="1" w:styleId="397">
    <w:name w:val="自定义 字元"/>
    <w:link w:val="396"/>
    <w:qFormat/>
    <w:uiPriority w:val="0"/>
    <w:rPr>
      <w:rFonts w:ascii="等线" w:hAnsi="等线" w:eastAsia="仿宋"/>
      <w:kern w:val="2"/>
      <w:sz w:val="28"/>
      <w:szCs w:val="21"/>
    </w:rPr>
  </w:style>
  <w:style w:type="character" w:customStyle="1" w:styleId="398">
    <w:name w:val="agent-marker--x9kyw"/>
    <w:qFormat/>
    <w:uiPriority w:val="0"/>
  </w:style>
  <w:style w:type="paragraph" w:customStyle="1" w:styleId="399">
    <w:name w:val="图片"/>
    <w:basedOn w:val="1"/>
    <w:link w:val="400"/>
    <w:qFormat/>
    <w:uiPriority w:val="0"/>
    <w:pPr>
      <w:ind w:firstLine="0" w:firstLineChars="0"/>
      <w:jc w:val="center"/>
    </w:pPr>
  </w:style>
  <w:style w:type="character" w:customStyle="1" w:styleId="400">
    <w:name w:val="图片 字元"/>
    <w:link w:val="399"/>
    <w:qFormat/>
    <w:uiPriority w:val="0"/>
    <w:rPr>
      <w:rFonts w:ascii="等线" w:hAnsi="等线" w:eastAsia="仿宋"/>
      <w:kern w:val="2"/>
      <w:sz w:val="28"/>
      <w:szCs w:val="21"/>
    </w:rPr>
  </w:style>
  <w:style w:type="character" w:customStyle="1" w:styleId="401">
    <w:name w:val="未处理的提及2"/>
    <w:unhideWhenUsed/>
    <w:qFormat/>
    <w:uiPriority w:val="99"/>
    <w:rPr>
      <w:color w:val="605E5C"/>
      <w:shd w:val="clear" w:color="auto" w:fill="E1DFDD"/>
    </w:rPr>
  </w:style>
  <w:style w:type="paragraph" w:customStyle="1" w:styleId="402">
    <w:name w:val="_一级"/>
    <w:qFormat/>
    <w:uiPriority w:val="0"/>
    <w:pPr>
      <w:adjustRightInd w:val="0"/>
      <w:snapToGrid w:val="0"/>
      <w:spacing w:line="520" w:lineRule="exact"/>
      <w:ind w:firstLine="200" w:firstLineChars="200"/>
      <w:jc w:val="both"/>
    </w:pPr>
    <w:rPr>
      <w:rFonts w:ascii="Calibri" w:hAnsi="Calibri" w:eastAsia="Calibri" w:cs="Times New Roman"/>
      <w:sz w:val="22"/>
      <w:szCs w:val="22"/>
      <w:lang w:val="ru-RU" w:eastAsia="en-US" w:bidi="ar-SA"/>
    </w:rPr>
  </w:style>
  <w:style w:type="character" w:customStyle="1" w:styleId="403">
    <w:name w:val="未处理的提及3"/>
    <w:unhideWhenUsed/>
    <w:qFormat/>
    <w:uiPriority w:val="99"/>
    <w:rPr>
      <w:color w:val="605E5C"/>
      <w:shd w:val="clear" w:color="auto" w:fill="E1DFDD"/>
    </w:rPr>
  </w:style>
  <w:style w:type="character" w:customStyle="1" w:styleId="404">
    <w:name w:val="未处理的提及4"/>
    <w:unhideWhenUsed/>
    <w:qFormat/>
    <w:uiPriority w:val="99"/>
    <w:rPr>
      <w:color w:val="605E5C"/>
      <w:shd w:val="clear" w:color="auto" w:fill="E1DFDD"/>
    </w:rPr>
  </w:style>
  <w:style w:type="paragraph" w:customStyle="1" w:styleId="405">
    <w:name w:val="TOC 标题21"/>
    <w:basedOn w:val="2"/>
    <w:next w:val="1"/>
    <w:unhideWhenUsed/>
    <w:qFormat/>
    <w:uiPriority w:val="39"/>
    <w:pPr>
      <w:numPr>
        <w:numId w:val="0"/>
      </w:numPr>
      <w:adjustRightInd/>
      <w:snapToGrid/>
      <w:spacing w:before="480" w:line="276" w:lineRule="auto"/>
      <w:outlineLvl w:val="9"/>
    </w:pPr>
    <w:rPr>
      <w:rFonts w:ascii="等线 Light" w:hAnsi="等线 Light" w:eastAsia="等线 Light"/>
      <w:b/>
      <w:bCs/>
      <w:color w:val="2E75B5"/>
      <w:kern w:val="2"/>
      <w:sz w:val="24"/>
      <w:szCs w:val="28"/>
    </w:rPr>
  </w:style>
  <w:style w:type="character" w:customStyle="1" w:styleId="406">
    <w:name w:val="不明显强调21"/>
    <w:qFormat/>
    <w:uiPriority w:val="19"/>
    <w:rPr>
      <w:i/>
      <w:iCs/>
      <w:color w:val="7F7F7F"/>
    </w:rPr>
  </w:style>
  <w:style w:type="character" w:customStyle="1" w:styleId="407">
    <w:name w:val="明显强调21"/>
    <w:qFormat/>
    <w:uiPriority w:val="21"/>
    <w:rPr>
      <w:b/>
      <w:bCs/>
      <w:i/>
      <w:iCs/>
      <w:color w:val="5B9BD5"/>
    </w:rPr>
  </w:style>
  <w:style w:type="character" w:customStyle="1" w:styleId="408">
    <w:name w:val="不明显参考21"/>
    <w:qFormat/>
    <w:uiPriority w:val="31"/>
    <w:rPr>
      <w:smallCaps/>
      <w:color w:val="ED7D31"/>
      <w:u w:val="single"/>
    </w:rPr>
  </w:style>
  <w:style w:type="character" w:customStyle="1" w:styleId="409">
    <w:name w:val="明显参考21"/>
    <w:qFormat/>
    <w:uiPriority w:val="32"/>
    <w:rPr>
      <w:b/>
      <w:bCs/>
      <w:smallCaps/>
      <w:color w:val="ED7D31"/>
      <w:spacing w:val="5"/>
      <w:u w:val="single"/>
    </w:rPr>
  </w:style>
  <w:style w:type="character" w:customStyle="1" w:styleId="410">
    <w:name w:val="书籍标题21"/>
    <w:qFormat/>
    <w:uiPriority w:val="33"/>
    <w:rPr>
      <w:b/>
      <w:bCs/>
      <w:smallCaps/>
      <w:spacing w:val="5"/>
    </w:rPr>
  </w:style>
  <w:style w:type="paragraph" w:customStyle="1" w:styleId="411">
    <w:name w:val="修订21"/>
    <w:unhideWhenUsed/>
    <w:qFormat/>
    <w:uiPriority w:val="99"/>
    <w:rPr>
      <w:rFonts w:ascii="Times New Roman" w:hAnsi="Times New Roman" w:eastAsia="宋体" w:cs="Times New Roman"/>
      <w:kern w:val="2"/>
      <w:sz w:val="28"/>
      <w:szCs w:val="24"/>
      <w:lang w:val="en-US" w:eastAsia="zh-CN" w:bidi="ar-SA"/>
    </w:rPr>
  </w:style>
  <w:style w:type="character" w:customStyle="1" w:styleId="412">
    <w:name w:val="未处理的提及41"/>
    <w:unhideWhenUsed/>
    <w:qFormat/>
    <w:uiPriority w:val="99"/>
    <w:rPr>
      <w:color w:val="605E5C"/>
      <w:shd w:val="clear" w:color="auto" w:fill="E1DFDD"/>
    </w:rPr>
  </w:style>
  <w:style w:type="paragraph" w:customStyle="1" w:styleId="413">
    <w:name w:val="TOC 标题3"/>
    <w:basedOn w:val="2"/>
    <w:next w:val="1"/>
    <w:unhideWhenUsed/>
    <w:qFormat/>
    <w:uiPriority w:val="39"/>
    <w:pPr>
      <w:numPr>
        <w:numId w:val="0"/>
      </w:numPr>
      <w:adjustRightInd/>
      <w:snapToGrid/>
      <w:spacing w:before="480" w:line="276" w:lineRule="auto"/>
      <w:outlineLvl w:val="9"/>
    </w:pPr>
    <w:rPr>
      <w:rFonts w:ascii="等线 Light" w:hAnsi="等线 Light" w:eastAsia="等线 Light"/>
      <w:b/>
      <w:bCs/>
      <w:color w:val="2E75B5"/>
      <w:kern w:val="2"/>
      <w:sz w:val="24"/>
      <w:szCs w:val="28"/>
    </w:rPr>
  </w:style>
  <w:style w:type="character" w:customStyle="1" w:styleId="414">
    <w:name w:val="不明显强调3"/>
    <w:qFormat/>
    <w:uiPriority w:val="19"/>
    <w:rPr>
      <w:i/>
      <w:iCs/>
      <w:color w:val="7F7F7F"/>
    </w:rPr>
  </w:style>
  <w:style w:type="character" w:customStyle="1" w:styleId="415">
    <w:name w:val="明显强调3"/>
    <w:qFormat/>
    <w:uiPriority w:val="21"/>
    <w:rPr>
      <w:b/>
      <w:bCs/>
      <w:i/>
      <w:iCs/>
      <w:color w:val="5B9BD5"/>
    </w:rPr>
  </w:style>
  <w:style w:type="character" w:customStyle="1" w:styleId="416">
    <w:name w:val="不明显参考3"/>
    <w:qFormat/>
    <w:uiPriority w:val="31"/>
    <w:rPr>
      <w:smallCaps/>
      <w:color w:val="ED7D31"/>
      <w:u w:val="single"/>
    </w:rPr>
  </w:style>
  <w:style w:type="character" w:customStyle="1" w:styleId="417">
    <w:name w:val="明显参考3"/>
    <w:qFormat/>
    <w:uiPriority w:val="32"/>
    <w:rPr>
      <w:b/>
      <w:bCs/>
      <w:smallCaps/>
      <w:color w:val="ED7D31"/>
      <w:spacing w:val="5"/>
      <w:u w:val="single"/>
    </w:rPr>
  </w:style>
  <w:style w:type="character" w:customStyle="1" w:styleId="418">
    <w:name w:val="书籍标题3"/>
    <w:qFormat/>
    <w:uiPriority w:val="33"/>
    <w:rPr>
      <w:b/>
      <w:bCs/>
      <w:smallCaps/>
      <w:spacing w:val="5"/>
    </w:rPr>
  </w:style>
  <w:style w:type="paragraph" w:customStyle="1" w:styleId="419">
    <w:name w:val="修订3"/>
    <w:unhideWhenUsed/>
    <w:qFormat/>
    <w:uiPriority w:val="99"/>
    <w:rPr>
      <w:rFonts w:ascii="Times New Roman" w:hAnsi="Times New Roman" w:eastAsia="宋体" w:cs="Times New Roman"/>
      <w:kern w:val="2"/>
      <w:sz w:val="28"/>
      <w:szCs w:val="24"/>
      <w:lang w:val="en-US" w:eastAsia="zh-CN" w:bidi="ar-SA"/>
    </w:rPr>
  </w:style>
  <w:style w:type="character" w:customStyle="1" w:styleId="420">
    <w:name w:val="未处理的提及5"/>
    <w:unhideWhenUsed/>
    <w:qFormat/>
    <w:uiPriority w:val="99"/>
    <w:rPr>
      <w:color w:val="605E5C"/>
      <w:shd w:val="clear" w:color="auto" w:fill="E1DFDD"/>
    </w:rPr>
  </w:style>
  <w:style w:type="character" w:customStyle="1" w:styleId="421">
    <w:name w:val="未处理的提及6"/>
    <w:unhideWhenUsed/>
    <w:qFormat/>
    <w:uiPriority w:val="99"/>
    <w:rPr>
      <w:color w:val="605E5C"/>
      <w:shd w:val="clear" w:color="auto" w:fill="E1DFDD"/>
    </w:rPr>
  </w:style>
  <w:style w:type="paragraph" w:customStyle="1" w:styleId="422">
    <w:name w:val="msonormal"/>
    <w:basedOn w:val="1"/>
    <w:qFormat/>
    <w:uiPriority w:val="0"/>
    <w:pPr>
      <w:widowControl/>
      <w:adjustRightInd/>
      <w:snapToGrid/>
      <w:spacing w:before="100" w:beforeAutospacing="1" w:after="100" w:afterAutospacing="1" w:line="240" w:lineRule="auto"/>
      <w:ind w:firstLine="0" w:firstLineChars="0"/>
      <w:jc w:val="left"/>
    </w:pPr>
    <w:rPr>
      <w:rFonts w:ascii="宋体" w:hAnsi="宋体" w:eastAsia="宋体" w:cs="宋体"/>
      <w:kern w:val="0"/>
      <w:sz w:val="24"/>
      <w:szCs w:val="24"/>
    </w:rPr>
  </w:style>
  <w:style w:type="paragraph" w:customStyle="1" w:styleId="423">
    <w:name w:val="font0"/>
    <w:basedOn w:val="1"/>
    <w:qFormat/>
    <w:uiPriority w:val="0"/>
    <w:pPr>
      <w:widowControl/>
      <w:adjustRightInd/>
      <w:snapToGrid/>
      <w:spacing w:before="100" w:beforeAutospacing="1" w:after="100" w:afterAutospacing="1" w:line="240" w:lineRule="auto"/>
      <w:ind w:firstLine="0" w:firstLineChars="0"/>
      <w:jc w:val="left"/>
    </w:pPr>
    <w:rPr>
      <w:rFonts w:eastAsia="等线" w:cs="宋体"/>
      <w:color w:val="000000"/>
      <w:kern w:val="0"/>
      <w:sz w:val="22"/>
      <w:szCs w:val="22"/>
    </w:rPr>
  </w:style>
  <w:style w:type="paragraph" w:customStyle="1" w:styleId="424">
    <w:name w:val="xl63"/>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line="240" w:lineRule="auto"/>
      <w:ind w:firstLine="0" w:firstLineChars="0"/>
      <w:jc w:val="left"/>
    </w:pPr>
    <w:rPr>
      <w:rFonts w:ascii="宋体" w:hAnsi="宋体" w:eastAsia="宋体" w:cs="宋体"/>
      <w:kern w:val="0"/>
      <w:sz w:val="24"/>
      <w:szCs w:val="24"/>
    </w:rPr>
  </w:style>
  <w:style w:type="paragraph" w:customStyle="1" w:styleId="425">
    <w:name w:val="xl64"/>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line="240" w:lineRule="auto"/>
      <w:ind w:firstLine="0" w:firstLineChars="0"/>
      <w:jc w:val="left"/>
    </w:pPr>
    <w:rPr>
      <w:rFonts w:ascii="宋体" w:hAnsi="宋体" w:eastAsia="宋体" w:cs="宋体"/>
      <w:b/>
      <w:bCs/>
      <w:kern w:val="0"/>
      <w:sz w:val="24"/>
      <w:szCs w:val="24"/>
    </w:rPr>
  </w:style>
  <w:style w:type="paragraph" w:customStyle="1" w:styleId="426">
    <w:name w:val="段"/>
    <w:qFormat/>
    <w:uiPriority w:val="0"/>
    <w:pPr>
      <w:tabs>
        <w:tab w:val="center" w:pos="4201"/>
        <w:tab w:val="right" w:leader="dot" w:pos="9298"/>
      </w:tabs>
      <w:autoSpaceDE w:val="0"/>
      <w:autoSpaceDN w:val="0"/>
      <w:ind w:firstLine="420" w:firstLineChars="200"/>
      <w:jc w:val="both"/>
    </w:pPr>
    <w:rPr>
      <w:rFonts w:ascii="宋体fal" w:hAnsi="Times New Roman" w:eastAsia="宋体" w:cs="Times New Roman"/>
      <w:sz w:val="21"/>
      <w:szCs w:val="21"/>
      <w:lang w:val="en-US" w:eastAsia="zh-CN" w:bidi="ar-SA"/>
    </w:rPr>
  </w:style>
  <w:style w:type="character" w:customStyle="1" w:styleId="427">
    <w:name w:val="未处理的提及7"/>
    <w:unhideWhenUsed/>
    <w:qFormat/>
    <w:uiPriority w:val="99"/>
    <w:rPr>
      <w:color w:val="605E5C"/>
      <w:shd w:val="clear" w:color="auto" w:fill="E1DFDD"/>
    </w:rPr>
  </w:style>
  <w:style w:type="table" w:customStyle="1" w:styleId="428">
    <w:name w:val="网格型1"/>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29">
    <w:name w:val="修订4"/>
    <w:semiHidden/>
    <w:qFormat/>
    <w:uiPriority w:val="99"/>
    <w:rPr>
      <w:rFonts w:ascii="等线" w:hAnsi="等线" w:eastAsia="仿宋" w:cs="Times New Roman"/>
      <w:kern w:val="2"/>
      <w:sz w:val="28"/>
      <w:szCs w:val="21"/>
      <w:lang w:val="en-US" w:eastAsia="zh-CN" w:bidi="ar-SA"/>
    </w:rPr>
  </w:style>
  <w:style w:type="paragraph" w:customStyle="1" w:styleId="430">
    <w:name w:val="6-表格样式"/>
    <w:link w:val="431"/>
    <w:qFormat/>
    <w:uiPriority w:val="0"/>
    <w:pPr>
      <w:adjustRightInd w:val="0"/>
      <w:snapToGrid w:val="0"/>
      <w:spacing w:beforeLines="25" w:afterLines="25"/>
      <w:jc w:val="center"/>
    </w:pPr>
    <w:rPr>
      <w:rFonts w:ascii="Times New Roman" w:hAnsi="Times New Roman" w:eastAsia="仿宋_GB2312" w:cs="宋体"/>
      <w:bCs/>
      <w:kern w:val="2"/>
      <w:sz w:val="24"/>
      <w:lang w:val="en-US" w:eastAsia="zh-CN" w:bidi="ar-SA"/>
    </w:rPr>
  </w:style>
  <w:style w:type="character" w:customStyle="1" w:styleId="431">
    <w:name w:val="6-表格样式 字符"/>
    <w:link w:val="430"/>
    <w:qFormat/>
    <w:uiPriority w:val="0"/>
    <w:rPr>
      <w:rFonts w:ascii="Times New Roman" w:hAnsi="Times New Roman" w:eastAsia="仿宋_GB2312" w:cs="宋体"/>
      <w:bCs/>
      <w:kern w:val="2"/>
      <w:sz w:val="24"/>
    </w:rPr>
  </w:style>
  <w:style w:type="character" w:customStyle="1" w:styleId="432">
    <w:name w:val="纯文本 字符1"/>
    <w:qFormat/>
    <w:uiPriority w:val="99"/>
    <w:rPr>
      <w:rFonts w:ascii="宋体" w:hAnsi="Courier New" w:eastAsia="仿宋_GB2312" w:cs="Times New Roman"/>
      <w:snapToGrid w:val="0"/>
      <w:color w:val="000000"/>
      <w:sz w:val="28"/>
      <w:szCs w:val="24"/>
    </w:rPr>
  </w:style>
  <w:style w:type="character" w:customStyle="1" w:styleId="433">
    <w:name w:val="列出段落 字符2"/>
    <w:qFormat/>
    <w:uiPriority w:val="34"/>
    <w:rPr>
      <w:kern w:val="2"/>
      <w:sz w:val="24"/>
    </w:rPr>
  </w:style>
  <w:style w:type="paragraph" w:customStyle="1" w:styleId="434">
    <w:name w:val="表格样式4"/>
    <w:basedOn w:val="1"/>
    <w:link w:val="435"/>
    <w:qFormat/>
    <w:uiPriority w:val="0"/>
    <w:pPr>
      <w:spacing w:line="240" w:lineRule="auto"/>
      <w:ind w:firstLine="0" w:firstLineChars="0"/>
      <w:jc w:val="center"/>
    </w:pPr>
    <w:rPr>
      <w:rFonts w:ascii="Times New Roman" w:hAnsi="Times New Roman" w:eastAsia="宋体" w:cs="宋体"/>
      <w:bCs/>
      <w:snapToGrid w:val="0"/>
      <w:color w:val="000000"/>
      <w:kern w:val="0"/>
      <w:sz w:val="24"/>
      <w:szCs w:val="20"/>
    </w:rPr>
  </w:style>
  <w:style w:type="character" w:customStyle="1" w:styleId="435">
    <w:name w:val="表格样式4 字符"/>
    <w:link w:val="434"/>
    <w:qFormat/>
    <w:uiPriority w:val="0"/>
    <w:rPr>
      <w:rFonts w:ascii="Times New Roman" w:hAnsi="Times New Roman" w:eastAsia="宋体" w:cs="宋体"/>
      <w:bCs/>
      <w:snapToGrid w:val="0"/>
      <w:color w:val="000000"/>
      <w:sz w:val="24"/>
    </w:rPr>
  </w:style>
  <w:style w:type="paragraph" w:customStyle="1" w:styleId="436">
    <w:name w:val="表格式"/>
    <w:basedOn w:val="1"/>
    <w:qFormat/>
    <w:uiPriority w:val="0"/>
    <w:pPr>
      <w:spacing w:line="240" w:lineRule="auto"/>
      <w:ind w:firstLine="0" w:firstLineChars="0"/>
      <w:jc w:val="center"/>
    </w:pPr>
    <w:rPr>
      <w:rFonts w:ascii="Times New Roman" w:hAnsi="Times New Roman" w:eastAsia="仿宋_GB2312" w:cs="宋体"/>
      <w:bCs/>
      <w:snapToGrid w:val="0"/>
      <w:color w:val="000000"/>
      <w:kern w:val="0"/>
      <w:sz w:val="24"/>
      <w:szCs w:val="20"/>
    </w:rPr>
  </w:style>
  <w:style w:type="character" w:customStyle="1" w:styleId="437">
    <w:name w:val="未处理的提及8"/>
    <w:unhideWhenUsed/>
    <w:qFormat/>
    <w:uiPriority w:val="99"/>
    <w:rPr>
      <w:color w:val="605E5C"/>
      <w:shd w:val="clear" w:color="auto" w:fill="E1DFDD"/>
    </w:rPr>
  </w:style>
  <w:style w:type="character" w:customStyle="1" w:styleId="438">
    <w:name w:val="明显引用 字符1"/>
    <w:qFormat/>
    <w:uiPriority w:val="30"/>
    <w:rPr>
      <w:rFonts w:eastAsia="仿宋"/>
      <w:i/>
      <w:iCs/>
      <w:color w:val="5B9BD5"/>
      <w:kern w:val="2"/>
      <w:sz w:val="28"/>
      <w:szCs w:val="21"/>
    </w:rPr>
  </w:style>
  <w:style w:type="character" w:customStyle="1" w:styleId="439">
    <w:name w:val="引用 字符1"/>
    <w:qFormat/>
    <w:uiPriority w:val="29"/>
    <w:rPr>
      <w:rFonts w:eastAsia="仿宋"/>
      <w:i/>
      <w:iCs/>
      <w:color w:val="3F3F3F"/>
      <w:kern w:val="2"/>
      <w:sz w:val="28"/>
      <w:szCs w:val="21"/>
    </w:rPr>
  </w:style>
  <w:style w:type="paragraph" w:customStyle="1" w:styleId="440">
    <w:name w:val="表格dl"/>
    <w:basedOn w:val="1"/>
    <w:link w:val="441"/>
    <w:qFormat/>
    <w:uiPriority w:val="0"/>
    <w:pPr>
      <w:widowControl/>
      <w:adjustRightInd/>
      <w:snapToGrid/>
      <w:spacing w:line="240" w:lineRule="auto"/>
      <w:ind w:firstLine="0" w:firstLineChars="0"/>
      <w:jc w:val="center"/>
    </w:pPr>
    <w:rPr>
      <w:rFonts w:ascii="Times New Roman" w:hAnsi="Times New Roman" w:eastAsia="仿宋_GB2312" w:cs="Calibri"/>
      <w:color w:val="000000"/>
      <w:kern w:val="0"/>
      <w:sz w:val="24"/>
      <w:lang w:eastAsia="en-US"/>
    </w:rPr>
  </w:style>
  <w:style w:type="character" w:customStyle="1" w:styleId="441">
    <w:name w:val="表格dl 字符"/>
    <w:link w:val="440"/>
    <w:qFormat/>
    <w:uiPriority w:val="0"/>
    <w:rPr>
      <w:rFonts w:ascii="Times New Roman" w:hAnsi="Times New Roman" w:eastAsia="仿宋_GB2312" w:cs="Calibri"/>
      <w:color w:val="000000"/>
      <w:sz w:val="24"/>
      <w:szCs w:val="21"/>
      <w:lang w:eastAsia="en-US"/>
    </w:rPr>
  </w:style>
  <w:style w:type="paragraph" w:customStyle="1" w:styleId="442">
    <w:name w:val="0-正文样式"/>
    <w:link w:val="443"/>
    <w:qFormat/>
    <w:uiPriority w:val="0"/>
    <w:pPr>
      <w:adjustRightInd w:val="0"/>
      <w:snapToGrid w:val="0"/>
      <w:spacing w:beforeLines="50" w:afterLines="50" w:line="360" w:lineRule="auto"/>
      <w:ind w:firstLine="200" w:firstLineChars="200"/>
      <w:jc w:val="both"/>
    </w:pPr>
    <w:rPr>
      <w:rFonts w:ascii="Times New Roman" w:hAnsi="Times New Roman" w:eastAsia="仿宋_GB2312" w:cs="Times New Roman"/>
      <w:kern w:val="2"/>
      <w:sz w:val="28"/>
      <w:szCs w:val="24"/>
      <w:lang w:val="en-US" w:eastAsia="zh-CN" w:bidi="ar-SA"/>
    </w:rPr>
  </w:style>
  <w:style w:type="character" w:customStyle="1" w:styleId="443">
    <w:name w:val="0-正文样式 字符"/>
    <w:link w:val="442"/>
    <w:qFormat/>
    <w:uiPriority w:val="0"/>
    <w:rPr>
      <w:rFonts w:ascii="Times New Roman" w:hAnsi="Times New Roman" w:eastAsia="仿宋_GB2312" w:cs="Times New Roman"/>
      <w:kern w:val="2"/>
      <w:sz w:val="28"/>
      <w:szCs w:val="24"/>
    </w:rPr>
  </w:style>
  <w:style w:type="character" w:customStyle="1" w:styleId="444">
    <w:name w:val="font31"/>
    <w:qFormat/>
    <w:uiPriority w:val="0"/>
    <w:rPr>
      <w:rFonts w:hint="eastAsia" w:ascii="仿宋" w:hAnsi="仿宋" w:eastAsia="仿宋" w:cs="仿宋"/>
      <w:color w:val="000000"/>
      <w:sz w:val="24"/>
      <w:szCs w:val="24"/>
      <w:u w:val="none"/>
    </w:rPr>
  </w:style>
  <w:style w:type="character" w:customStyle="1" w:styleId="445">
    <w:name w:val="未处理的提及9"/>
    <w:unhideWhenUsed/>
    <w:qFormat/>
    <w:uiPriority w:val="99"/>
    <w:rPr>
      <w:color w:val="605E5C"/>
      <w:shd w:val="clear" w:color="auto" w:fill="E1DFDD"/>
    </w:rPr>
  </w:style>
  <w:style w:type="character" w:customStyle="1" w:styleId="446">
    <w:name w:val="未处理的提及911"/>
    <w:unhideWhenUsed/>
    <w:qFormat/>
    <w:uiPriority w:val="99"/>
    <w:rPr>
      <w:color w:val="605E5C"/>
      <w:shd w:val="clear" w:color="auto" w:fill="E1DFDD"/>
    </w:rPr>
  </w:style>
  <w:style w:type="character" w:customStyle="1" w:styleId="447">
    <w:name w:val="未处理的提及10"/>
    <w:semiHidden/>
    <w:unhideWhenUsed/>
    <w:qFormat/>
    <w:uiPriority w:val="99"/>
    <w:rPr>
      <w:color w:val="605E5C"/>
      <w:shd w:val="clear" w:color="auto" w:fill="E1DFDD"/>
    </w:rPr>
  </w:style>
  <w:style w:type="paragraph" w:customStyle="1" w:styleId="448">
    <w:name w:val="修订5"/>
    <w:hidden/>
    <w:qFormat/>
    <w:uiPriority w:val="99"/>
    <w:rPr>
      <w:rFonts w:ascii="等线" w:hAnsi="等线" w:eastAsia="仿宋" w:cs="Times New Roman"/>
      <w:kern w:val="2"/>
      <w:sz w:val="28"/>
      <w:szCs w:val="21"/>
      <w:lang w:val="en-US" w:eastAsia="zh-CN" w:bidi="ar-SA"/>
    </w:rPr>
  </w:style>
  <w:style w:type="character" w:customStyle="1" w:styleId="449">
    <w:name w:val="HTML 地址 字符"/>
    <w:link w:val="42"/>
    <w:qFormat/>
    <w:uiPriority w:val="99"/>
    <w:rPr>
      <w:rFonts w:eastAsia="仿宋"/>
      <w:i/>
      <w:iCs/>
      <w:kern w:val="2"/>
      <w:sz w:val="28"/>
      <w:szCs w:val="21"/>
    </w:rPr>
  </w:style>
  <w:style w:type="character" w:customStyle="1" w:styleId="450">
    <w:name w:val="HTML 预设格式 字符"/>
    <w:link w:val="44"/>
    <w:qFormat/>
    <w:uiPriority w:val="99"/>
    <w:rPr>
      <w:rFonts w:ascii="Courier New" w:hAnsi="Courier New" w:eastAsia="仿宋" w:cs="Courier New"/>
      <w:kern w:val="2"/>
    </w:rPr>
  </w:style>
  <w:style w:type="paragraph" w:customStyle="1" w:styleId="451">
    <w:name w:val="TOC 标题4"/>
    <w:basedOn w:val="2"/>
    <w:next w:val="1"/>
    <w:semiHidden/>
    <w:unhideWhenUsed/>
    <w:qFormat/>
    <w:uiPriority w:val="39"/>
    <w:pPr>
      <w:numPr>
        <w:numId w:val="0"/>
      </w:numPr>
      <w:spacing w:before="340" w:after="330" w:line="578" w:lineRule="auto"/>
      <w:ind w:firstLine="200" w:firstLineChars="200"/>
      <w:outlineLvl w:val="9"/>
    </w:pPr>
    <w:rPr>
      <w:rFonts w:ascii="等线" w:hAnsi="等线" w:eastAsia="仿宋"/>
      <w:b/>
      <w:bCs/>
      <w:sz w:val="44"/>
      <w:szCs w:val="44"/>
    </w:rPr>
  </w:style>
  <w:style w:type="character" w:customStyle="1" w:styleId="452">
    <w:name w:val="称呼 字符"/>
    <w:link w:val="83"/>
    <w:qFormat/>
    <w:uiPriority w:val="99"/>
    <w:rPr>
      <w:rFonts w:eastAsia="仿宋"/>
      <w:kern w:val="2"/>
      <w:sz w:val="28"/>
      <w:szCs w:val="21"/>
    </w:rPr>
  </w:style>
  <w:style w:type="character" w:customStyle="1" w:styleId="453">
    <w:name w:val="电子邮件签名 字符"/>
    <w:link w:val="32"/>
    <w:qFormat/>
    <w:uiPriority w:val="99"/>
    <w:rPr>
      <w:rFonts w:eastAsia="仿宋"/>
      <w:kern w:val="2"/>
      <w:sz w:val="28"/>
      <w:szCs w:val="21"/>
    </w:rPr>
  </w:style>
  <w:style w:type="character" w:customStyle="1" w:styleId="454">
    <w:name w:val="宏文本 字符"/>
    <w:link w:val="76"/>
    <w:qFormat/>
    <w:uiPriority w:val="99"/>
    <w:rPr>
      <w:rFonts w:ascii="Courier New" w:hAnsi="Courier New" w:eastAsia="宋体" w:cs="Courier New"/>
      <w:kern w:val="2"/>
      <w:sz w:val="24"/>
      <w:szCs w:val="24"/>
    </w:rPr>
  </w:style>
  <w:style w:type="character" w:customStyle="1" w:styleId="455">
    <w:name w:val="结束语 字符"/>
    <w:link w:val="26"/>
    <w:qFormat/>
    <w:uiPriority w:val="99"/>
    <w:rPr>
      <w:rFonts w:eastAsia="仿宋"/>
      <w:kern w:val="2"/>
      <w:sz w:val="28"/>
      <w:szCs w:val="21"/>
    </w:rPr>
  </w:style>
  <w:style w:type="character" w:customStyle="1" w:styleId="456">
    <w:name w:val="签名 字符"/>
    <w:link w:val="84"/>
    <w:qFormat/>
    <w:uiPriority w:val="99"/>
    <w:rPr>
      <w:rFonts w:eastAsia="仿宋"/>
      <w:kern w:val="2"/>
      <w:sz w:val="28"/>
      <w:szCs w:val="21"/>
    </w:rPr>
  </w:style>
  <w:style w:type="paragraph" w:customStyle="1" w:styleId="457">
    <w:name w:val="书目1"/>
    <w:basedOn w:val="1"/>
    <w:next w:val="1"/>
    <w:semiHidden/>
    <w:unhideWhenUsed/>
    <w:qFormat/>
    <w:uiPriority w:val="37"/>
  </w:style>
  <w:style w:type="character" w:customStyle="1" w:styleId="458">
    <w:name w:val="尾注文本 字符"/>
    <w:link w:val="34"/>
    <w:qFormat/>
    <w:uiPriority w:val="99"/>
    <w:rPr>
      <w:rFonts w:eastAsia="仿宋"/>
      <w:kern w:val="2"/>
      <w:sz w:val="28"/>
      <w:szCs w:val="21"/>
    </w:rPr>
  </w:style>
  <w:style w:type="character" w:customStyle="1" w:styleId="459">
    <w:name w:val="信息标题 字符"/>
    <w:link w:val="77"/>
    <w:qFormat/>
    <w:uiPriority w:val="99"/>
    <w:rPr>
      <w:rFonts w:ascii="等线 Light" w:hAnsi="等线 Light" w:eastAsia="等线 Light" w:cs="Times New Roman"/>
      <w:kern w:val="2"/>
      <w:sz w:val="24"/>
      <w:szCs w:val="24"/>
      <w:shd w:val="pct20" w:color="auto" w:fill="auto"/>
    </w:rPr>
  </w:style>
  <w:style w:type="character" w:customStyle="1" w:styleId="460">
    <w:name w:val="正文文本 2 字符"/>
    <w:link w:val="17"/>
    <w:qFormat/>
    <w:uiPriority w:val="99"/>
    <w:rPr>
      <w:rFonts w:eastAsia="仿宋"/>
      <w:kern w:val="2"/>
      <w:sz w:val="28"/>
      <w:szCs w:val="21"/>
    </w:rPr>
  </w:style>
  <w:style w:type="character" w:customStyle="1" w:styleId="461">
    <w:name w:val="正文文本 3 字符"/>
    <w:link w:val="18"/>
    <w:qFormat/>
    <w:uiPriority w:val="99"/>
    <w:rPr>
      <w:rFonts w:eastAsia="仿宋"/>
      <w:kern w:val="2"/>
      <w:sz w:val="16"/>
      <w:szCs w:val="16"/>
    </w:rPr>
  </w:style>
  <w:style w:type="character" w:customStyle="1" w:styleId="462">
    <w:name w:val="正文文本缩进 2 字符"/>
    <w:link w:val="22"/>
    <w:qFormat/>
    <w:uiPriority w:val="99"/>
    <w:rPr>
      <w:rFonts w:eastAsia="仿宋"/>
      <w:kern w:val="2"/>
      <w:sz w:val="28"/>
      <w:szCs w:val="21"/>
    </w:rPr>
  </w:style>
  <w:style w:type="character" w:customStyle="1" w:styleId="463">
    <w:name w:val="注释标题 字符"/>
    <w:link w:val="80"/>
    <w:qFormat/>
    <w:uiPriority w:val="99"/>
    <w:rPr>
      <w:rFonts w:eastAsia="仿宋"/>
      <w:kern w:val="2"/>
      <w:sz w:val="28"/>
      <w:szCs w:val="21"/>
    </w:rPr>
  </w:style>
  <w:style w:type="paragraph" w:customStyle="1" w:styleId="464">
    <w:name w:val="表四级目录"/>
    <w:basedOn w:val="1"/>
    <w:qFormat/>
    <w:uiPriority w:val="0"/>
    <w:pPr>
      <w:keepNext/>
      <w:spacing w:line="560" w:lineRule="exact"/>
      <w:ind w:firstLine="320" w:firstLineChars="100"/>
      <w:jc w:val="left"/>
      <w:outlineLvl w:val="8"/>
    </w:pPr>
    <w:rPr>
      <w:rFonts w:eastAsia="黑体"/>
      <w:bCs/>
      <w:color w:val="000000"/>
      <w:sz w:val="32"/>
      <w:szCs w:val="32"/>
    </w:rPr>
  </w:style>
  <w:style w:type="character" w:customStyle="1" w:styleId="465">
    <w:name w:val="未处理的提及91"/>
    <w:unhideWhenUsed/>
    <w:qFormat/>
    <w:uiPriority w:val="99"/>
    <w:rPr>
      <w:color w:val="605E5C"/>
      <w:shd w:val="clear" w:color="auto" w:fill="E1DFDD"/>
    </w:rPr>
  </w:style>
  <w:style w:type="character" w:customStyle="1" w:styleId="466">
    <w:name w:val="未处理的提及1011"/>
    <w:unhideWhenUsed/>
    <w:qFormat/>
    <w:uiPriority w:val="99"/>
    <w:rPr>
      <w:color w:val="605E5C"/>
      <w:shd w:val="clear" w:color="auto" w:fill="E1DFDD"/>
    </w:rPr>
  </w:style>
  <w:style w:type="paragraph" w:customStyle="1" w:styleId="467">
    <w:name w:val="修订511"/>
    <w:qFormat/>
    <w:uiPriority w:val="99"/>
    <w:rPr>
      <w:rFonts w:ascii="等线" w:hAnsi="等线" w:eastAsia="仿宋" w:cs="Times New Roman"/>
      <w:kern w:val="2"/>
      <w:sz w:val="28"/>
      <w:szCs w:val="21"/>
      <w:lang w:val="en-US" w:eastAsia="zh-CN" w:bidi="ar-SA"/>
    </w:rPr>
  </w:style>
  <w:style w:type="paragraph" w:customStyle="1" w:styleId="468">
    <w:name w:val="TOC 标题411"/>
    <w:basedOn w:val="2"/>
    <w:next w:val="1"/>
    <w:unhideWhenUsed/>
    <w:qFormat/>
    <w:uiPriority w:val="39"/>
    <w:pPr>
      <w:numPr>
        <w:numId w:val="0"/>
      </w:numPr>
      <w:spacing w:before="340" w:after="330" w:line="578" w:lineRule="auto"/>
      <w:ind w:firstLine="200" w:firstLineChars="200"/>
      <w:outlineLvl w:val="9"/>
    </w:pPr>
    <w:rPr>
      <w:rFonts w:ascii="等线" w:hAnsi="等线" w:eastAsia="仿宋"/>
      <w:b/>
      <w:bCs/>
      <w:sz w:val="44"/>
      <w:szCs w:val="44"/>
    </w:rPr>
  </w:style>
  <w:style w:type="paragraph" w:customStyle="1" w:styleId="469">
    <w:name w:val="书目111"/>
    <w:basedOn w:val="1"/>
    <w:next w:val="1"/>
    <w:unhideWhenUsed/>
    <w:qFormat/>
    <w:uiPriority w:val="37"/>
  </w:style>
  <w:style w:type="character" w:customStyle="1" w:styleId="470">
    <w:name w:val="font51"/>
    <w:qFormat/>
    <w:uiPriority w:val="0"/>
    <w:rPr>
      <w:rFonts w:hint="default" w:ascii="Times New Roman" w:hAnsi="Times New Roman" w:cs="Times New Roman"/>
      <w:color w:val="000000"/>
      <w:sz w:val="24"/>
      <w:szCs w:val="24"/>
      <w:u w:val="none"/>
    </w:rPr>
  </w:style>
  <w:style w:type="character" w:customStyle="1" w:styleId="471">
    <w:name w:val="未处理的提及11"/>
    <w:unhideWhenUsed/>
    <w:qFormat/>
    <w:uiPriority w:val="99"/>
    <w:rPr>
      <w:color w:val="605E5C"/>
      <w:shd w:val="clear" w:color="auto" w:fill="E1DFDD"/>
    </w:rPr>
  </w:style>
  <w:style w:type="paragraph" w:customStyle="1" w:styleId="472">
    <w:name w:val="修订6"/>
    <w:hidden/>
    <w:qFormat/>
    <w:uiPriority w:val="99"/>
    <w:rPr>
      <w:rFonts w:ascii="等线" w:hAnsi="等线" w:eastAsia="仿宋" w:cs="Times New Roman"/>
      <w:kern w:val="2"/>
      <w:sz w:val="28"/>
      <w:szCs w:val="21"/>
      <w:lang w:val="en-US" w:eastAsia="zh-CN" w:bidi="ar-SA"/>
    </w:rPr>
  </w:style>
  <w:style w:type="character" w:customStyle="1" w:styleId="473">
    <w:name w:val="未处理的提及101"/>
    <w:unhideWhenUsed/>
    <w:qFormat/>
    <w:uiPriority w:val="99"/>
    <w:rPr>
      <w:color w:val="605E5C"/>
      <w:shd w:val="clear" w:color="auto" w:fill="E1DFDD"/>
    </w:rPr>
  </w:style>
  <w:style w:type="paragraph" w:customStyle="1" w:styleId="474">
    <w:name w:val="修订51"/>
    <w:semiHidden/>
    <w:qFormat/>
    <w:uiPriority w:val="99"/>
    <w:rPr>
      <w:rFonts w:ascii="等线" w:hAnsi="等线" w:eastAsia="仿宋" w:cs="Times New Roman"/>
      <w:kern w:val="2"/>
      <w:sz w:val="28"/>
      <w:szCs w:val="21"/>
      <w:lang w:val="en-US" w:eastAsia="zh-CN" w:bidi="ar-SA"/>
    </w:rPr>
  </w:style>
  <w:style w:type="paragraph" w:customStyle="1" w:styleId="475">
    <w:name w:val="TOC 标题41"/>
    <w:basedOn w:val="2"/>
    <w:next w:val="1"/>
    <w:unhideWhenUsed/>
    <w:qFormat/>
    <w:uiPriority w:val="39"/>
    <w:pPr>
      <w:numPr>
        <w:numId w:val="0"/>
      </w:numPr>
      <w:spacing w:before="340" w:after="330" w:line="578" w:lineRule="auto"/>
      <w:ind w:firstLine="200" w:firstLineChars="200"/>
      <w:outlineLvl w:val="9"/>
    </w:pPr>
    <w:rPr>
      <w:rFonts w:ascii="等线" w:hAnsi="等线" w:eastAsia="仿宋"/>
      <w:b/>
      <w:bCs/>
      <w:sz w:val="44"/>
      <w:szCs w:val="44"/>
    </w:rPr>
  </w:style>
  <w:style w:type="paragraph" w:customStyle="1" w:styleId="476">
    <w:name w:val="书目11"/>
    <w:basedOn w:val="1"/>
    <w:next w:val="1"/>
    <w:unhideWhenUsed/>
    <w:qFormat/>
    <w:uiPriority w:val="37"/>
  </w:style>
  <w:style w:type="paragraph" w:customStyle="1" w:styleId="477">
    <w:name w:val="修订61"/>
    <w:hidden/>
    <w:semiHidden/>
    <w:qFormat/>
    <w:uiPriority w:val="99"/>
    <w:rPr>
      <w:rFonts w:ascii="等线" w:hAnsi="等线" w:eastAsia="仿宋" w:cs="Times New Roman"/>
      <w:kern w:val="2"/>
      <w:sz w:val="28"/>
      <w:szCs w:val="21"/>
      <w:lang w:val="en-US" w:eastAsia="zh-CN" w:bidi="ar-SA"/>
    </w:rPr>
  </w:style>
  <w:style w:type="character" w:customStyle="1" w:styleId="478">
    <w:name w:val="未处理的提及111"/>
    <w:unhideWhenUsed/>
    <w:qFormat/>
    <w:uiPriority w:val="99"/>
    <w:rPr>
      <w:color w:val="605E5C"/>
      <w:shd w:val="clear" w:color="auto" w:fill="E1DFDD"/>
    </w:rPr>
  </w:style>
  <w:style w:type="paragraph" w:customStyle="1" w:styleId="479">
    <w:name w:val="修订7"/>
    <w:semiHidden/>
    <w:qFormat/>
    <w:uiPriority w:val="99"/>
    <w:rPr>
      <w:rFonts w:ascii="等线" w:hAnsi="等线" w:eastAsia="仿宋" w:cs="Times New Roman"/>
      <w:kern w:val="2"/>
      <w:sz w:val="28"/>
      <w:szCs w:val="21"/>
      <w:lang w:val="en-US" w:eastAsia="zh-CN" w:bidi="ar-SA"/>
    </w:rPr>
  </w:style>
  <w:style w:type="paragraph" w:customStyle="1" w:styleId="480">
    <w:name w:val="修订8"/>
    <w:hidden/>
    <w:unhideWhenUsed/>
    <w:qFormat/>
    <w:uiPriority w:val="99"/>
    <w:rPr>
      <w:rFonts w:ascii="等线" w:hAnsi="等线" w:eastAsia="仿宋" w:cs="Times New Roman"/>
      <w:kern w:val="2"/>
      <w:sz w:val="28"/>
      <w:szCs w:val="21"/>
      <w:lang w:val="en-US" w:eastAsia="zh-CN" w:bidi="ar-SA"/>
    </w:rPr>
  </w:style>
  <w:style w:type="character" w:customStyle="1" w:styleId="481">
    <w:name w:val="未处理的提及12"/>
    <w:basedOn w:val="12"/>
    <w:semiHidden/>
    <w:unhideWhenUsed/>
    <w:qFormat/>
    <w:uiPriority w:val="99"/>
    <w:rPr>
      <w:color w:val="605E5C"/>
      <w:shd w:val="clear" w:color="auto" w:fill="E1DFDD"/>
    </w:rPr>
  </w:style>
  <w:style w:type="paragraph" w:customStyle="1" w:styleId="482">
    <w:name w:val="修订9"/>
    <w:hidden/>
    <w:unhideWhenUsed/>
    <w:qFormat/>
    <w:uiPriority w:val="99"/>
    <w:rPr>
      <w:rFonts w:ascii="等线" w:hAnsi="等线" w:eastAsia="仿宋" w:cs="Times New Roman"/>
      <w:kern w:val="2"/>
      <w:sz w:val="28"/>
      <w:szCs w:val="21"/>
      <w:lang w:val="en-US" w:eastAsia="zh-CN" w:bidi="ar-SA"/>
    </w:rPr>
  </w:style>
  <w:style w:type="character" w:customStyle="1" w:styleId="483">
    <w:name w:val="未处理的提及13"/>
    <w:basedOn w:val="12"/>
    <w:semiHidden/>
    <w:unhideWhenUsed/>
    <w:qFormat/>
    <w:uiPriority w:val="99"/>
    <w:rPr>
      <w:color w:val="605E5C"/>
      <w:shd w:val="clear" w:color="auto" w:fill="E1DFDD"/>
    </w:rPr>
  </w:style>
  <w:style w:type="character" w:customStyle="1" w:styleId="484">
    <w:name w:val="未处理的提及14"/>
    <w:basedOn w:val="12"/>
    <w:semiHidden/>
    <w:unhideWhenUsed/>
    <w:qFormat/>
    <w:uiPriority w:val="99"/>
    <w:rPr>
      <w:color w:val="605E5C"/>
      <w:shd w:val="clear" w:color="auto" w:fill="E1DFDD"/>
    </w:rPr>
  </w:style>
  <w:style w:type="character" w:customStyle="1" w:styleId="485">
    <w:name w:val="未处理的提及15"/>
    <w:basedOn w:val="12"/>
    <w:semiHidden/>
    <w:unhideWhenUsed/>
    <w:qFormat/>
    <w:uiPriority w:val="99"/>
    <w:rPr>
      <w:color w:val="605E5C"/>
      <w:shd w:val="clear" w:color="auto" w:fill="E1DFDD"/>
    </w:rPr>
  </w:style>
  <w:style w:type="character" w:customStyle="1" w:styleId="486">
    <w:name w:val="未处理的提及16"/>
    <w:basedOn w:val="12"/>
    <w:semiHidden/>
    <w:unhideWhenUsed/>
    <w:qFormat/>
    <w:uiPriority w:val="99"/>
    <w:rPr>
      <w:color w:val="605E5C"/>
      <w:shd w:val="clear" w:color="auto" w:fill="E1DFDD"/>
    </w:rPr>
  </w:style>
  <w:style w:type="paragraph" w:customStyle="1" w:styleId="487">
    <w:name w:val="修订10"/>
    <w:hidden/>
    <w:unhideWhenUsed/>
    <w:qFormat/>
    <w:uiPriority w:val="99"/>
    <w:rPr>
      <w:rFonts w:ascii="等线" w:hAnsi="等线" w:eastAsia="仿宋" w:cs="Times New Roman"/>
      <w:kern w:val="2"/>
      <w:sz w:val="28"/>
      <w:szCs w:val="21"/>
      <w:lang w:val="en-US" w:eastAsia="zh-CN" w:bidi="ar-SA"/>
    </w:rPr>
  </w:style>
  <w:style w:type="paragraph" w:customStyle="1" w:styleId="488">
    <w:name w:val="修订11"/>
    <w:hidden/>
    <w:unhideWhenUsed/>
    <w:qFormat/>
    <w:uiPriority w:val="99"/>
    <w:rPr>
      <w:rFonts w:ascii="等线" w:hAnsi="等线" w:eastAsia="仿宋" w:cs="Times New Roman"/>
      <w:kern w:val="2"/>
      <w:sz w:val="28"/>
      <w:szCs w:val="21"/>
      <w:lang w:val="en-US" w:eastAsia="zh-CN" w:bidi="ar-SA"/>
    </w:rPr>
  </w:style>
  <w:style w:type="character" w:customStyle="1" w:styleId="489">
    <w:name w:val="未处理的提及17"/>
    <w:basedOn w:val="12"/>
    <w:semiHidden/>
    <w:unhideWhenUsed/>
    <w:qFormat/>
    <w:uiPriority w:val="99"/>
    <w:rPr>
      <w:color w:val="605E5C"/>
      <w:shd w:val="clear" w:color="auto" w:fill="E1DFDD"/>
    </w:rPr>
  </w:style>
  <w:style w:type="paragraph" w:customStyle="1" w:styleId="490">
    <w:name w:val="申报书-正文-正文"/>
    <w:basedOn w:val="1"/>
    <w:qFormat/>
    <w:uiPriority w:val="0"/>
    <w:pPr>
      <w:widowControl/>
    </w:pPr>
    <w:rPr>
      <w:rFonts w:hAnsiTheme="minorHAnsi" w:cstheme="minorBidi"/>
    </w:rPr>
  </w:style>
  <w:style w:type="paragraph" w:customStyle="1" w:styleId="491">
    <w:name w:val="修订12"/>
    <w:hidden/>
    <w:unhideWhenUsed/>
    <w:qFormat/>
    <w:uiPriority w:val="99"/>
    <w:rPr>
      <w:rFonts w:ascii="等线" w:hAnsi="等线" w:eastAsia="仿宋" w:cs="Times New Roman"/>
      <w:kern w:val="2"/>
      <w:sz w:val="28"/>
      <w:szCs w:val="21"/>
      <w:lang w:val="en-US" w:eastAsia="zh-CN" w:bidi="ar-SA"/>
    </w:rPr>
  </w:style>
  <w:style w:type="paragraph" w:customStyle="1" w:styleId="492">
    <w:name w:val="修订13"/>
    <w:hidden/>
    <w:unhideWhenUsed/>
    <w:qFormat/>
    <w:uiPriority w:val="99"/>
    <w:rPr>
      <w:rFonts w:ascii="等线" w:hAnsi="等线" w:eastAsia="仿宋" w:cs="Times New Roman"/>
      <w:kern w:val="2"/>
      <w:sz w:val="28"/>
      <w:szCs w:val="21"/>
      <w:lang w:val="en-US" w:eastAsia="zh-CN" w:bidi="ar-SA"/>
    </w:rPr>
  </w:style>
  <w:style w:type="table" w:customStyle="1" w:styleId="493">
    <w:name w:val="table1"/>
    <w:basedOn w:val="90"/>
    <w:qFormat/>
    <w:uiPriority w:val="0"/>
    <w:pPr>
      <w:spacing w:line="240" w:lineRule="auto"/>
      <w:ind w:firstLine="0" w:firstLineChars="0"/>
    </w:pPr>
    <w:rPr>
      <w:rFonts w:eastAsia="Times New Roman" w:cs="Arial"/>
    </w:r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494">
    <w:name w:val="标题 5 字符1"/>
    <w:basedOn w:val="12"/>
    <w:qFormat/>
    <w:uiPriority w:val="0"/>
    <w:rPr>
      <w:rFonts w:eastAsia="仿宋"/>
      <w:b/>
      <w:bCs/>
      <w:kern w:val="2"/>
      <w:sz w:val="28"/>
      <w:szCs w:val="28"/>
    </w:rPr>
  </w:style>
  <w:style w:type="character" w:customStyle="1" w:styleId="495">
    <w:name w:val="标题 4 字符1"/>
    <w:basedOn w:val="12"/>
    <w:semiHidden/>
    <w:qFormat/>
    <w:uiPriority w:val="0"/>
    <w:rPr>
      <w:rFonts w:asciiTheme="majorHAnsi" w:hAnsiTheme="majorHAnsi" w:eastAsiaTheme="majorEastAsia" w:cstheme="majorBidi"/>
      <w:b/>
      <w:bCs/>
      <w:kern w:val="2"/>
      <w:sz w:val="28"/>
      <w:szCs w:val="28"/>
    </w:rPr>
  </w:style>
  <w:style w:type="table" w:customStyle="1" w:styleId="496">
    <w:name w:val="Table Normal2"/>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497">
    <w:name w:val="wintitle"/>
    <w:basedOn w:val="12"/>
    <w:qFormat/>
    <w:uiPriority w:val="0"/>
  </w:style>
  <w:style w:type="paragraph" w:customStyle="1" w:styleId="498">
    <w:name w:val="MZQ插图题注"/>
    <w:basedOn w:val="1"/>
    <w:next w:val="1"/>
    <w:link w:val="499"/>
    <w:qFormat/>
    <w:uiPriority w:val="0"/>
    <w:pPr>
      <w:numPr>
        <w:ilvl w:val="0"/>
        <w:numId w:val="21"/>
      </w:numPr>
      <w:adjustRightInd/>
      <w:snapToGrid/>
      <w:ind w:firstLineChars="0"/>
      <w:jc w:val="center"/>
    </w:pPr>
    <w:rPr>
      <w:rFonts w:ascii="Times New Roman" w:hAnsi="Times New Roman"/>
      <w:kern w:val="0"/>
      <w:sz w:val="21"/>
      <w:szCs w:val="20"/>
    </w:rPr>
  </w:style>
  <w:style w:type="character" w:customStyle="1" w:styleId="499">
    <w:name w:val="MZQ插图题注 Char"/>
    <w:link w:val="498"/>
    <w:qFormat/>
    <w:uiPriority w:val="0"/>
    <w:rPr>
      <w:rFonts w:eastAsia="仿宋"/>
      <w:sz w:val="21"/>
    </w:rPr>
  </w:style>
  <w:style w:type="character" w:customStyle="1" w:styleId="500">
    <w:name w:val="列表段落 字符2"/>
    <w:basedOn w:val="12"/>
    <w:qFormat/>
    <w:uiPriority w:val="34"/>
    <w:rPr>
      <w:rFonts w:eastAsia="仿宋_GB2312" w:cstheme="minorBidi"/>
      <w:kern w:val="2"/>
      <w:sz w:val="28"/>
      <w:szCs w:val="22"/>
    </w:rPr>
  </w:style>
  <w:style w:type="paragraph" w:customStyle="1" w:styleId="501">
    <w:name w:val="Item Step in Table"/>
    <w:link w:val="502"/>
    <w:qFormat/>
    <w:uiPriority w:val="0"/>
    <w:pPr>
      <w:numPr>
        <w:ilvl w:val="0"/>
        <w:numId w:val="22"/>
      </w:numPr>
      <w:tabs>
        <w:tab w:val="clear" w:pos="284"/>
      </w:tabs>
      <w:topLinePunct/>
      <w:spacing w:before="40" w:after="40" w:line="240" w:lineRule="atLeast"/>
      <w:ind w:left="0" w:firstLine="0"/>
    </w:pPr>
    <w:rPr>
      <w:rFonts w:ascii="Times New Roman" w:hAnsi="Times New Roman" w:eastAsia="宋体" w:cs="Arial"/>
      <w:sz w:val="21"/>
      <w:szCs w:val="21"/>
      <w:lang w:val="en-US" w:eastAsia="zh-CN" w:bidi="ar-SA"/>
    </w:rPr>
  </w:style>
  <w:style w:type="character" w:customStyle="1" w:styleId="502">
    <w:name w:val="Item Step in Table Char"/>
    <w:link w:val="501"/>
    <w:qFormat/>
    <w:uiPriority w:val="0"/>
    <w:rPr>
      <w:rFonts w:cs="Arial"/>
      <w:sz w:val="21"/>
      <w:szCs w:val="21"/>
    </w:rPr>
  </w:style>
  <w:style w:type="character" w:customStyle="1" w:styleId="503">
    <w:name w:val="页脚 字符1"/>
    <w:qFormat/>
    <w:uiPriority w:val="99"/>
    <w:rPr>
      <w:sz w:val="18"/>
      <w:szCs w:val="18"/>
    </w:rPr>
  </w:style>
  <w:style w:type="paragraph" w:customStyle="1" w:styleId="504">
    <w:name w:val="Item List in Table"/>
    <w:basedOn w:val="1"/>
    <w:qFormat/>
    <w:uiPriority w:val="0"/>
    <w:pPr>
      <w:widowControl/>
      <w:numPr>
        <w:ilvl w:val="0"/>
        <w:numId w:val="23"/>
      </w:numPr>
      <w:tabs>
        <w:tab w:val="left" w:pos="170"/>
      </w:tabs>
      <w:topLinePunct/>
      <w:spacing w:before="80" w:after="80" w:line="240" w:lineRule="atLeast"/>
      <w:ind w:left="0" w:firstLine="0" w:firstLineChars="0"/>
      <w:jc w:val="left"/>
    </w:pPr>
    <w:rPr>
      <w:rFonts w:ascii="Times New Roman" w:hAnsi="Times New Roman" w:eastAsia="宋体" w:cs="Arial"/>
      <w:kern w:val="0"/>
      <w:sz w:val="21"/>
    </w:rPr>
  </w:style>
  <w:style w:type="table" w:customStyle="1" w:styleId="505">
    <w:name w:val="网格型!2"/>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6">
    <w:name w:val="网格型!12"/>
    <w:basedOn w:val="13"/>
    <w:qFormat/>
    <w:uiPriority w:val="0"/>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7">
    <w:name w:val="正式格式"/>
    <w:basedOn w:val="1"/>
    <w:qFormat/>
    <w:uiPriority w:val="0"/>
    <w:pPr>
      <w:adjustRightInd/>
      <w:snapToGrid/>
    </w:pPr>
    <w:rPr>
      <w:rFonts w:ascii="Times New Roman" w:hAnsi="Times New Roman" w:eastAsia="宋体"/>
      <w:sz w:val="24"/>
      <w:szCs w:val="22"/>
    </w:rPr>
  </w:style>
  <w:style w:type="character" w:customStyle="1" w:styleId="508">
    <w:name w:val="标准文件_段 Char"/>
    <w:link w:val="509"/>
    <w:qFormat/>
    <w:locked/>
    <w:uiPriority w:val="0"/>
    <w:rPr>
      <w:rFonts w:ascii="宋体"/>
    </w:rPr>
  </w:style>
  <w:style w:type="paragraph" w:customStyle="1" w:styleId="509">
    <w:name w:val="标准文件_段"/>
    <w:link w:val="508"/>
    <w:qFormat/>
    <w:uiPriority w:val="0"/>
    <w:pPr>
      <w:autoSpaceDE w:val="0"/>
      <w:autoSpaceDN w:val="0"/>
      <w:ind w:firstLine="200" w:firstLineChars="200"/>
      <w:jc w:val="both"/>
    </w:pPr>
    <w:rPr>
      <w:rFonts w:ascii="宋体" w:hAnsi="Times New Roman" w:eastAsia="宋体" w:cs="Times New Roman"/>
      <w:lang w:val="en-US" w:eastAsia="zh-CN" w:bidi="ar-SA"/>
    </w:rPr>
  </w:style>
  <w:style w:type="character" w:customStyle="1" w:styleId="510">
    <w:name w:val="列表编号 2 字符"/>
    <w:basedOn w:val="12"/>
    <w:link w:val="72"/>
    <w:qFormat/>
    <w:uiPriority w:val="99"/>
    <w:rPr>
      <w:rFonts w:ascii="Arial" w:hAnsi="Arial"/>
      <w:sz w:val="18"/>
      <w:szCs w:val="22"/>
    </w:rPr>
  </w:style>
  <w:style w:type="paragraph" w:customStyle="1" w:styleId="511">
    <w:name w:val="正文1"/>
    <w:basedOn w:val="1"/>
    <w:link w:val="706"/>
    <w:qFormat/>
    <w:uiPriority w:val="0"/>
    <w:pPr>
      <w:adjustRightInd/>
      <w:ind w:firstLine="964"/>
    </w:pPr>
    <w:rPr>
      <w:rFonts w:ascii="Calibri" w:hAnsi="Calibri" w:eastAsia="宋体"/>
      <w:sz w:val="24"/>
      <w:szCs w:val="24"/>
    </w:rPr>
  </w:style>
  <w:style w:type="paragraph" w:customStyle="1" w:styleId="512">
    <w:name w:val="T图形居中"/>
    <w:next w:val="1"/>
    <w:link w:val="513"/>
    <w:qFormat/>
    <w:uiPriority w:val="0"/>
    <w:pPr>
      <w:keepNext/>
      <w:jc w:val="center"/>
    </w:pPr>
    <w:rPr>
      <w:rFonts w:ascii="Times New Roman" w:hAnsi="Times New Roman" w:eastAsia="仿宋" w:cs="Times New Roman"/>
      <w:kern w:val="2"/>
      <w:sz w:val="24"/>
      <w:szCs w:val="21"/>
      <w:lang w:val="en-US" w:eastAsia="zh-CN" w:bidi="ar-SA"/>
    </w:rPr>
  </w:style>
  <w:style w:type="character" w:customStyle="1" w:styleId="513">
    <w:name w:val="T图形居中 字符"/>
    <w:basedOn w:val="12"/>
    <w:link w:val="512"/>
    <w:qFormat/>
    <w:uiPriority w:val="0"/>
    <w:rPr>
      <w:rFonts w:eastAsia="仿宋"/>
      <w:kern w:val="2"/>
      <w:sz w:val="24"/>
      <w:szCs w:val="21"/>
    </w:rPr>
  </w:style>
  <w:style w:type="paragraph" w:customStyle="1" w:styleId="514">
    <w:name w:val="Z正文强调"/>
    <w:basedOn w:val="1"/>
    <w:next w:val="1"/>
    <w:link w:val="515"/>
    <w:qFormat/>
    <w:uiPriority w:val="0"/>
    <w:pPr>
      <w:adjustRightInd/>
      <w:ind w:left="480" w:firstLine="0" w:firstLineChars="0"/>
    </w:pPr>
    <w:rPr>
      <w:rFonts w:ascii="黑体" w:hAnsi="黑体" w:eastAsia="黑体"/>
      <w:b/>
      <w:color w:val="000000"/>
      <w:sz w:val="21"/>
    </w:rPr>
  </w:style>
  <w:style w:type="character" w:customStyle="1" w:styleId="515">
    <w:name w:val="Z正文强调 Char"/>
    <w:link w:val="514"/>
    <w:qFormat/>
    <w:uiPriority w:val="0"/>
    <w:rPr>
      <w:rFonts w:ascii="黑体" w:hAnsi="黑体" w:eastAsia="黑体"/>
      <w:b/>
      <w:color w:val="000000"/>
      <w:kern w:val="2"/>
      <w:sz w:val="21"/>
      <w:szCs w:val="21"/>
    </w:rPr>
  </w:style>
  <w:style w:type="table" w:customStyle="1" w:styleId="516">
    <w:name w:val="table"/>
    <w:basedOn w:val="90"/>
    <w:qFormat/>
    <w:uiPriority w:val="0"/>
    <w:pPr>
      <w:spacing w:line="240" w:lineRule="auto"/>
      <w:ind w:firstLine="0" w:firstLineChars="0"/>
    </w:pPr>
    <w:rPr>
      <w:rFonts w:eastAsia="Times New Roman" w:cs="Arial"/>
    </w:r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17">
    <w:name w:val="省政数正文"/>
    <w:basedOn w:val="1"/>
    <w:link w:val="518"/>
    <w:qFormat/>
    <w:uiPriority w:val="0"/>
    <w:pPr>
      <w:widowControl/>
    </w:pPr>
    <w:rPr>
      <w:rFonts w:ascii="Times New Roman" w:hAnsi="Times New Roman" w:eastAsia="宋体" w:cs="宋体"/>
      <w:color w:val="000000"/>
      <w:kern w:val="0"/>
      <w:sz w:val="24"/>
      <w:szCs w:val="24"/>
    </w:rPr>
  </w:style>
  <w:style w:type="character" w:customStyle="1" w:styleId="518">
    <w:name w:val="省政数正文 字符"/>
    <w:link w:val="517"/>
    <w:qFormat/>
    <w:uiPriority w:val="0"/>
    <w:rPr>
      <w:rFonts w:cs="宋体"/>
      <w:color w:val="000000"/>
      <w:sz w:val="24"/>
      <w:szCs w:val="24"/>
    </w:rPr>
  </w:style>
  <w:style w:type="character" w:customStyle="1" w:styleId="519">
    <w:name w:val="未处理的提及18"/>
    <w:basedOn w:val="12"/>
    <w:semiHidden/>
    <w:unhideWhenUsed/>
    <w:qFormat/>
    <w:uiPriority w:val="99"/>
    <w:rPr>
      <w:color w:val="605E5C"/>
      <w:shd w:val="clear" w:color="auto" w:fill="E1DFDD"/>
    </w:rPr>
  </w:style>
  <w:style w:type="character" w:customStyle="1" w:styleId="520">
    <w:name w:val="楷体 Char"/>
    <w:link w:val="521"/>
    <w:qFormat/>
    <w:uiPriority w:val="0"/>
    <w:rPr>
      <w:rFonts w:eastAsia="方正楷体_GBK"/>
    </w:rPr>
  </w:style>
  <w:style w:type="paragraph" w:customStyle="1" w:styleId="521">
    <w:name w:val="楷体"/>
    <w:basedOn w:val="1"/>
    <w:link w:val="520"/>
    <w:qFormat/>
    <w:uiPriority w:val="0"/>
    <w:pPr>
      <w:adjustRightInd/>
      <w:snapToGrid/>
      <w:spacing w:line="588" w:lineRule="exact"/>
      <w:ind w:firstLine="640"/>
    </w:pPr>
    <w:rPr>
      <w:rFonts w:ascii="Times New Roman" w:hAnsi="Times New Roman" w:eastAsia="方正楷体_GBK"/>
      <w:kern w:val="0"/>
      <w:sz w:val="20"/>
      <w:szCs w:val="20"/>
    </w:rPr>
  </w:style>
  <w:style w:type="paragraph" w:customStyle="1" w:styleId="522">
    <w:name w:val="修订14"/>
    <w:hidden/>
    <w:unhideWhenUsed/>
    <w:qFormat/>
    <w:uiPriority w:val="99"/>
    <w:rPr>
      <w:rFonts w:ascii="等线" w:hAnsi="等线" w:eastAsia="仿宋" w:cs="Times New Roman"/>
      <w:kern w:val="2"/>
      <w:sz w:val="28"/>
      <w:szCs w:val="21"/>
      <w:lang w:val="en-US" w:eastAsia="zh-CN" w:bidi="ar-SA"/>
    </w:rPr>
  </w:style>
  <w:style w:type="character" w:customStyle="1" w:styleId="523">
    <w:name w:val="未处理的提及19"/>
    <w:basedOn w:val="12"/>
    <w:semiHidden/>
    <w:unhideWhenUsed/>
    <w:qFormat/>
    <w:uiPriority w:val="99"/>
    <w:rPr>
      <w:color w:val="605E5C"/>
      <w:shd w:val="clear" w:color="auto" w:fill="E1DFDD"/>
    </w:rPr>
  </w:style>
  <w:style w:type="character" w:customStyle="1" w:styleId="524">
    <w:name w:val="Unresolved Mention"/>
    <w:basedOn w:val="12"/>
    <w:semiHidden/>
    <w:unhideWhenUsed/>
    <w:qFormat/>
    <w:uiPriority w:val="99"/>
    <w:rPr>
      <w:color w:val="605E5C"/>
      <w:shd w:val="clear" w:color="auto" w:fill="E1DFDD"/>
    </w:rPr>
  </w:style>
  <w:style w:type="character" w:customStyle="1" w:styleId="525">
    <w:name w:val="Item List Char"/>
    <w:link w:val="378"/>
    <w:qFormat/>
    <w:uiPriority w:val="0"/>
    <w:rPr>
      <w:rFonts w:cs="Arial"/>
      <w:kern w:val="2"/>
      <w:sz w:val="21"/>
      <w:szCs w:val="21"/>
    </w:rPr>
  </w:style>
  <w:style w:type="character" w:customStyle="1" w:styleId="526">
    <w:name w:val="正文缩进 字符1"/>
    <w:qFormat/>
    <w:uiPriority w:val="0"/>
    <w:rPr>
      <w:rFonts w:ascii="Times New Roman" w:hAnsi="Times New Roman" w:cs="Times New Roman"/>
      <w:szCs w:val="24"/>
    </w:rPr>
  </w:style>
  <w:style w:type="character" w:customStyle="1" w:styleId="527">
    <w:name w:val="批注文字 字符3"/>
    <w:qFormat/>
    <w:uiPriority w:val="99"/>
    <w:rPr>
      <w:rFonts w:ascii="华文宋体" w:hAnsi="Calibri" w:eastAsia="华文宋体"/>
      <w:kern w:val="2"/>
      <w:sz w:val="24"/>
      <w:szCs w:val="24"/>
    </w:rPr>
  </w:style>
  <w:style w:type="character" w:customStyle="1" w:styleId="528">
    <w:name w:val="Text Char"/>
    <w:link w:val="529"/>
    <w:qFormat/>
    <w:uiPriority w:val="0"/>
    <w:rPr>
      <w:rFonts w:ascii="Calibri" w:hAnsi="Calibri" w:eastAsia="仿宋"/>
      <w:sz w:val="24"/>
      <w:szCs w:val="28"/>
    </w:rPr>
  </w:style>
  <w:style w:type="paragraph" w:customStyle="1" w:styleId="529">
    <w:name w:val="Text"/>
    <w:basedOn w:val="1"/>
    <w:link w:val="528"/>
    <w:qFormat/>
    <w:uiPriority w:val="0"/>
    <w:pPr>
      <w:spacing w:line="240" w:lineRule="auto"/>
    </w:pPr>
    <w:rPr>
      <w:rFonts w:ascii="Calibri" w:hAnsi="Calibri"/>
      <w:kern w:val="0"/>
      <w:sz w:val="24"/>
      <w:szCs w:val="28"/>
    </w:rPr>
  </w:style>
  <w:style w:type="character" w:customStyle="1" w:styleId="530">
    <w:name w:val="sh141"/>
    <w:qFormat/>
    <w:uiPriority w:val="0"/>
    <w:rPr>
      <w:color w:val="2B2B2B"/>
      <w:sz w:val="25"/>
      <w:szCs w:val="25"/>
    </w:rPr>
  </w:style>
  <w:style w:type="character" w:customStyle="1" w:styleId="531">
    <w:name w:val="!正文 Char"/>
    <w:link w:val="532"/>
    <w:qFormat/>
    <w:uiPriority w:val="0"/>
    <w:rPr>
      <w:sz w:val="24"/>
      <w:szCs w:val="28"/>
    </w:rPr>
  </w:style>
  <w:style w:type="paragraph" w:customStyle="1" w:styleId="532">
    <w:name w:val="!正文"/>
    <w:basedOn w:val="1"/>
    <w:link w:val="531"/>
    <w:qFormat/>
    <w:uiPriority w:val="0"/>
    <w:pPr>
      <w:widowControl/>
      <w:adjustRightInd/>
      <w:snapToGrid/>
      <w:ind w:firstLineChars="0"/>
      <w:jc w:val="left"/>
    </w:pPr>
    <w:rPr>
      <w:rFonts w:ascii="Times New Roman" w:hAnsi="Times New Roman" w:eastAsia="宋体"/>
      <w:kern w:val="0"/>
      <w:sz w:val="24"/>
      <w:szCs w:val="28"/>
    </w:rPr>
  </w:style>
  <w:style w:type="character" w:customStyle="1" w:styleId="533">
    <w:name w:val="标准正文（天广汇通） 字符"/>
    <w:link w:val="534"/>
    <w:qFormat/>
    <w:uiPriority w:val="0"/>
    <w:rPr>
      <w:rFonts w:ascii="等线" w:hAnsi="等线"/>
      <w:szCs w:val="28"/>
    </w:rPr>
  </w:style>
  <w:style w:type="paragraph" w:customStyle="1" w:styleId="534">
    <w:name w:val="标准正文（天广汇通）"/>
    <w:basedOn w:val="1"/>
    <w:link w:val="533"/>
    <w:qFormat/>
    <w:uiPriority w:val="0"/>
    <w:pPr>
      <w:adjustRightInd/>
      <w:snapToGrid/>
      <w:spacing w:beforeLines="25" w:afterLines="25"/>
      <w:ind w:firstLine="480"/>
    </w:pPr>
    <w:rPr>
      <w:rFonts w:eastAsia="宋体"/>
      <w:kern w:val="0"/>
      <w:sz w:val="20"/>
      <w:szCs w:val="28"/>
    </w:rPr>
  </w:style>
  <w:style w:type="character" w:customStyle="1" w:styleId="535">
    <w:name w:val="小括号 Char"/>
    <w:link w:val="536"/>
    <w:qFormat/>
    <w:uiPriority w:val="0"/>
    <w:rPr>
      <w:rFonts w:hAnsi="宋体" w:cs="宋体"/>
      <w:sz w:val="24"/>
      <w:szCs w:val="24"/>
    </w:rPr>
  </w:style>
  <w:style w:type="paragraph" w:customStyle="1" w:styleId="536">
    <w:name w:val="小括号"/>
    <w:basedOn w:val="1"/>
    <w:next w:val="1"/>
    <w:link w:val="535"/>
    <w:qFormat/>
    <w:uiPriority w:val="0"/>
    <w:pPr>
      <w:widowControl/>
      <w:ind w:firstLine="360" w:firstLineChars="150"/>
      <w:jc w:val="left"/>
    </w:pPr>
    <w:rPr>
      <w:rFonts w:ascii="Times New Roman" w:hAnsi="宋体" w:eastAsia="宋体" w:cs="宋体"/>
      <w:kern w:val="0"/>
      <w:sz w:val="24"/>
      <w:szCs w:val="24"/>
    </w:rPr>
  </w:style>
  <w:style w:type="character" w:customStyle="1" w:styleId="537">
    <w:name w:val="【正文】 Char"/>
    <w:link w:val="538"/>
    <w:qFormat/>
    <w:uiPriority w:val="0"/>
    <w:rPr>
      <w:rFonts w:ascii="Calibri" w:hAnsi="Calibri"/>
      <w:sz w:val="24"/>
    </w:rPr>
  </w:style>
  <w:style w:type="paragraph" w:customStyle="1" w:styleId="538">
    <w:name w:val="【正文】"/>
    <w:basedOn w:val="1"/>
    <w:link w:val="537"/>
    <w:qFormat/>
    <w:uiPriority w:val="0"/>
    <w:pPr>
      <w:adjustRightInd/>
      <w:snapToGrid/>
      <w:jc w:val="left"/>
    </w:pPr>
    <w:rPr>
      <w:rFonts w:ascii="Calibri" w:hAnsi="Calibri" w:eastAsia="宋体"/>
      <w:kern w:val="0"/>
      <w:sz w:val="24"/>
      <w:szCs w:val="20"/>
    </w:rPr>
  </w:style>
  <w:style w:type="character" w:customStyle="1" w:styleId="539">
    <w:name w:val="批注文字 字符4"/>
    <w:qFormat/>
    <w:uiPriority w:val="99"/>
    <w:rPr>
      <w:rFonts w:ascii="Times New Roman" w:hAnsi="Times New Roman" w:eastAsia="宋体" w:cs="Times New Roman"/>
      <w:kern w:val="2"/>
      <w:sz w:val="21"/>
      <w:szCs w:val="24"/>
      <w:lang w:val="zh-CN"/>
    </w:rPr>
  </w:style>
  <w:style w:type="paragraph" w:customStyle="1" w:styleId="540">
    <w:name w:val="引用1"/>
    <w:basedOn w:val="1"/>
    <w:next w:val="1"/>
    <w:qFormat/>
    <w:uiPriority w:val="29"/>
    <w:pPr>
      <w:adjustRightInd/>
      <w:snapToGrid/>
      <w:ind w:firstLine="0" w:firstLineChars="0"/>
    </w:pPr>
    <w:rPr>
      <w:rFonts w:ascii="Times New Roman" w:hAnsi="Times New Roman" w:eastAsia="宋体"/>
      <w:i/>
      <w:iCs/>
      <w:color w:val="000000"/>
      <w:kern w:val="0"/>
      <w:sz w:val="24"/>
      <w:szCs w:val="24"/>
    </w:rPr>
  </w:style>
  <w:style w:type="character" w:customStyle="1" w:styleId="541">
    <w:name w:val="不明显参考11111"/>
    <w:qFormat/>
    <w:uiPriority w:val="31"/>
    <w:rPr>
      <w:smallCaps/>
      <w:color w:val="C0504D"/>
      <w:u w:val="single"/>
    </w:rPr>
  </w:style>
  <w:style w:type="character" w:customStyle="1" w:styleId="542">
    <w:name w:val="正文2 字符"/>
    <w:qFormat/>
    <w:uiPriority w:val="0"/>
    <w:rPr>
      <w:rFonts w:ascii="仿宋_GB2312" w:hAnsi="宋体" w:eastAsia="仿宋_GB2312" w:cs="Times New Roman"/>
      <w:sz w:val="32"/>
      <w:szCs w:val="32"/>
    </w:rPr>
  </w:style>
  <w:style w:type="character" w:customStyle="1" w:styleId="543">
    <w:name w:val="明显参考11111"/>
    <w:qFormat/>
    <w:uiPriority w:val="32"/>
    <w:rPr>
      <w:b/>
      <w:bCs/>
      <w:smallCaps/>
      <w:color w:val="C0504D"/>
      <w:spacing w:val="5"/>
      <w:u w:val="single"/>
    </w:rPr>
  </w:style>
  <w:style w:type="character" w:customStyle="1" w:styleId="544">
    <w:name w:val="apple-converted-space"/>
    <w:basedOn w:val="12"/>
    <w:qFormat/>
    <w:uiPriority w:val="0"/>
  </w:style>
  <w:style w:type="character" w:customStyle="1" w:styleId="545">
    <w:name w:val="题注 字符2"/>
    <w:qFormat/>
    <w:uiPriority w:val="35"/>
    <w:rPr>
      <w:rFonts w:ascii="宋体" w:hAnsi="宋体" w:eastAsia="宋体" w:cs="Times New Roman"/>
      <w:kern w:val="2"/>
      <w:sz w:val="24"/>
    </w:rPr>
  </w:style>
  <w:style w:type="character" w:customStyle="1" w:styleId="546">
    <w:name w:val="图片 Char"/>
    <w:qFormat/>
    <w:uiPriority w:val="0"/>
    <w:rPr>
      <w:rFonts w:ascii="微软雅黑" w:hAnsi="微软雅黑" w:eastAsia="微软雅黑" w:cs="微软雅黑"/>
      <w:szCs w:val="22"/>
    </w:rPr>
  </w:style>
  <w:style w:type="character" w:customStyle="1" w:styleId="547">
    <w:name w:val="QB正文 Char"/>
    <w:link w:val="548"/>
    <w:qFormat/>
    <w:uiPriority w:val="0"/>
    <w:rPr>
      <w:rFonts w:ascii="宋体"/>
    </w:rPr>
  </w:style>
  <w:style w:type="paragraph" w:customStyle="1" w:styleId="548">
    <w:name w:val="QB正文"/>
    <w:basedOn w:val="1"/>
    <w:link w:val="547"/>
    <w:qFormat/>
    <w:uiPriority w:val="0"/>
    <w:pPr>
      <w:widowControl/>
      <w:autoSpaceDE w:val="0"/>
      <w:autoSpaceDN w:val="0"/>
      <w:adjustRightInd/>
      <w:snapToGrid/>
    </w:pPr>
    <w:rPr>
      <w:rFonts w:ascii="宋体" w:hAnsi="Times New Roman" w:eastAsia="宋体"/>
      <w:kern w:val="0"/>
      <w:sz w:val="20"/>
      <w:szCs w:val="20"/>
    </w:rPr>
  </w:style>
  <w:style w:type="character" w:customStyle="1" w:styleId="549">
    <w:name w:val="表格正文 Char"/>
    <w:link w:val="550"/>
    <w:qFormat/>
    <w:uiPriority w:val="0"/>
    <w:rPr>
      <w:sz w:val="24"/>
      <w:szCs w:val="24"/>
    </w:rPr>
  </w:style>
  <w:style w:type="paragraph" w:customStyle="1" w:styleId="550">
    <w:name w:val="表格正文"/>
    <w:basedOn w:val="1"/>
    <w:link w:val="549"/>
    <w:qFormat/>
    <w:uiPriority w:val="0"/>
    <w:pPr>
      <w:adjustRightInd/>
      <w:spacing w:line="300" w:lineRule="auto"/>
      <w:ind w:firstLine="0" w:firstLineChars="0"/>
    </w:pPr>
    <w:rPr>
      <w:rFonts w:ascii="Times New Roman" w:hAnsi="Times New Roman" w:eastAsia="宋体"/>
      <w:kern w:val="0"/>
      <w:sz w:val="24"/>
      <w:szCs w:val="24"/>
    </w:rPr>
  </w:style>
  <w:style w:type="character" w:customStyle="1" w:styleId="551">
    <w:name w:val="标题 2（天广汇通） 字符"/>
    <w:link w:val="552"/>
    <w:qFormat/>
    <w:uiPriority w:val="0"/>
    <w:rPr>
      <w:rFonts w:ascii="Arial" w:hAnsi="Arial" w:eastAsia="华文中宋"/>
      <w:b/>
      <w:sz w:val="44"/>
      <w:szCs w:val="32"/>
    </w:rPr>
  </w:style>
  <w:style w:type="paragraph" w:customStyle="1" w:styleId="552">
    <w:name w:val="标题 2（天广汇通）"/>
    <w:basedOn w:val="3"/>
    <w:next w:val="534"/>
    <w:link w:val="551"/>
    <w:qFormat/>
    <w:uiPriority w:val="0"/>
    <w:pPr>
      <w:adjustRightInd/>
      <w:snapToGrid/>
      <w:spacing w:before="0" w:beforeLines="50" w:after="0" w:afterLines="50" w:line="360" w:lineRule="auto"/>
      <w:ind w:left="992" w:hanging="567" w:firstLineChars="0"/>
      <w:jc w:val="left"/>
    </w:pPr>
    <w:rPr>
      <w:rFonts w:eastAsia="华文中宋"/>
      <w:kern w:val="0"/>
      <w:sz w:val="44"/>
      <w:szCs w:val="32"/>
    </w:rPr>
  </w:style>
  <w:style w:type="character" w:customStyle="1" w:styleId="553">
    <w:name w:val="正文5 字符"/>
    <w:link w:val="554"/>
    <w:qFormat/>
    <w:uiPriority w:val="0"/>
    <w:rPr>
      <w:color w:val="000000"/>
      <w:sz w:val="24"/>
      <w:szCs w:val="24"/>
    </w:rPr>
  </w:style>
  <w:style w:type="paragraph" w:customStyle="1" w:styleId="554">
    <w:name w:val="正文5"/>
    <w:basedOn w:val="1"/>
    <w:link w:val="553"/>
    <w:qFormat/>
    <w:uiPriority w:val="0"/>
    <w:pPr>
      <w:widowControl/>
      <w:adjustRightInd/>
      <w:snapToGrid/>
    </w:pPr>
    <w:rPr>
      <w:rFonts w:ascii="Times New Roman" w:hAnsi="Times New Roman" w:eastAsia="宋体"/>
      <w:color w:val="000000"/>
      <w:kern w:val="0"/>
      <w:sz w:val="24"/>
      <w:szCs w:val="24"/>
    </w:rPr>
  </w:style>
  <w:style w:type="character" w:customStyle="1" w:styleId="555">
    <w:name w:val="icbc正文 Char Char"/>
    <w:link w:val="556"/>
    <w:qFormat/>
    <w:uiPriority w:val="0"/>
    <w:rPr>
      <w:rFonts w:eastAsia="仿宋" w:cs="黑体"/>
      <w:kern w:val="2"/>
      <w:sz w:val="28"/>
      <w:szCs w:val="24"/>
    </w:rPr>
  </w:style>
  <w:style w:type="paragraph" w:customStyle="1" w:styleId="556">
    <w:name w:val="abc正文"/>
    <w:basedOn w:val="557"/>
    <w:link w:val="555"/>
    <w:qFormat/>
    <w:uiPriority w:val="0"/>
    <w:pPr>
      <w:widowControl w:val="0"/>
      <w:numPr>
        <w:ilvl w:val="0"/>
        <w:numId w:val="24"/>
      </w:numPr>
      <w:tabs>
        <w:tab w:val="left" w:pos="1200"/>
      </w:tabs>
      <w:spacing w:line="360" w:lineRule="auto"/>
      <w:ind w:left="0" w:leftChars="400" w:firstLine="0" w:firstLineChars="0"/>
    </w:pPr>
    <w:rPr>
      <w:rFonts w:ascii="Times New Roman" w:hAnsi="Times New Roman"/>
      <w:kern w:val="2"/>
    </w:rPr>
  </w:style>
  <w:style w:type="paragraph" w:customStyle="1" w:styleId="557">
    <w:name w:val="首行缩进正文"/>
    <w:basedOn w:val="1"/>
    <w:link w:val="565"/>
    <w:qFormat/>
    <w:uiPriority w:val="0"/>
    <w:pPr>
      <w:widowControl/>
      <w:adjustRightInd/>
      <w:snapToGrid/>
      <w:spacing w:line="240" w:lineRule="auto"/>
      <w:ind w:firstLine="480"/>
      <w:jc w:val="left"/>
    </w:pPr>
    <w:rPr>
      <w:rFonts w:ascii="Calibri" w:hAnsi="Calibri" w:cs="黑体"/>
      <w:kern w:val="0"/>
      <w:szCs w:val="24"/>
    </w:rPr>
  </w:style>
  <w:style w:type="character" w:customStyle="1" w:styleId="558">
    <w:name w:val="不明显强调11111"/>
    <w:qFormat/>
    <w:uiPriority w:val="19"/>
    <w:rPr>
      <w:i/>
      <w:iCs/>
      <w:color w:val="7E7E7E"/>
    </w:rPr>
  </w:style>
  <w:style w:type="character" w:customStyle="1" w:styleId="559">
    <w:name w:val="正文（安华金和） Char"/>
    <w:link w:val="560"/>
    <w:qFormat/>
    <w:uiPriority w:val="0"/>
    <w:rPr>
      <w:rFonts w:ascii="Arial" w:hAnsi="Arial"/>
    </w:rPr>
  </w:style>
  <w:style w:type="paragraph" w:customStyle="1" w:styleId="560">
    <w:name w:val="正文（安华金和）"/>
    <w:link w:val="559"/>
    <w:qFormat/>
    <w:uiPriority w:val="0"/>
    <w:pPr>
      <w:spacing w:line="300" w:lineRule="auto"/>
    </w:pPr>
    <w:rPr>
      <w:rFonts w:ascii="Arial" w:hAnsi="Arial" w:eastAsia="宋体" w:cs="Times New Roman"/>
      <w:lang w:val="en-US" w:eastAsia="zh-CN" w:bidi="ar-SA"/>
    </w:rPr>
  </w:style>
  <w:style w:type="character" w:customStyle="1" w:styleId="561">
    <w:name w:val="明显引用 字符2"/>
    <w:qFormat/>
    <w:uiPriority w:val="30"/>
    <w:rPr>
      <w:b/>
      <w:bCs/>
      <w:i/>
      <w:iCs/>
      <w:color w:val="4F81BD"/>
    </w:rPr>
  </w:style>
  <w:style w:type="character" w:customStyle="1" w:styleId="562">
    <w:name w:val="正文 Char"/>
    <w:link w:val="563"/>
    <w:qFormat/>
    <w:uiPriority w:val="0"/>
    <w:rPr>
      <w:rFonts w:ascii="宋体"/>
      <w:sz w:val="34"/>
    </w:rPr>
  </w:style>
  <w:style w:type="paragraph" w:customStyle="1" w:styleId="563">
    <w:name w:val="正文2"/>
    <w:link w:val="562"/>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character" w:customStyle="1" w:styleId="564">
    <w:name w:val="QB正文 字符"/>
    <w:qFormat/>
    <w:uiPriority w:val="0"/>
    <w:rPr>
      <w:rFonts w:ascii="Times New Roman" w:hAnsi="Times New Roman" w:eastAsia="宋体" w:cs="Times New Roman"/>
      <w:kern w:val="0"/>
      <w:sz w:val="24"/>
      <w:szCs w:val="20"/>
    </w:rPr>
  </w:style>
  <w:style w:type="character" w:customStyle="1" w:styleId="565">
    <w:name w:val="首行缩进正文 字符"/>
    <w:link w:val="557"/>
    <w:qFormat/>
    <w:uiPriority w:val="0"/>
    <w:rPr>
      <w:rFonts w:ascii="Calibri" w:hAnsi="Calibri" w:eastAsia="仿宋" w:cs="黑体"/>
      <w:sz w:val="28"/>
      <w:szCs w:val="24"/>
    </w:rPr>
  </w:style>
  <w:style w:type="character" w:customStyle="1" w:styleId="566">
    <w:name w:val="题注 Char1"/>
    <w:qFormat/>
    <w:uiPriority w:val="0"/>
    <w:rPr>
      <w:sz w:val="24"/>
    </w:rPr>
  </w:style>
  <w:style w:type="character" w:customStyle="1" w:styleId="567">
    <w:name w:val="标题 1（天广汇通） 字符"/>
    <w:link w:val="568"/>
    <w:qFormat/>
    <w:uiPriority w:val="0"/>
    <w:rPr>
      <w:rFonts w:ascii="Arial" w:hAnsi="Arial" w:eastAsia="华文中宋"/>
      <w:b/>
      <w:bCs/>
      <w:kern w:val="44"/>
      <w:sz w:val="48"/>
      <w:szCs w:val="44"/>
    </w:rPr>
  </w:style>
  <w:style w:type="paragraph" w:customStyle="1" w:styleId="568">
    <w:name w:val="标题 1（天广汇通）"/>
    <w:basedOn w:val="1"/>
    <w:next w:val="534"/>
    <w:link w:val="567"/>
    <w:qFormat/>
    <w:uiPriority w:val="0"/>
    <w:pPr>
      <w:keepNext/>
      <w:keepLines/>
      <w:pageBreakBefore/>
      <w:adjustRightInd/>
      <w:snapToGrid/>
      <w:spacing w:beforeLines="50" w:afterLines="50"/>
      <w:ind w:left="1985" w:hanging="425" w:firstLineChars="0"/>
      <w:jc w:val="left"/>
      <w:outlineLvl w:val="0"/>
    </w:pPr>
    <w:rPr>
      <w:rFonts w:ascii="Arial" w:hAnsi="Arial" w:eastAsia="华文中宋"/>
      <w:b/>
      <w:bCs/>
      <w:kern w:val="44"/>
      <w:sz w:val="48"/>
      <w:szCs w:val="44"/>
    </w:rPr>
  </w:style>
  <w:style w:type="character" w:customStyle="1" w:styleId="569">
    <w:name w:val="标题1 字符"/>
    <w:link w:val="280"/>
    <w:qFormat/>
    <w:uiPriority w:val="0"/>
    <w:rPr>
      <w:b/>
      <w:kern w:val="2"/>
      <w:sz w:val="28"/>
      <w:szCs w:val="24"/>
    </w:rPr>
  </w:style>
  <w:style w:type="character" w:customStyle="1" w:styleId="570">
    <w:name w:val="列表1 字符"/>
    <w:link w:val="571"/>
    <w:qFormat/>
    <w:uiPriority w:val="0"/>
    <w:rPr>
      <w:rFonts w:ascii="仿宋" w:hAnsi="仿宋" w:eastAsia="仿宋"/>
      <w:kern w:val="2"/>
      <w:sz w:val="32"/>
      <w:szCs w:val="24"/>
    </w:rPr>
  </w:style>
  <w:style w:type="paragraph" w:customStyle="1" w:styleId="571">
    <w:name w:val="列表1"/>
    <w:basedOn w:val="376"/>
    <w:link w:val="570"/>
    <w:qFormat/>
    <w:uiPriority w:val="0"/>
    <w:pPr>
      <w:numPr>
        <w:ilvl w:val="0"/>
        <w:numId w:val="25"/>
      </w:numPr>
      <w:autoSpaceDE/>
      <w:autoSpaceDN/>
      <w:adjustRightInd/>
      <w:snapToGrid/>
      <w:ind w:left="0" w:firstLine="0" w:firstLineChars="0"/>
      <w:contextualSpacing/>
      <w:jc w:val="both"/>
    </w:pPr>
    <w:rPr>
      <w:rFonts w:ascii="仿宋" w:hAnsi="仿宋" w:eastAsia="仿宋"/>
      <w:kern w:val="2"/>
      <w:sz w:val="32"/>
      <w:szCs w:val="24"/>
    </w:rPr>
  </w:style>
  <w:style w:type="paragraph" w:customStyle="1" w:styleId="572">
    <w:name w:val="明显引用1"/>
    <w:basedOn w:val="1"/>
    <w:next w:val="1"/>
    <w:qFormat/>
    <w:uiPriority w:val="30"/>
    <w:pPr>
      <w:pBdr>
        <w:bottom w:val="single" w:color="4F81BD" w:sz="4" w:space="4"/>
      </w:pBdr>
      <w:adjustRightInd/>
      <w:snapToGrid/>
      <w:spacing w:before="200" w:after="280"/>
      <w:ind w:left="936" w:right="936" w:firstLine="0" w:firstLineChars="0"/>
    </w:pPr>
    <w:rPr>
      <w:rFonts w:ascii="Times New Roman" w:hAnsi="Times New Roman" w:eastAsia="宋体"/>
      <w:i/>
      <w:iCs/>
      <w:color w:val="2F5597" w:themeColor="accent1" w:themeShade="BF"/>
      <w:sz w:val="24"/>
      <w:szCs w:val="24"/>
    </w:rPr>
  </w:style>
  <w:style w:type="character" w:customStyle="1" w:styleId="573">
    <w:name w:val="插入式样 Char"/>
    <w:link w:val="574"/>
    <w:qFormat/>
    <w:uiPriority w:val="0"/>
    <w:rPr>
      <w:rFonts w:ascii="宋体" w:hAnsi="宋体" w:eastAsia="仿宋"/>
      <w:bCs/>
      <w:sz w:val="28"/>
      <w:szCs w:val="24"/>
    </w:rPr>
  </w:style>
  <w:style w:type="paragraph" w:customStyle="1" w:styleId="574">
    <w:name w:val="插入式样"/>
    <w:basedOn w:val="1"/>
    <w:link w:val="573"/>
    <w:qFormat/>
    <w:uiPriority w:val="0"/>
    <w:pPr>
      <w:adjustRightInd/>
      <w:snapToGrid/>
      <w:ind w:firstLine="480"/>
      <w:jc w:val="left"/>
    </w:pPr>
    <w:rPr>
      <w:rFonts w:ascii="宋体" w:hAnsi="宋体"/>
      <w:bCs/>
      <w:kern w:val="0"/>
      <w:szCs w:val="24"/>
    </w:rPr>
  </w:style>
  <w:style w:type="character" w:customStyle="1" w:styleId="575">
    <w:name w:val="引用 字符2"/>
    <w:qFormat/>
    <w:uiPriority w:val="29"/>
    <w:rPr>
      <w:i/>
      <w:iCs/>
      <w:color w:val="000000"/>
    </w:rPr>
  </w:style>
  <w:style w:type="character" w:customStyle="1" w:styleId="576">
    <w:name w:val="引用 字符3"/>
    <w:basedOn w:val="12"/>
    <w:qFormat/>
    <w:uiPriority w:val="29"/>
    <w:rPr>
      <w:i/>
      <w:iCs/>
      <w:color w:val="404040" w:themeColor="text1" w:themeTint="BF"/>
      <w:kern w:val="2"/>
      <w:sz w:val="24"/>
      <w:szCs w:val="24"/>
      <w14:textFill>
        <w14:solidFill>
          <w14:schemeClr w14:val="tx1">
            <w14:lumMod w14:val="75000"/>
            <w14:lumOff w14:val="25000"/>
          </w14:schemeClr>
        </w14:solidFill>
      </w14:textFill>
    </w:rPr>
  </w:style>
  <w:style w:type="character" w:customStyle="1" w:styleId="577">
    <w:name w:val="书籍标题11111"/>
    <w:qFormat/>
    <w:uiPriority w:val="33"/>
    <w:rPr>
      <w:b/>
      <w:bCs/>
      <w:smallCaps/>
      <w:spacing w:val="5"/>
    </w:rPr>
  </w:style>
  <w:style w:type="paragraph" w:customStyle="1" w:styleId="578">
    <w:name w:val="标题 5（天广汇通）"/>
    <w:basedOn w:val="7"/>
    <w:next w:val="534"/>
    <w:qFormat/>
    <w:uiPriority w:val="0"/>
    <w:pPr>
      <w:numPr>
        <w:ilvl w:val="0"/>
        <w:numId w:val="0"/>
      </w:numPr>
      <w:adjustRightInd/>
      <w:snapToGrid/>
      <w:spacing w:beforeLines="50" w:afterLines="50"/>
      <w:ind w:left="2551" w:hanging="850"/>
      <w:jc w:val="left"/>
    </w:pPr>
    <w:rPr>
      <w:rFonts w:ascii="Arial" w:hAnsi="Arial" w:eastAsia="华文中宋"/>
      <w:bCs w:val="0"/>
      <w:kern w:val="0"/>
      <w:sz w:val="30"/>
    </w:rPr>
  </w:style>
  <w:style w:type="paragraph" w:customStyle="1" w:styleId="579">
    <w:name w:val="xl146"/>
    <w:basedOn w:val="1"/>
    <w:qFormat/>
    <w:uiPriority w:val="0"/>
    <w:pPr>
      <w:widowControl/>
      <w:pBdr>
        <w:left w:val="single" w:color="auto" w:sz="4" w:space="0"/>
        <w:bottom w:val="single" w:color="auto" w:sz="4" w:space="0"/>
        <w:right w:val="single" w:color="auto" w:sz="4" w:space="0"/>
      </w:pBdr>
      <w:adjustRightInd/>
      <w:snapToGrid/>
      <w:spacing w:before="100" w:beforeAutospacing="1" w:after="100" w:afterAutospacing="1" w:line="240" w:lineRule="auto"/>
      <w:ind w:firstLine="0" w:firstLineChars="0"/>
      <w:jc w:val="center"/>
    </w:pPr>
    <w:rPr>
      <w:rFonts w:ascii="宋体" w:hAnsi="宋体" w:eastAsia="宋体" w:cs="宋体"/>
      <w:kern w:val="0"/>
      <w:sz w:val="24"/>
      <w:szCs w:val="24"/>
    </w:rPr>
  </w:style>
  <w:style w:type="paragraph" w:customStyle="1" w:styleId="580">
    <w:name w:val="[new]正文"/>
    <w:basedOn w:val="1"/>
    <w:qFormat/>
    <w:uiPriority w:val="0"/>
    <w:pPr>
      <w:adjustRightInd/>
      <w:snapToGrid/>
      <w:spacing w:line="240" w:lineRule="auto"/>
      <w:ind w:firstLine="420"/>
    </w:pPr>
    <w:rPr>
      <w:rFonts w:ascii="Calibri" w:hAnsi="Calibri" w:eastAsia="宋体" w:cs="Arial"/>
      <w:kern w:val="0"/>
      <w:sz w:val="21"/>
    </w:rPr>
  </w:style>
  <w:style w:type="paragraph" w:customStyle="1" w:styleId="581">
    <w:name w:val="样式 11.5 磅 首行缩进:  0.85 厘米"/>
    <w:basedOn w:val="1"/>
    <w:qFormat/>
    <w:uiPriority w:val="0"/>
    <w:pPr>
      <w:autoSpaceDE w:val="0"/>
      <w:autoSpaceDN w:val="0"/>
      <w:ind w:firstLine="425" w:firstLineChars="0"/>
    </w:pPr>
    <w:rPr>
      <w:rFonts w:ascii="宋体" w:hAnsi="宋体" w:eastAsia="宋体" w:cs="宋体"/>
      <w:color w:val="000000"/>
      <w:kern w:val="0"/>
      <w:sz w:val="24"/>
      <w:szCs w:val="24"/>
    </w:rPr>
  </w:style>
  <w:style w:type="paragraph" w:customStyle="1" w:styleId="582">
    <w:name w:val="xl115"/>
    <w:basedOn w:val="1"/>
    <w:qFormat/>
    <w:uiPriority w:val="0"/>
    <w:pPr>
      <w:widowControl/>
      <w:pBdr>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583">
    <w:name w:val="xl144"/>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line="240" w:lineRule="auto"/>
      <w:ind w:firstLine="0" w:firstLineChars="0"/>
      <w:jc w:val="center"/>
    </w:pPr>
    <w:rPr>
      <w:rFonts w:ascii="宋体" w:hAnsi="宋体" w:eastAsia="宋体" w:cs="宋体"/>
      <w:kern w:val="0"/>
      <w:sz w:val="24"/>
      <w:szCs w:val="24"/>
    </w:rPr>
  </w:style>
  <w:style w:type="paragraph" w:customStyle="1" w:styleId="584">
    <w:name w:val="xl127"/>
    <w:basedOn w:val="1"/>
    <w:qFormat/>
    <w:uiPriority w:val="0"/>
    <w:pPr>
      <w:widowControl/>
      <w:pBdr>
        <w:left w:val="single" w:color="auto" w:sz="4" w:space="0"/>
        <w:right w:val="single" w:color="auto" w:sz="4" w:space="0"/>
      </w:pBdr>
      <w:shd w:val="clear" w:color="000000" w:fill="FFFF00"/>
      <w:adjustRightInd/>
      <w:snapToGrid/>
      <w:spacing w:before="100" w:beforeAutospacing="1" w:after="100" w:afterAutospacing="1" w:line="240" w:lineRule="auto"/>
      <w:ind w:firstLine="0" w:firstLineChars="0"/>
      <w:jc w:val="center"/>
      <w:textAlignment w:val="center"/>
    </w:pPr>
    <w:rPr>
      <w:rFonts w:ascii="微软雅黑" w:hAnsi="微软雅黑" w:eastAsia="微软雅黑" w:cs="宋体"/>
      <w:kern w:val="0"/>
      <w:sz w:val="18"/>
      <w:szCs w:val="18"/>
    </w:rPr>
  </w:style>
  <w:style w:type="paragraph" w:customStyle="1" w:styleId="585">
    <w:name w:val="表格"/>
    <w:basedOn w:val="1"/>
    <w:qFormat/>
    <w:uiPriority w:val="0"/>
    <w:pPr>
      <w:overflowPunct w:val="0"/>
      <w:autoSpaceDE w:val="0"/>
      <w:autoSpaceDN w:val="0"/>
      <w:snapToGrid/>
      <w:spacing w:line="0" w:lineRule="atLeast"/>
      <w:ind w:firstLine="0" w:firstLineChars="0"/>
      <w:jc w:val="center"/>
      <w:textAlignment w:val="baseline"/>
    </w:pPr>
    <w:rPr>
      <w:rFonts w:ascii="宋体" w:hAnsi="Arial" w:eastAsia="宋体" w:cs="宋体"/>
      <w:kern w:val="0"/>
      <w:sz w:val="24"/>
      <w:szCs w:val="24"/>
    </w:rPr>
  </w:style>
  <w:style w:type="paragraph" w:customStyle="1" w:styleId="586">
    <w:name w:val="标题 4（天广汇通）"/>
    <w:basedOn w:val="6"/>
    <w:next w:val="534"/>
    <w:qFormat/>
    <w:uiPriority w:val="0"/>
    <w:pPr>
      <w:tabs>
        <w:tab w:val="clear" w:pos="900"/>
        <w:tab w:val="clear" w:pos="993"/>
      </w:tabs>
      <w:kinsoku/>
      <w:autoSpaceDE/>
      <w:autoSpaceDN/>
      <w:spacing w:before="120" w:after="120" w:line="360" w:lineRule="auto"/>
      <w:ind w:left="1984" w:hanging="708"/>
      <w:textAlignment w:val="auto"/>
    </w:pPr>
    <w:rPr>
      <w:rFonts w:ascii="Arial" w:hAnsi="Arial" w:eastAsia="华文中宋"/>
      <w:b/>
      <w:bCs w:val="0"/>
      <w:color w:val="000000"/>
      <w:kern w:val="0"/>
      <w:sz w:val="32"/>
    </w:rPr>
  </w:style>
  <w:style w:type="paragraph" w:customStyle="1" w:styleId="587">
    <w:name w:val="版本记录标题文字"/>
    <w:basedOn w:val="1"/>
    <w:semiHidden/>
    <w:qFormat/>
    <w:uiPriority w:val="0"/>
    <w:pPr>
      <w:adjustRightInd/>
      <w:snapToGrid/>
      <w:spacing w:line="480" w:lineRule="atLeast"/>
      <w:ind w:firstLine="0" w:firstLineChars="0"/>
    </w:pPr>
    <w:rPr>
      <w:rFonts w:ascii="Times New Roman" w:hAnsi="Times New Roman"/>
      <w:szCs w:val="24"/>
    </w:rPr>
  </w:style>
  <w:style w:type="paragraph" w:customStyle="1" w:styleId="588">
    <w:name w:val="样式 首行缩进:  2 字符"/>
    <w:basedOn w:val="1"/>
    <w:qFormat/>
    <w:uiPriority w:val="0"/>
    <w:pPr>
      <w:snapToGrid/>
      <w:spacing w:line="300" w:lineRule="auto"/>
      <w:ind w:firstLine="480"/>
      <w:textAlignment w:val="baseline"/>
    </w:pPr>
    <w:rPr>
      <w:rFonts w:ascii="Times New Roman" w:hAnsi="Times New Roman" w:eastAsia="宋体" w:cs="宋体"/>
      <w:kern w:val="0"/>
      <w:sz w:val="24"/>
      <w:szCs w:val="24"/>
    </w:rPr>
  </w:style>
  <w:style w:type="paragraph" w:customStyle="1" w:styleId="589">
    <w:name w:val="xl121"/>
    <w:basedOn w:val="1"/>
    <w:qFormat/>
    <w:uiPriority w:val="0"/>
    <w:pPr>
      <w:widowControl/>
      <w:pBdr>
        <w:left w:val="single" w:color="auto" w:sz="4" w:space="0"/>
        <w:right w:val="single" w:color="auto" w:sz="4" w:space="0"/>
      </w:pBdr>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590">
    <w:name w:val="xl116"/>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591">
    <w:name w:val="列项细分"/>
    <w:basedOn w:val="1"/>
    <w:qFormat/>
    <w:uiPriority w:val="0"/>
    <w:pPr>
      <w:numPr>
        <w:ilvl w:val="0"/>
        <w:numId w:val="26"/>
      </w:numPr>
      <w:tabs>
        <w:tab w:val="decimal" w:pos="1161"/>
        <w:tab w:val="left" w:pos="1196"/>
        <w:tab w:val="clear" w:pos="1199"/>
      </w:tabs>
      <w:adjustRightInd/>
      <w:snapToGrid/>
      <w:spacing w:line="240" w:lineRule="auto"/>
      <w:ind w:left="0" w:firstLine="0" w:firstLineChars="0"/>
    </w:pPr>
    <w:rPr>
      <w:rFonts w:ascii="宋体" w:hAnsi="宋体" w:eastAsia="宋体" w:cs="宋体"/>
      <w:sz w:val="24"/>
      <w:szCs w:val="24"/>
      <w:lang w:bidi="hi-IN"/>
    </w:rPr>
  </w:style>
  <w:style w:type="paragraph" w:customStyle="1" w:styleId="592">
    <w:name w:val="xl123"/>
    <w:basedOn w:val="1"/>
    <w:qFormat/>
    <w:uiPriority w:val="0"/>
    <w:pPr>
      <w:widowControl/>
      <w:pBdr>
        <w:left w:val="single" w:color="auto" w:sz="4" w:space="0"/>
        <w:right w:val="single" w:color="auto" w:sz="4" w:space="0"/>
      </w:pBdr>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0"/>
      <w:szCs w:val="20"/>
    </w:rPr>
  </w:style>
  <w:style w:type="paragraph" w:customStyle="1" w:styleId="593">
    <w:name w:val="xl147"/>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594">
    <w:name w:val="xl139"/>
    <w:basedOn w:val="1"/>
    <w:qFormat/>
    <w:uiPriority w:val="0"/>
    <w:pPr>
      <w:widowControl/>
      <w:pBdr>
        <w:left w:val="single" w:color="auto" w:sz="4" w:space="0"/>
        <w:bottom w:val="single" w:color="auto" w:sz="4" w:space="0"/>
        <w:right w:val="single" w:color="auto" w:sz="4" w:space="0"/>
      </w:pBdr>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4"/>
      <w:szCs w:val="24"/>
    </w:rPr>
  </w:style>
  <w:style w:type="paragraph" w:customStyle="1" w:styleId="595">
    <w:name w:val="xl148"/>
    <w:basedOn w:val="1"/>
    <w:qFormat/>
    <w:uiPriority w:val="0"/>
    <w:pPr>
      <w:widowControl/>
      <w:pBdr>
        <w:left w:val="single" w:color="auto" w:sz="4" w:space="0"/>
        <w:right w:val="single" w:color="auto" w:sz="4" w:space="0"/>
      </w:pBdr>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596">
    <w:name w:val="xl122"/>
    <w:basedOn w:val="1"/>
    <w:qFormat/>
    <w:uiPriority w:val="0"/>
    <w:pPr>
      <w:widowControl/>
      <w:pBdr>
        <w:left w:val="single" w:color="auto" w:sz="4" w:space="0"/>
        <w:bottom w:val="single" w:color="auto" w:sz="4" w:space="0"/>
        <w:right w:val="single" w:color="auto" w:sz="4" w:space="0"/>
      </w:pBdr>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597">
    <w:name w:val="xl138"/>
    <w:basedOn w:val="1"/>
    <w:qFormat/>
    <w:uiPriority w:val="0"/>
    <w:pPr>
      <w:widowControl/>
      <w:pBdr>
        <w:left w:val="single" w:color="auto" w:sz="4" w:space="0"/>
        <w:right w:val="single" w:color="auto" w:sz="4" w:space="0"/>
      </w:pBdr>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4"/>
      <w:szCs w:val="24"/>
    </w:rPr>
  </w:style>
  <w:style w:type="paragraph" w:customStyle="1" w:styleId="598">
    <w:name w:val="xl118"/>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0"/>
      <w:szCs w:val="20"/>
    </w:rPr>
  </w:style>
  <w:style w:type="paragraph" w:customStyle="1" w:styleId="599">
    <w:name w:val="正文首行缩进（绿盟科技）"/>
    <w:basedOn w:val="1"/>
    <w:qFormat/>
    <w:uiPriority w:val="0"/>
    <w:pPr>
      <w:widowControl/>
      <w:adjustRightInd/>
      <w:snapToGrid/>
      <w:spacing w:before="40" w:after="50" w:line="300" w:lineRule="auto"/>
      <w:jc w:val="left"/>
    </w:pPr>
    <w:rPr>
      <w:rFonts w:ascii="Arial" w:hAnsi="Arial" w:eastAsia="微软雅黑" w:cs="黑体"/>
      <w:color w:val="565656"/>
      <w:kern w:val="20"/>
      <w:sz w:val="21"/>
      <w:lang w:val="zh-CN"/>
    </w:rPr>
  </w:style>
  <w:style w:type="paragraph" w:customStyle="1" w:styleId="600">
    <w:name w:val="标题 3（天广汇通）"/>
    <w:basedOn w:val="4"/>
    <w:next w:val="534"/>
    <w:qFormat/>
    <w:uiPriority w:val="0"/>
    <w:pPr>
      <w:pageBreakBefore w:val="0"/>
      <w:tabs>
        <w:tab w:val="left" w:pos="960"/>
      </w:tabs>
      <w:kinsoku/>
      <w:autoSpaceDE/>
      <w:autoSpaceDN/>
      <w:adjustRightInd/>
      <w:snapToGrid/>
      <w:spacing w:before="120" w:beforeLines="50" w:after="120" w:afterLines="50"/>
      <w:ind w:left="3685" w:hanging="567"/>
      <w:textAlignment w:val="auto"/>
    </w:pPr>
    <w:rPr>
      <w:rFonts w:ascii="Arial" w:hAnsi="Arial" w:eastAsia="华文中宋"/>
      <w:bCs w:val="0"/>
      <w:sz w:val="36"/>
      <w:szCs w:val="30"/>
      <w:lang w:val="en-US" w:eastAsia="zh-CN"/>
    </w:rPr>
  </w:style>
  <w:style w:type="paragraph" w:customStyle="1" w:styleId="601">
    <w:name w:val="xl126"/>
    <w:basedOn w:val="1"/>
    <w:qFormat/>
    <w:uiPriority w:val="0"/>
    <w:pPr>
      <w:widowControl/>
      <w:pBdr>
        <w:top w:val="single" w:color="auto" w:sz="4" w:space="0"/>
        <w:left w:val="single" w:color="auto" w:sz="4" w:space="0"/>
        <w:right w:val="single" w:color="auto" w:sz="4" w:space="0"/>
      </w:pBdr>
      <w:shd w:val="clear" w:color="000000" w:fill="FFFF00"/>
      <w:adjustRightInd/>
      <w:snapToGrid/>
      <w:spacing w:before="100" w:beforeAutospacing="1" w:after="100" w:afterAutospacing="1" w:line="240" w:lineRule="auto"/>
      <w:ind w:firstLine="0" w:firstLineChars="0"/>
      <w:jc w:val="center"/>
      <w:textAlignment w:val="center"/>
    </w:pPr>
    <w:rPr>
      <w:rFonts w:ascii="微软雅黑" w:hAnsi="微软雅黑" w:eastAsia="微软雅黑" w:cs="宋体"/>
      <w:kern w:val="0"/>
      <w:sz w:val="18"/>
      <w:szCs w:val="18"/>
    </w:rPr>
  </w:style>
  <w:style w:type="paragraph" w:customStyle="1" w:styleId="602">
    <w:name w:val="zza5"/>
    <w:basedOn w:val="1"/>
    <w:next w:val="293"/>
    <w:qFormat/>
    <w:uiPriority w:val="0"/>
    <w:pPr>
      <w:numPr>
        <w:ilvl w:val="0"/>
        <w:numId w:val="27"/>
      </w:numPr>
      <w:autoSpaceDE w:val="0"/>
      <w:autoSpaceDN w:val="0"/>
      <w:adjustRightInd/>
      <w:spacing w:after="120"/>
      <w:ind w:left="0" w:firstLine="0" w:firstLineChars="0"/>
      <w:jc w:val="left"/>
    </w:pPr>
    <w:rPr>
      <w:rFonts w:ascii="Times New Roman" w:hAnsi="Times New Roman" w:eastAsia="黑体"/>
      <w:b/>
      <w:sz w:val="24"/>
      <w:szCs w:val="24"/>
    </w:rPr>
  </w:style>
  <w:style w:type="paragraph" w:customStyle="1" w:styleId="603">
    <w:name w:val="公文-标题3"/>
    <w:basedOn w:val="144"/>
    <w:qFormat/>
    <w:uiPriority w:val="0"/>
    <w:pPr>
      <w:widowControl/>
      <w:numPr>
        <w:ilvl w:val="0"/>
        <w:numId w:val="28"/>
      </w:numPr>
      <w:adjustRightInd/>
      <w:snapToGrid/>
      <w:spacing w:line="560" w:lineRule="exact"/>
      <w:ind w:left="0" w:firstLine="0" w:firstLineChars="0"/>
      <w:contextualSpacing/>
      <w:jc w:val="center"/>
    </w:pPr>
    <w:rPr>
      <w:rFonts w:ascii="仿宋_GB2312" w:hAnsi="Calibri" w:eastAsia="仿宋_GB2312"/>
      <w:b/>
      <w:bCs/>
      <w:kern w:val="0"/>
      <w:sz w:val="32"/>
      <w:szCs w:val="32"/>
    </w:rPr>
  </w:style>
  <w:style w:type="paragraph" w:customStyle="1" w:styleId="604">
    <w:name w:val="TOC 标题11111"/>
    <w:basedOn w:val="2"/>
    <w:next w:val="1"/>
    <w:unhideWhenUsed/>
    <w:qFormat/>
    <w:uiPriority w:val="39"/>
    <w:pPr>
      <w:numPr>
        <w:numId w:val="0"/>
      </w:numPr>
      <w:adjustRightInd/>
      <w:snapToGrid/>
      <w:spacing w:before="480" w:line="276" w:lineRule="auto"/>
      <w:outlineLvl w:val="9"/>
    </w:pPr>
    <w:rPr>
      <w:rFonts w:ascii="Cambria" w:hAnsi="Cambria" w:eastAsia="宋体"/>
      <w:b/>
      <w:bCs/>
      <w:color w:val="366091"/>
      <w:kern w:val="2"/>
      <w:sz w:val="24"/>
      <w:szCs w:val="28"/>
    </w:rPr>
  </w:style>
  <w:style w:type="paragraph" w:customStyle="1" w:styleId="605">
    <w:name w:val="标题 6（天广汇通）"/>
    <w:basedOn w:val="578"/>
    <w:next w:val="1"/>
    <w:qFormat/>
    <w:uiPriority w:val="0"/>
    <w:pPr>
      <w:ind w:left="3827" w:hanging="1276"/>
      <w:outlineLvl w:val="5"/>
    </w:pPr>
  </w:style>
  <w:style w:type="paragraph" w:customStyle="1" w:styleId="606">
    <w:name w:val="xl145"/>
    <w:basedOn w:val="1"/>
    <w:qFormat/>
    <w:uiPriority w:val="0"/>
    <w:pPr>
      <w:widowControl/>
      <w:pBdr>
        <w:left w:val="single" w:color="auto" w:sz="4" w:space="0"/>
        <w:right w:val="single" w:color="auto" w:sz="4" w:space="0"/>
      </w:pBdr>
      <w:adjustRightInd/>
      <w:snapToGrid/>
      <w:spacing w:before="100" w:beforeAutospacing="1" w:after="100" w:afterAutospacing="1" w:line="240" w:lineRule="auto"/>
      <w:ind w:firstLine="0" w:firstLineChars="0"/>
      <w:jc w:val="center"/>
    </w:pPr>
    <w:rPr>
      <w:rFonts w:ascii="宋体" w:hAnsi="宋体" w:eastAsia="宋体" w:cs="宋体"/>
      <w:kern w:val="0"/>
      <w:sz w:val="24"/>
      <w:szCs w:val="24"/>
    </w:rPr>
  </w:style>
  <w:style w:type="paragraph" w:customStyle="1" w:styleId="607">
    <w:name w:val="a)标题 6"/>
    <w:basedOn w:val="8"/>
    <w:qFormat/>
    <w:uiPriority w:val="0"/>
    <w:pPr>
      <w:widowControl w:val="0"/>
      <w:numPr>
        <w:ilvl w:val="5"/>
        <w:numId w:val="1"/>
      </w:numPr>
      <w:spacing w:before="0" w:after="0"/>
    </w:pPr>
    <w:rPr>
      <w:rFonts w:eastAsia="宋体"/>
      <w:bCs w:val="0"/>
      <w:color w:val="000000"/>
      <w:sz w:val="24"/>
    </w:rPr>
  </w:style>
  <w:style w:type="paragraph" w:customStyle="1" w:styleId="608">
    <w:name w:val="xl142"/>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4"/>
      <w:szCs w:val="24"/>
    </w:rPr>
  </w:style>
  <w:style w:type="paragraph" w:customStyle="1" w:styleId="609">
    <w:name w:val="xl143"/>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line="240" w:lineRule="auto"/>
      <w:ind w:firstLine="0" w:firstLineChars="0"/>
      <w:jc w:val="center"/>
    </w:pPr>
    <w:rPr>
      <w:rFonts w:ascii="宋体" w:hAnsi="宋体" w:eastAsia="宋体" w:cs="宋体"/>
      <w:kern w:val="0"/>
      <w:sz w:val="24"/>
      <w:szCs w:val="24"/>
    </w:rPr>
  </w:style>
  <w:style w:type="paragraph" w:customStyle="1" w:styleId="610">
    <w:name w:val="Table Paragraph"/>
    <w:basedOn w:val="1"/>
    <w:qFormat/>
    <w:uiPriority w:val="1"/>
    <w:pPr>
      <w:autoSpaceDE w:val="0"/>
      <w:autoSpaceDN w:val="0"/>
      <w:adjustRightInd/>
      <w:snapToGrid/>
      <w:spacing w:line="240" w:lineRule="auto"/>
      <w:ind w:firstLine="0" w:firstLineChars="0"/>
      <w:jc w:val="left"/>
    </w:pPr>
    <w:rPr>
      <w:rFonts w:ascii="宋体" w:hAnsi="宋体" w:eastAsia="宋体" w:cs="宋体"/>
      <w:kern w:val="0"/>
      <w:sz w:val="22"/>
      <w:szCs w:val="22"/>
      <w:lang w:val="zh-CN" w:bidi="zh-CN"/>
    </w:rPr>
  </w:style>
  <w:style w:type="paragraph" w:customStyle="1" w:styleId="611">
    <w:name w:val="xl150"/>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0"/>
      <w:szCs w:val="20"/>
    </w:rPr>
  </w:style>
  <w:style w:type="paragraph" w:customStyle="1" w:styleId="612">
    <w:name w:val="附图标题"/>
    <w:basedOn w:val="1"/>
    <w:next w:val="79"/>
    <w:qFormat/>
    <w:uiPriority w:val="0"/>
    <w:pPr>
      <w:numPr>
        <w:ilvl w:val="0"/>
        <w:numId w:val="29"/>
      </w:numPr>
      <w:adjustRightInd/>
      <w:snapToGrid/>
      <w:spacing w:afterLines="100"/>
      <w:ind w:firstLineChars="0"/>
      <w:jc w:val="center"/>
    </w:pPr>
    <w:rPr>
      <w:rFonts w:ascii="Arial" w:hAnsi="Arial" w:eastAsia="黑体"/>
      <w:b/>
      <w:sz w:val="18"/>
      <w:szCs w:val="24"/>
    </w:rPr>
  </w:style>
  <w:style w:type="paragraph" w:customStyle="1" w:styleId="613">
    <w:name w:val="修订11111"/>
    <w:semiHidden/>
    <w:qFormat/>
    <w:uiPriority w:val="99"/>
    <w:rPr>
      <w:rFonts w:ascii="Times New Roman" w:hAnsi="Times New Roman" w:eastAsia="宋体" w:cs="Times New Roman"/>
      <w:kern w:val="2"/>
      <w:sz w:val="24"/>
      <w:szCs w:val="24"/>
      <w:lang w:val="en-US" w:eastAsia="zh-CN" w:bidi="ar-SA"/>
    </w:rPr>
  </w:style>
  <w:style w:type="paragraph" w:customStyle="1" w:styleId="614">
    <w:name w:val="xl132"/>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615">
    <w:name w:val="取消样式"/>
    <w:next w:val="82"/>
    <w:qFormat/>
    <w:uiPriority w:val="0"/>
    <w:pPr>
      <w:adjustRightInd w:val="0"/>
      <w:snapToGrid w:val="0"/>
      <w:spacing w:line="360" w:lineRule="auto"/>
      <w:ind w:firstLine="200" w:firstLineChars="200"/>
    </w:pPr>
    <w:rPr>
      <w:rFonts w:ascii="Times New Roman" w:hAnsi="Times New Roman" w:eastAsia="宋体" w:cs="Times New Roman"/>
      <w:snapToGrid w:val="0"/>
      <w:sz w:val="24"/>
      <w:lang w:val="en-US" w:eastAsia="zh-CN" w:bidi="ar-SA"/>
    </w:rPr>
  </w:style>
  <w:style w:type="paragraph" w:customStyle="1" w:styleId="616">
    <w:name w:val="xl120"/>
    <w:basedOn w:val="1"/>
    <w:qFormat/>
    <w:uiPriority w:val="0"/>
    <w:pPr>
      <w:widowControl/>
      <w:pBdr>
        <w:left w:val="single" w:color="auto" w:sz="4" w:space="0"/>
        <w:bottom w:val="single" w:color="auto" w:sz="4" w:space="0"/>
        <w:right w:val="single" w:color="auto" w:sz="4" w:space="0"/>
      </w:pBdr>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617">
    <w:name w:val="正文ABC"/>
    <w:basedOn w:val="1"/>
    <w:qFormat/>
    <w:uiPriority w:val="0"/>
    <w:pPr>
      <w:adjustRightInd/>
      <w:snapToGrid/>
    </w:pPr>
    <w:rPr>
      <w:rFonts w:ascii="Calibri" w:hAnsi="Calibri"/>
      <w:szCs w:val="22"/>
    </w:rPr>
  </w:style>
  <w:style w:type="paragraph" w:customStyle="1" w:styleId="618">
    <w:name w:val="xl129"/>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0"/>
      <w:szCs w:val="20"/>
    </w:rPr>
  </w:style>
  <w:style w:type="paragraph" w:customStyle="1" w:styleId="619">
    <w:name w:val="GB2312-2"/>
    <w:basedOn w:val="1"/>
    <w:qFormat/>
    <w:uiPriority w:val="0"/>
    <w:pPr>
      <w:numPr>
        <w:ilvl w:val="0"/>
        <w:numId w:val="30"/>
      </w:numPr>
      <w:adjustRightInd/>
      <w:snapToGrid/>
      <w:ind w:left="0" w:firstLine="0" w:firstLineChars="0"/>
    </w:pPr>
    <w:rPr>
      <w:rFonts w:ascii="仿宋_GB2312" w:hAnsi="宋体" w:eastAsia="仿宋_GB2312"/>
      <w:kern w:val="0"/>
      <w:sz w:val="32"/>
      <w:szCs w:val="32"/>
    </w:rPr>
  </w:style>
  <w:style w:type="paragraph" w:customStyle="1" w:styleId="620">
    <w:name w:val="xl151"/>
    <w:basedOn w:val="1"/>
    <w:qFormat/>
    <w:uiPriority w:val="0"/>
    <w:pPr>
      <w:widowControl/>
      <w:pBdr>
        <w:left w:val="single" w:color="auto" w:sz="4" w:space="0"/>
        <w:right w:val="single" w:color="auto" w:sz="4" w:space="0"/>
      </w:pBdr>
      <w:adjustRightInd/>
      <w:snapToGrid/>
      <w:spacing w:before="100" w:beforeAutospacing="1" w:after="100" w:afterAutospacing="1" w:line="240" w:lineRule="auto"/>
      <w:ind w:firstLine="0" w:firstLineChars="0"/>
      <w:jc w:val="center"/>
      <w:textAlignment w:val="center"/>
    </w:pPr>
    <w:rPr>
      <w:rFonts w:ascii="微软雅黑" w:hAnsi="微软雅黑" w:eastAsia="微软雅黑" w:cs="宋体"/>
      <w:kern w:val="0"/>
      <w:sz w:val="18"/>
      <w:szCs w:val="18"/>
    </w:rPr>
  </w:style>
  <w:style w:type="paragraph" w:customStyle="1" w:styleId="621">
    <w:name w:val="xl133"/>
    <w:basedOn w:val="1"/>
    <w:qFormat/>
    <w:uiPriority w:val="0"/>
    <w:pPr>
      <w:widowControl/>
      <w:pBdr>
        <w:left w:val="single" w:color="auto" w:sz="4" w:space="0"/>
        <w:right w:val="single" w:color="auto" w:sz="4" w:space="0"/>
      </w:pBdr>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622">
    <w:name w:val="正文标准"/>
    <w:basedOn w:val="1"/>
    <w:qFormat/>
    <w:uiPriority w:val="0"/>
    <w:pPr>
      <w:adjustRightInd/>
      <w:snapToGrid/>
      <w:spacing w:line="300" w:lineRule="auto"/>
      <w:ind w:firstLine="420"/>
    </w:pPr>
    <w:rPr>
      <w:rFonts w:ascii="Times New Roman" w:hAnsi="Times New Roman" w:eastAsia="宋体" w:cs="宋体"/>
      <w:sz w:val="21"/>
      <w:szCs w:val="20"/>
    </w:rPr>
  </w:style>
  <w:style w:type="paragraph" w:customStyle="1" w:styleId="623">
    <w:name w:val="xl135"/>
    <w:basedOn w:val="1"/>
    <w:qFormat/>
    <w:uiPriority w:val="0"/>
    <w:pPr>
      <w:widowControl/>
      <w:pBdr>
        <w:top w:val="single" w:color="auto" w:sz="4" w:space="0"/>
        <w:left w:val="single" w:color="auto" w:sz="4" w:space="0"/>
        <w:bottom w:val="single" w:color="auto" w:sz="4" w:space="0"/>
        <w:right w:val="single" w:color="auto" w:sz="4" w:space="0"/>
      </w:pBdr>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0"/>
      <w:szCs w:val="20"/>
    </w:rPr>
  </w:style>
  <w:style w:type="paragraph" w:customStyle="1" w:styleId="624">
    <w:name w:val="xl136"/>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625">
    <w:name w:val="xl140"/>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0"/>
      <w:szCs w:val="20"/>
    </w:rPr>
  </w:style>
  <w:style w:type="paragraph" w:customStyle="1" w:styleId="626">
    <w:name w:val="xl137"/>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4"/>
      <w:szCs w:val="24"/>
    </w:rPr>
  </w:style>
  <w:style w:type="paragraph" w:customStyle="1" w:styleId="627">
    <w:name w:val="xl141"/>
    <w:basedOn w:val="1"/>
    <w:qFormat/>
    <w:uiPriority w:val="0"/>
    <w:pPr>
      <w:widowControl/>
      <w:pBdr>
        <w:left w:val="single" w:color="auto" w:sz="4" w:space="0"/>
        <w:bottom w:val="single" w:color="auto" w:sz="4" w:space="0"/>
        <w:right w:val="single" w:color="auto" w:sz="4" w:space="0"/>
      </w:pBdr>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0"/>
      <w:szCs w:val="20"/>
    </w:rPr>
  </w:style>
  <w:style w:type="paragraph" w:customStyle="1" w:styleId="628">
    <w:name w:val="xl117"/>
    <w:basedOn w:val="1"/>
    <w:qFormat/>
    <w:uiPriority w:val="0"/>
    <w:pPr>
      <w:widowControl/>
      <w:pBdr>
        <w:top w:val="single" w:color="auto" w:sz="4" w:space="0"/>
        <w:left w:val="single" w:color="auto" w:sz="4" w:space="0"/>
        <w:right w:val="single" w:color="auto" w:sz="4" w:space="0"/>
      </w:pBdr>
      <w:adjustRightInd/>
      <w:snapToGrid/>
      <w:spacing w:before="100" w:beforeAutospacing="1" w:after="100" w:afterAutospacing="1" w:line="240" w:lineRule="auto"/>
      <w:ind w:firstLine="0" w:firstLineChars="0"/>
      <w:jc w:val="center"/>
      <w:textAlignment w:val="center"/>
    </w:pPr>
    <w:rPr>
      <w:rFonts w:ascii="微软雅黑" w:hAnsi="微软雅黑" w:eastAsia="微软雅黑" w:cs="宋体"/>
      <w:kern w:val="0"/>
      <w:sz w:val="18"/>
      <w:szCs w:val="18"/>
    </w:rPr>
  </w:style>
  <w:style w:type="paragraph" w:customStyle="1" w:styleId="629">
    <w:name w:val="xl119"/>
    <w:basedOn w:val="1"/>
    <w:qFormat/>
    <w:uiPriority w:val="0"/>
    <w:pPr>
      <w:widowControl/>
      <w:pBdr>
        <w:left w:val="single" w:color="auto" w:sz="4" w:space="0"/>
        <w:right w:val="single" w:color="auto" w:sz="4" w:space="0"/>
      </w:pBdr>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630">
    <w:name w:val="xl124"/>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0"/>
      <w:szCs w:val="20"/>
    </w:rPr>
  </w:style>
  <w:style w:type="paragraph" w:customStyle="1" w:styleId="631">
    <w:name w:val="xl125"/>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632">
    <w:name w:val="xl134"/>
    <w:basedOn w:val="1"/>
    <w:qFormat/>
    <w:uiPriority w:val="0"/>
    <w:pPr>
      <w:widowControl/>
      <w:pBdr>
        <w:left w:val="single" w:color="auto" w:sz="4" w:space="0"/>
        <w:bottom w:val="single" w:color="auto" w:sz="4" w:space="0"/>
        <w:right w:val="single" w:color="auto" w:sz="4" w:space="0"/>
      </w:pBdr>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633">
    <w:name w:val="xl128"/>
    <w:basedOn w:val="1"/>
    <w:qFormat/>
    <w:uiPriority w:val="0"/>
    <w:pPr>
      <w:widowControl/>
      <w:pBdr>
        <w:left w:val="single" w:color="auto" w:sz="4" w:space="0"/>
        <w:bottom w:val="single" w:color="auto" w:sz="4" w:space="0"/>
        <w:right w:val="single" w:color="auto" w:sz="4" w:space="0"/>
      </w:pBdr>
      <w:shd w:val="clear" w:color="000000" w:fill="FFFF00"/>
      <w:adjustRightInd/>
      <w:snapToGrid/>
      <w:spacing w:before="100" w:beforeAutospacing="1" w:after="100" w:afterAutospacing="1" w:line="240" w:lineRule="auto"/>
      <w:ind w:firstLine="0" w:firstLineChars="0"/>
      <w:jc w:val="center"/>
      <w:textAlignment w:val="center"/>
    </w:pPr>
    <w:rPr>
      <w:rFonts w:ascii="微软雅黑" w:hAnsi="微软雅黑" w:eastAsia="微软雅黑" w:cs="宋体"/>
      <w:kern w:val="0"/>
      <w:sz w:val="18"/>
      <w:szCs w:val="18"/>
    </w:rPr>
  </w:style>
  <w:style w:type="paragraph" w:customStyle="1" w:styleId="634">
    <w:name w:val="xl131"/>
    <w:basedOn w:val="1"/>
    <w:qFormat/>
    <w:uiPriority w:val="0"/>
    <w:pPr>
      <w:widowControl/>
      <w:pBdr>
        <w:left w:val="single" w:color="auto" w:sz="4" w:space="0"/>
        <w:bottom w:val="single" w:color="auto" w:sz="4" w:space="0"/>
        <w:right w:val="single" w:color="auto" w:sz="4" w:space="0"/>
      </w:pBdr>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0"/>
      <w:szCs w:val="20"/>
    </w:rPr>
  </w:style>
  <w:style w:type="paragraph" w:customStyle="1" w:styleId="635">
    <w:name w:val="xl130"/>
    <w:basedOn w:val="1"/>
    <w:qFormat/>
    <w:uiPriority w:val="0"/>
    <w:pPr>
      <w:widowControl/>
      <w:pBdr>
        <w:left w:val="single" w:color="auto" w:sz="4" w:space="0"/>
        <w:right w:val="single" w:color="auto" w:sz="4" w:space="0"/>
      </w:pBdr>
      <w:adjustRightInd/>
      <w:snapToGrid/>
      <w:spacing w:before="100" w:beforeAutospacing="1" w:after="100" w:afterAutospacing="1" w:line="240" w:lineRule="auto"/>
      <w:ind w:firstLine="0" w:firstLineChars="0"/>
      <w:jc w:val="left"/>
      <w:textAlignment w:val="center"/>
    </w:pPr>
    <w:rPr>
      <w:rFonts w:ascii="宋体" w:hAnsi="宋体" w:eastAsia="宋体" w:cs="宋体"/>
      <w:kern w:val="0"/>
      <w:sz w:val="20"/>
      <w:szCs w:val="20"/>
    </w:rPr>
  </w:style>
  <w:style w:type="paragraph" w:customStyle="1" w:styleId="636">
    <w:name w:val="xl149"/>
    <w:basedOn w:val="1"/>
    <w:qFormat/>
    <w:uiPriority w:val="0"/>
    <w:pPr>
      <w:widowControl/>
      <w:pBdr>
        <w:left w:val="single" w:color="auto" w:sz="4" w:space="0"/>
        <w:bottom w:val="single" w:color="auto" w:sz="4" w:space="0"/>
        <w:right w:val="single" w:color="auto" w:sz="4" w:space="0"/>
      </w:pBdr>
      <w:adjustRightInd/>
      <w:snapToGrid/>
      <w:spacing w:before="100" w:beforeAutospacing="1" w:after="100" w:afterAutospacing="1" w:line="240" w:lineRule="auto"/>
      <w:ind w:firstLine="0" w:firstLineChars="0"/>
      <w:jc w:val="center"/>
      <w:textAlignment w:val="center"/>
    </w:pPr>
    <w:rPr>
      <w:rFonts w:ascii="宋体" w:hAnsi="宋体" w:eastAsia="宋体" w:cs="宋体"/>
      <w:kern w:val="0"/>
      <w:sz w:val="20"/>
      <w:szCs w:val="20"/>
    </w:rPr>
  </w:style>
  <w:style w:type="paragraph" w:customStyle="1" w:styleId="637">
    <w:name w:val="条编号列表"/>
    <w:next w:val="1"/>
    <w:qFormat/>
    <w:uiPriority w:val="0"/>
    <w:pPr>
      <w:numPr>
        <w:ilvl w:val="1"/>
        <w:numId w:val="31"/>
      </w:numPr>
      <w:spacing w:line="440" w:lineRule="exact"/>
      <w:ind w:firstLine="0"/>
      <w:jc w:val="both"/>
    </w:pPr>
    <w:rPr>
      <w:rFonts w:ascii="华文细黑" w:hAnsi="华文细黑" w:eastAsia="华文细黑" w:cs="Times New Roman"/>
      <w:kern w:val="2"/>
      <w:sz w:val="24"/>
      <w:szCs w:val="24"/>
      <w:lang w:val="en-US" w:eastAsia="zh-CN" w:bidi="ar-SA"/>
    </w:rPr>
  </w:style>
  <w:style w:type="table" w:customStyle="1" w:styleId="638">
    <w:name w:val="网格型!3"/>
    <w:basedOn w:val="1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9">
    <w:name w:val="网格型!4"/>
    <w:basedOn w:val="1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0">
    <w:name w:val="网格型!5"/>
    <w:basedOn w:val="1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1">
    <w:name w:val="网格型!6"/>
    <w:basedOn w:val="1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2">
    <w:name w:val="网格型!7"/>
    <w:basedOn w:val="1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3">
    <w:name w:val="网格型!8"/>
    <w:basedOn w:val="1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44">
    <w:name w:val="font12"/>
    <w:basedOn w:val="1"/>
    <w:qFormat/>
    <w:uiPriority w:val="0"/>
    <w:pPr>
      <w:widowControl/>
      <w:adjustRightInd/>
      <w:snapToGrid/>
      <w:spacing w:before="100" w:beforeAutospacing="1" w:after="100" w:afterAutospacing="1" w:line="240" w:lineRule="auto"/>
      <w:ind w:firstLine="0" w:firstLineChars="0"/>
      <w:jc w:val="left"/>
    </w:pPr>
    <w:rPr>
      <w:rFonts w:ascii="Times New Roman" w:hAnsi="Times New Roman" w:eastAsia="宋体"/>
      <w:b/>
      <w:bCs/>
      <w:kern w:val="0"/>
      <w:sz w:val="24"/>
      <w:szCs w:val="24"/>
    </w:rPr>
  </w:style>
  <w:style w:type="paragraph" w:customStyle="1" w:styleId="645">
    <w:name w:val="font13"/>
    <w:basedOn w:val="1"/>
    <w:qFormat/>
    <w:uiPriority w:val="0"/>
    <w:pPr>
      <w:widowControl/>
      <w:adjustRightInd/>
      <w:snapToGrid/>
      <w:spacing w:before="100" w:beforeAutospacing="1" w:after="100" w:afterAutospacing="1" w:line="240" w:lineRule="auto"/>
      <w:ind w:firstLine="0" w:firstLineChars="0"/>
      <w:jc w:val="left"/>
    </w:pPr>
    <w:rPr>
      <w:rFonts w:ascii="宋体" w:hAnsi="宋体" w:eastAsia="宋体" w:cs="宋体"/>
      <w:color w:val="000000"/>
      <w:kern w:val="0"/>
      <w:sz w:val="22"/>
      <w:szCs w:val="22"/>
    </w:rPr>
  </w:style>
  <w:style w:type="character" w:customStyle="1" w:styleId="646">
    <w:name w:val="不明显参考21111"/>
    <w:qFormat/>
    <w:uiPriority w:val="31"/>
    <w:rPr>
      <w:smallCaps/>
      <w:color w:val="C0504D"/>
      <w:u w:val="single"/>
    </w:rPr>
  </w:style>
  <w:style w:type="character" w:customStyle="1" w:styleId="647">
    <w:name w:val="明显参考21111"/>
    <w:qFormat/>
    <w:uiPriority w:val="32"/>
    <w:rPr>
      <w:b/>
      <w:bCs/>
      <w:smallCaps/>
      <w:color w:val="C0504D"/>
      <w:spacing w:val="5"/>
      <w:u w:val="single"/>
    </w:rPr>
  </w:style>
  <w:style w:type="character" w:customStyle="1" w:styleId="648">
    <w:name w:val="明显强调31111"/>
    <w:qFormat/>
    <w:uiPriority w:val="21"/>
    <w:rPr>
      <w:b/>
      <w:bCs/>
      <w:i/>
      <w:iCs/>
      <w:color w:val="4F81BD"/>
    </w:rPr>
  </w:style>
  <w:style w:type="character" w:customStyle="1" w:styleId="649">
    <w:name w:val="不明显强调21111"/>
    <w:qFormat/>
    <w:uiPriority w:val="19"/>
    <w:rPr>
      <w:i/>
      <w:iCs/>
      <w:color w:val="7F7F7F"/>
    </w:rPr>
  </w:style>
  <w:style w:type="character" w:customStyle="1" w:styleId="650">
    <w:name w:val="书籍标题21111"/>
    <w:qFormat/>
    <w:uiPriority w:val="33"/>
    <w:rPr>
      <w:b/>
      <w:bCs/>
      <w:smallCaps/>
      <w:spacing w:val="5"/>
    </w:rPr>
  </w:style>
  <w:style w:type="paragraph" w:customStyle="1" w:styleId="651">
    <w:name w:val="TOC 标题21111"/>
    <w:basedOn w:val="2"/>
    <w:next w:val="1"/>
    <w:unhideWhenUsed/>
    <w:qFormat/>
    <w:uiPriority w:val="39"/>
    <w:pPr>
      <w:numPr>
        <w:numId w:val="0"/>
      </w:numPr>
      <w:adjustRightInd/>
      <w:snapToGrid/>
      <w:spacing w:before="480" w:line="276" w:lineRule="auto"/>
      <w:outlineLvl w:val="9"/>
    </w:pPr>
    <w:rPr>
      <w:rFonts w:ascii="Cambria" w:hAnsi="Cambria" w:eastAsia="宋体"/>
      <w:b/>
      <w:bCs/>
      <w:color w:val="366091"/>
      <w:kern w:val="2"/>
      <w:sz w:val="24"/>
      <w:szCs w:val="28"/>
    </w:rPr>
  </w:style>
  <w:style w:type="paragraph" w:customStyle="1" w:styleId="652">
    <w:name w:val="修订21111"/>
    <w:semiHidden/>
    <w:qFormat/>
    <w:uiPriority w:val="99"/>
    <w:rPr>
      <w:rFonts w:ascii="Times New Roman" w:hAnsi="Times New Roman" w:eastAsia="宋体" w:cs="Times New Roman"/>
      <w:kern w:val="2"/>
      <w:sz w:val="24"/>
      <w:szCs w:val="24"/>
      <w:lang w:val="en-US" w:eastAsia="zh-CN" w:bidi="ar-SA"/>
    </w:rPr>
  </w:style>
  <w:style w:type="character" w:customStyle="1" w:styleId="653">
    <w:name w:val="文档结构图 字符1"/>
    <w:basedOn w:val="12"/>
    <w:semiHidden/>
    <w:qFormat/>
    <w:uiPriority w:val="99"/>
    <w:rPr>
      <w:rFonts w:ascii="Microsoft YaHei UI" w:hAnsi="Times New Roman" w:eastAsia="Microsoft YaHei UI" w:cs="Times New Roman"/>
      <w:sz w:val="18"/>
      <w:szCs w:val="18"/>
    </w:rPr>
  </w:style>
  <w:style w:type="character" w:customStyle="1" w:styleId="654">
    <w:name w:val="副标题 字符1"/>
    <w:basedOn w:val="12"/>
    <w:qFormat/>
    <w:uiPriority w:val="11"/>
    <w:rPr>
      <w:b/>
      <w:bCs/>
      <w:kern w:val="28"/>
      <w:sz w:val="32"/>
      <w:szCs w:val="32"/>
    </w:rPr>
  </w:style>
  <w:style w:type="character" w:customStyle="1" w:styleId="655">
    <w:name w:val="批注文字 字符2"/>
    <w:basedOn w:val="12"/>
    <w:semiHidden/>
    <w:qFormat/>
    <w:uiPriority w:val="99"/>
    <w:rPr>
      <w:rFonts w:ascii="Times New Roman" w:hAnsi="Times New Roman" w:eastAsia="宋体" w:cs="Times New Roman"/>
      <w:sz w:val="24"/>
      <w:szCs w:val="24"/>
    </w:rPr>
  </w:style>
  <w:style w:type="character" w:customStyle="1" w:styleId="656">
    <w:name w:val="批注主题 字符1"/>
    <w:basedOn w:val="655"/>
    <w:semiHidden/>
    <w:qFormat/>
    <w:uiPriority w:val="99"/>
    <w:rPr>
      <w:rFonts w:ascii="Times New Roman" w:hAnsi="Times New Roman" w:eastAsia="宋体" w:cs="Times New Roman"/>
      <w:b/>
      <w:bCs/>
      <w:sz w:val="24"/>
      <w:szCs w:val="24"/>
    </w:rPr>
  </w:style>
  <w:style w:type="character" w:customStyle="1" w:styleId="657">
    <w:name w:val="正文文本 字符2"/>
    <w:basedOn w:val="12"/>
    <w:semiHidden/>
    <w:qFormat/>
    <w:uiPriority w:val="99"/>
    <w:rPr>
      <w:rFonts w:ascii="Times New Roman" w:hAnsi="Times New Roman" w:eastAsia="宋体" w:cs="Times New Roman"/>
      <w:sz w:val="24"/>
      <w:szCs w:val="24"/>
    </w:rPr>
  </w:style>
  <w:style w:type="character" w:customStyle="1" w:styleId="658">
    <w:name w:val="脚注文本 字符1"/>
    <w:basedOn w:val="12"/>
    <w:semiHidden/>
    <w:qFormat/>
    <w:uiPriority w:val="99"/>
    <w:rPr>
      <w:rFonts w:ascii="Times New Roman" w:hAnsi="Times New Roman" w:eastAsia="宋体" w:cs="Times New Roman"/>
      <w:sz w:val="18"/>
      <w:szCs w:val="18"/>
    </w:rPr>
  </w:style>
  <w:style w:type="character" w:customStyle="1" w:styleId="659">
    <w:name w:val="日期 字符1"/>
    <w:basedOn w:val="12"/>
    <w:semiHidden/>
    <w:qFormat/>
    <w:uiPriority w:val="99"/>
    <w:rPr>
      <w:rFonts w:ascii="Times New Roman" w:hAnsi="Times New Roman" w:eastAsia="宋体" w:cs="Times New Roman"/>
      <w:sz w:val="24"/>
      <w:szCs w:val="24"/>
    </w:rPr>
  </w:style>
  <w:style w:type="character" w:customStyle="1" w:styleId="660">
    <w:name w:val="标题 字符1"/>
    <w:basedOn w:val="12"/>
    <w:qFormat/>
    <w:uiPriority w:val="10"/>
    <w:rPr>
      <w:rFonts w:asciiTheme="majorHAnsi" w:hAnsiTheme="majorHAnsi" w:eastAsiaTheme="majorEastAsia" w:cstheme="majorBidi"/>
      <w:b/>
      <w:bCs/>
      <w:sz w:val="32"/>
      <w:szCs w:val="32"/>
    </w:rPr>
  </w:style>
  <w:style w:type="character" w:customStyle="1" w:styleId="661">
    <w:name w:val="明显引用 字符3"/>
    <w:basedOn w:val="12"/>
    <w:qFormat/>
    <w:uiPriority w:val="30"/>
    <w:rPr>
      <w:rFonts w:ascii="Times New Roman" w:hAnsi="Times New Roman" w:eastAsia="宋体" w:cs="Times New Roman"/>
      <w:i/>
      <w:iCs/>
      <w:color w:val="4472C4" w:themeColor="accent1"/>
      <w:sz w:val="24"/>
      <w:szCs w:val="24"/>
      <w14:textFill>
        <w14:solidFill>
          <w14:schemeClr w14:val="accent1"/>
        </w14:solidFill>
      </w14:textFill>
    </w:rPr>
  </w:style>
  <w:style w:type="character" w:customStyle="1" w:styleId="662">
    <w:name w:val="批注文字 Char2"/>
    <w:basedOn w:val="12"/>
    <w:semiHidden/>
    <w:qFormat/>
    <w:uiPriority w:val="99"/>
  </w:style>
  <w:style w:type="character" w:customStyle="1" w:styleId="663">
    <w:name w:val="正文文本 Char2"/>
    <w:basedOn w:val="12"/>
    <w:semiHidden/>
    <w:qFormat/>
    <w:uiPriority w:val="99"/>
  </w:style>
  <w:style w:type="character" w:customStyle="1" w:styleId="664">
    <w:name w:val="脚注文本 Char1"/>
    <w:basedOn w:val="12"/>
    <w:semiHidden/>
    <w:qFormat/>
    <w:uiPriority w:val="99"/>
    <w:rPr>
      <w:sz w:val="18"/>
      <w:szCs w:val="18"/>
    </w:rPr>
  </w:style>
  <w:style w:type="character" w:customStyle="1" w:styleId="665">
    <w:name w:val="纯文本 Char1"/>
    <w:basedOn w:val="12"/>
    <w:semiHidden/>
    <w:qFormat/>
    <w:uiPriority w:val="99"/>
    <w:rPr>
      <w:rFonts w:ascii="宋体" w:hAnsi="Courier New" w:eastAsia="宋体" w:cs="Courier New"/>
      <w:szCs w:val="21"/>
    </w:rPr>
  </w:style>
  <w:style w:type="character" w:customStyle="1" w:styleId="666">
    <w:name w:val="日期 Char1"/>
    <w:basedOn w:val="12"/>
    <w:semiHidden/>
    <w:qFormat/>
    <w:uiPriority w:val="99"/>
  </w:style>
  <w:style w:type="character" w:customStyle="1" w:styleId="667">
    <w:name w:val="不明显参考11"/>
    <w:qFormat/>
    <w:uiPriority w:val="31"/>
    <w:rPr>
      <w:smallCaps/>
      <w:color w:val="C0504D"/>
      <w:u w:val="single"/>
    </w:rPr>
  </w:style>
  <w:style w:type="character" w:customStyle="1" w:styleId="668">
    <w:name w:val="明显参考11"/>
    <w:qFormat/>
    <w:uiPriority w:val="32"/>
    <w:rPr>
      <w:b/>
      <w:bCs/>
      <w:smallCaps/>
      <w:color w:val="C0504D"/>
      <w:spacing w:val="5"/>
      <w:u w:val="single"/>
    </w:rPr>
  </w:style>
  <w:style w:type="character" w:customStyle="1" w:styleId="669">
    <w:name w:val="不明显强调11"/>
    <w:qFormat/>
    <w:uiPriority w:val="19"/>
    <w:rPr>
      <w:i/>
      <w:iCs/>
      <w:color w:val="7E7E7E"/>
    </w:rPr>
  </w:style>
  <w:style w:type="character" w:customStyle="1" w:styleId="670">
    <w:name w:val="书籍标题11"/>
    <w:qFormat/>
    <w:uiPriority w:val="33"/>
    <w:rPr>
      <w:b/>
      <w:bCs/>
      <w:smallCaps/>
      <w:spacing w:val="5"/>
    </w:rPr>
  </w:style>
  <w:style w:type="paragraph" w:customStyle="1" w:styleId="671">
    <w:name w:val="TOC 标题11"/>
    <w:basedOn w:val="2"/>
    <w:next w:val="1"/>
    <w:unhideWhenUsed/>
    <w:qFormat/>
    <w:uiPriority w:val="39"/>
    <w:pPr>
      <w:numPr>
        <w:numId w:val="0"/>
      </w:numPr>
      <w:adjustRightInd/>
      <w:snapToGrid/>
      <w:spacing w:before="480" w:line="276" w:lineRule="auto"/>
      <w:outlineLvl w:val="9"/>
    </w:pPr>
    <w:rPr>
      <w:rFonts w:ascii="Cambria" w:hAnsi="Cambria" w:eastAsia="宋体"/>
      <w:b/>
      <w:bCs/>
      <w:color w:val="366091"/>
      <w:kern w:val="2"/>
      <w:sz w:val="24"/>
      <w:szCs w:val="28"/>
    </w:rPr>
  </w:style>
  <w:style w:type="character" w:customStyle="1" w:styleId="672">
    <w:name w:val="明显强调31"/>
    <w:qFormat/>
    <w:uiPriority w:val="21"/>
    <w:rPr>
      <w:b/>
      <w:bCs/>
      <w:i/>
      <w:iCs/>
      <w:color w:val="4F81BD"/>
    </w:rPr>
  </w:style>
  <w:style w:type="paragraph" w:customStyle="1" w:styleId="673">
    <w:name w:val="_Style 122"/>
    <w:basedOn w:val="20"/>
    <w:next w:val="21"/>
    <w:unhideWhenUsed/>
    <w:qFormat/>
    <w:uiPriority w:val="99"/>
    <w:pPr>
      <w:topLinePunct w:val="0"/>
      <w:adjustRightInd/>
      <w:snapToGrid/>
      <w:spacing w:before="0" w:beforeLines="0" w:afterLines="0" w:line="360" w:lineRule="auto"/>
      <w:ind w:firstLine="420"/>
      <w:jc w:val="left"/>
    </w:pPr>
    <w:rPr>
      <w:rFonts w:eastAsia="宋体"/>
    </w:rPr>
  </w:style>
  <w:style w:type="character" w:customStyle="1" w:styleId="674">
    <w:name w:val="正文文本首行缩进 2 字符1"/>
    <w:basedOn w:val="124"/>
    <w:semiHidden/>
    <w:qFormat/>
    <w:uiPriority w:val="99"/>
    <w:rPr>
      <w:rFonts w:ascii="Times New Roman" w:hAnsi="Times New Roman"/>
      <w:kern w:val="2"/>
      <w:sz w:val="24"/>
      <w:szCs w:val="24"/>
    </w:rPr>
  </w:style>
  <w:style w:type="table" w:customStyle="1" w:styleId="675">
    <w:name w:val="网格型!9"/>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76">
    <w:name w:val="批注框文本 字符1"/>
    <w:basedOn w:val="12"/>
    <w:semiHidden/>
    <w:qFormat/>
    <w:uiPriority w:val="99"/>
    <w:rPr>
      <w:rFonts w:ascii="Times New Roman" w:hAnsi="Times New Roman"/>
      <w:kern w:val="2"/>
      <w:sz w:val="18"/>
      <w:szCs w:val="18"/>
    </w:rPr>
  </w:style>
  <w:style w:type="character" w:customStyle="1" w:styleId="677">
    <w:name w:val="页眉 字符1"/>
    <w:basedOn w:val="12"/>
    <w:semiHidden/>
    <w:qFormat/>
    <w:uiPriority w:val="99"/>
    <w:rPr>
      <w:rFonts w:ascii="Times New Roman" w:hAnsi="Times New Roman"/>
      <w:kern w:val="2"/>
      <w:sz w:val="18"/>
      <w:szCs w:val="18"/>
    </w:rPr>
  </w:style>
  <w:style w:type="paragraph" w:customStyle="1" w:styleId="678">
    <w:name w:val="xl152"/>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adjustRightInd/>
      <w:snapToGrid/>
      <w:spacing w:before="100" w:beforeAutospacing="1" w:after="100" w:afterAutospacing="1" w:line="240" w:lineRule="auto"/>
      <w:ind w:firstLine="0" w:firstLineChars="0"/>
      <w:jc w:val="center"/>
      <w:textAlignment w:val="center"/>
    </w:pPr>
    <w:rPr>
      <w:rFonts w:ascii="宋体" w:hAnsi="宋体" w:eastAsia="宋体" w:cs="宋体"/>
      <w:b/>
      <w:bCs/>
      <w:kern w:val="0"/>
      <w:szCs w:val="28"/>
    </w:rPr>
  </w:style>
  <w:style w:type="paragraph" w:customStyle="1" w:styleId="679">
    <w:name w:val="xl15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djustRightInd/>
      <w:snapToGrid/>
      <w:spacing w:before="100" w:beforeAutospacing="1" w:after="100" w:afterAutospacing="1" w:line="240" w:lineRule="auto"/>
      <w:ind w:firstLine="0" w:firstLineChars="0"/>
      <w:jc w:val="center"/>
      <w:textAlignment w:val="center"/>
    </w:pPr>
    <w:rPr>
      <w:rFonts w:ascii="Times New Roman" w:hAnsi="Times New Roman" w:eastAsia="宋体"/>
      <w:b/>
      <w:bCs/>
      <w:kern w:val="0"/>
      <w:szCs w:val="28"/>
    </w:rPr>
  </w:style>
  <w:style w:type="character" w:customStyle="1" w:styleId="680">
    <w:name w:val="不明显参考111"/>
    <w:qFormat/>
    <w:uiPriority w:val="31"/>
    <w:rPr>
      <w:smallCaps/>
      <w:color w:val="C0504D"/>
      <w:u w:val="single"/>
    </w:rPr>
  </w:style>
  <w:style w:type="character" w:customStyle="1" w:styleId="681">
    <w:name w:val="明显参考111"/>
    <w:qFormat/>
    <w:uiPriority w:val="32"/>
    <w:rPr>
      <w:b/>
      <w:bCs/>
      <w:smallCaps/>
      <w:color w:val="C0504D"/>
      <w:spacing w:val="5"/>
      <w:u w:val="single"/>
    </w:rPr>
  </w:style>
  <w:style w:type="character" w:customStyle="1" w:styleId="682">
    <w:name w:val="不明显强调111"/>
    <w:qFormat/>
    <w:uiPriority w:val="19"/>
    <w:rPr>
      <w:i/>
      <w:iCs/>
      <w:color w:val="7E7E7E"/>
    </w:rPr>
  </w:style>
  <w:style w:type="character" w:customStyle="1" w:styleId="683">
    <w:name w:val="书籍标题111"/>
    <w:qFormat/>
    <w:uiPriority w:val="33"/>
    <w:rPr>
      <w:b/>
      <w:bCs/>
      <w:smallCaps/>
      <w:spacing w:val="5"/>
    </w:rPr>
  </w:style>
  <w:style w:type="paragraph" w:customStyle="1" w:styleId="684">
    <w:name w:val="TOC 标题111"/>
    <w:basedOn w:val="2"/>
    <w:next w:val="1"/>
    <w:unhideWhenUsed/>
    <w:qFormat/>
    <w:uiPriority w:val="39"/>
    <w:pPr>
      <w:numPr>
        <w:numId w:val="0"/>
      </w:numPr>
      <w:adjustRightInd/>
      <w:snapToGrid/>
      <w:spacing w:before="480" w:line="276" w:lineRule="auto"/>
      <w:outlineLvl w:val="9"/>
    </w:pPr>
    <w:rPr>
      <w:rFonts w:ascii="Cambria" w:hAnsi="Cambria" w:eastAsia="宋体"/>
      <w:b/>
      <w:bCs/>
      <w:color w:val="366091"/>
      <w:kern w:val="2"/>
      <w:sz w:val="24"/>
      <w:szCs w:val="28"/>
    </w:rPr>
  </w:style>
  <w:style w:type="paragraph" w:customStyle="1" w:styleId="685">
    <w:name w:val="修订111"/>
    <w:semiHidden/>
    <w:qFormat/>
    <w:uiPriority w:val="99"/>
    <w:rPr>
      <w:rFonts w:ascii="Times New Roman" w:hAnsi="Times New Roman" w:eastAsia="宋体" w:cs="Times New Roman"/>
      <w:kern w:val="2"/>
      <w:sz w:val="24"/>
      <w:szCs w:val="24"/>
      <w:lang w:val="en-US" w:eastAsia="zh-CN" w:bidi="ar-SA"/>
    </w:rPr>
  </w:style>
  <w:style w:type="character" w:customStyle="1" w:styleId="686">
    <w:name w:val="不明显参考211"/>
    <w:qFormat/>
    <w:uiPriority w:val="31"/>
    <w:rPr>
      <w:smallCaps/>
      <w:color w:val="C0504D"/>
      <w:u w:val="single"/>
    </w:rPr>
  </w:style>
  <w:style w:type="character" w:customStyle="1" w:styleId="687">
    <w:name w:val="明显参考211"/>
    <w:qFormat/>
    <w:uiPriority w:val="32"/>
    <w:rPr>
      <w:b/>
      <w:bCs/>
      <w:smallCaps/>
      <w:color w:val="C0504D"/>
      <w:spacing w:val="5"/>
      <w:u w:val="single"/>
    </w:rPr>
  </w:style>
  <w:style w:type="character" w:customStyle="1" w:styleId="688">
    <w:name w:val="明显强调311"/>
    <w:qFormat/>
    <w:uiPriority w:val="21"/>
    <w:rPr>
      <w:b/>
      <w:bCs/>
      <w:i/>
      <w:iCs/>
      <w:color w:val="4F81BD"/>
    </w:rPr>
  </w:style>
  <w:style w:type="character" w:customStyle="1" w:styleId="689">
    <w:name w:val="不明显强调211"/>
    <w:qFormat/>
    <w:uiPriority w:val="19"/>
    <w:rPr>
      <w:i/>
      <w:iCs/>
      <w:color w:val="7F7F7F"/>
    </w:rPr>
  </w:style>
  <w:style w:type="character" w:customStyle="1" w:styleId="690">
    <w:name w:val="书籍标题211"/>
    <w:qFormat/>
    <w:uiPriority w:val="33"/>
    <w:rPr>
      <w:b/>
      <w:bCs/>
      <w:smallCaps/>
      <w:spacing w:val="5"/>
    </w:rPr>
  </w:style>
  <w:style w:type="paragraph" w:customStyle="1" w:styleId="691">
    <w:name w:val="TOC 标题211"/>
    <w:basedOn w:val="2"/>
    <w:next w:val="1"/>
    <w:unhideWhenUsed/>
    <w:qFormat/>
    <w:uiPriority w:val="39"/>
    <w:pPr>
      <w:numPr>
        <w:numId w:val="0"/>
      </w:numPr>
      <w:adjustRightInd/>
      <w:snapToGrid/>
      <w:spacing w:before="480" w:line="276" w:lineRule="auto"/>
      <w:outlineLvl w:val="9"/>
    </w:pPr>
    <w:rPr>
      <w:rFonts w:ascii="Cambria" w:hAnsi="Cambria" w:eastAsia="宋体"/>
      <w:b/>
      <w:bCs/>
      <w:color w:val="366091"/>
      <w:kern w:val="2"/>
      <w:sz w:val="24"/>
      <w:szCs w:val="28"/>
    </w:rPr>
  </w:style>
  <w:style w:type="paragraph" w:customStyle="1" w:styleId="692">
    <w:name w:val="修订211"/>
    <w:semiHidden/>
    <w:qFormat/>
    <w:uiPriority w:val="99"/>
    <w:rPr>
      <w:rFonts w:ascii="Times New Roman" w:hAnsi="Times New Roman" w:eastAsia="宋体" w:cs="Times New Roman"/>
      <w:kern w:val="2"/>
      <w:sz w:val="24"/>
      <w:szCs w:val="24"/>
      <w:lang w:val="en-US" w:eastAsia="zh-CN" w:bidi="ar-SA"/>
    </w:rPr>
  </w:style>
  <w:style w:type="character" w:customStyle="1" w:styleId="693">
    <w:name w:val="不明显参考1111"/>
    <w:qFormat/>
    <w:uiPriority w:val="31"/>
    <w:rPr>
      <w:smallCaps/>
      <w:color w:val="C0504D"/>
      <w:u w:val="single"/>
    </w:rPr>
  </w:style>
  <w:style w:type="character" w:customStyle="1" w:styleId="694">
    <w:name w:val="明显参考1111"/>
    <w:qFormat/>
    <w:uiPriority w:val="32"/>
    <w:rPr>
      <w:b/>
      <w:bCs/>
      <w:smallCaps/>
      <w:color w:val="C0504D"/>
      <w:spacing w:val="5"/>
      <w:u w:val="single"/>
    </w:rPr>
  </w:style>
  <w:style w:type="character" w:customStyle="1" w:styleId="695">
    <w:name w:val="不明显强调1111"/>
    <w:qFormat/>
    <w:uiPriority w:val="19"/>
    <w:rPr>
      <w:i/>
      <w:iCs/>
      <w:color w:val="7E7E7E"/>
    </w:rPr>
  </w:style>
  <w:style w:type="character" w:customStyle="1" w:styleId="696">
    <w:name w:val="书籍标题1111"/>
    <w:qFormat/>
    <w:uiPriority w:val="33"/>
    <w:rPr>
      <w:b/>
      <w:bCs/>
      <w:smallCaps/>
      <w:spacing w:val="5"/>
    </w:rPr>
  </w:style>
  <w:style w:type="paragraph" w:customStyle="1" w:styleId="697">
    <w:name w:val="TOC 标题1111"/>
    <w:basedOn w:val="2"/>
    <w:next w:val="1"/>
    <w:unhideWhenUsed/>
    <w:qFormat/>
    <w:uiPriority w:val="39"/>
    <w:pPr>
      <w:numPr>
        <w:numId w:val="0"/>
      </w:numPr>
      <w:adjustRightInd/>
      <w:snapToGrid/>
      <w:spacing w:before="480" w:line="276" w:lineRule="auto"/>
      <w:outlineLvl w:val="9"/>
    </w:pPr>
    <w:rPr>
      <w:rFonts w:ascii="Cambria" w:hAnsi="Cambria" w:eastAsia="宋体"/>
      <w:b/>
      <w:bCs/>
      <w:color w:val="366091"/>
      <w:kern w:val="2"/>
      <w:sz w:val="24"/>
      <w:szCs w:val="28"/>
    </w:rPr>
  </w:style>
  <w:style w:type="paragraph" w:customStyle="1" w:styleId="698">
    <w:name w:val="修订1111"/>
    <w:semiHidden/>
    <w:qFormat/>
    <w:uiPriority w:val="99"/>
    <w:rPr>
      <w:rFonts w:ascii="Times New Roman" w:hAnsi="Times New Roman" w:eastAsia="宋体" w:cs="Times New Roman"/>
      <w:kern w:val="2"/>
      <w:sz w:val="24"/>
      <w:szCs w:val="24"/>
      <w:lang w:val="en-US" w:eastAsia="zh-CN" w:bidi="ar-SA"/>
    </w:rPr>
  </w:style>
  <w:style w:type="character" w:customStyle="1" w:styleId="699">
    <w:name w:val="不明显参考2111"/>
    <w:qFormat/>
    <w:uiPriority w:val="31"/>
    <w:rPr>
      <w:smallCaps/>
      <w:color w:val="C0504D"/>
      <w:u w:val="single"/>
    </w:rPr>
  </w:style>
  <w:style w:type="character" w:customStyle="1" w:styleId="700">
    <w:name w:val="明显参考2111"/>
    <w:qFormat/>
    <w:uiPriority w:val="32"/>
    <w:rPr>
      <w:b/>
      <w:bCs/>
      <w:smallCaps/>
      <w:color w:val="C0504D"/>
      <w:spacing w:val="5"/>
      <w:u w:val="single"/>
    </w:rPr>
  </w:style>
  <w:style w:type="character" w:customStyle="1" w:styleId="701">
    <w:name w:val="明显强调3111"/>
    <w:qFormat/>
    <w:uiPriority w:val="21"/>
    <w:rPr>
      <w:b/>
      <w:bCs/>
      <w:i/>
      <w:iCs/>
      <w:color w:val="4F81BD"/>
    </w:rPr>
  </w:style>
  <w:style w:type="character" w:customStyle="1" w:styleId="702">
    <w:name w:val="不明显强调2111"/>
    <w:qFormat/>
    <w:uiPriority w:val="19"/>
    <w:rPr>
      <w:i/>
      <w:iCs/>
      <w:color w:val="7F7F7F"/>
    </w:rPr>
  </w:style>
  <w:style w:type="character" w:customStyle="1" w:styleId="703">
    <w:name w:val="书籍标题2111"/>
    <w:qFormat/>
    <w:uiPriority w:val="33"/>
    <w:rPr>
      <w:b/>
      <w:bCs/>
      <w:smallCaps/>
      <w:spacing w:val="5"/>
    </w:rPr>
  </w:style>
  <w:style w:type="paragraph" w:customStyle="1" w:styleId="704">
    <w:name w:val="TOC 标题2111"/>
    <w:basedOn w:val="2"/>
    <w:next w:val="1"/>
    <w:unhideWhenUsed/>
    <w:qFormat/>
    <w:uiPriority w:val="39"/>
    <w:pPr>
      <w:numPr>
        <w:numId w:val="0"/>
      </w:numPr>
      <w:adjustRightInd/>
      <w:snapToGrid/>
      <w:spacing w:before="480" w:line="276" w:lineRule="auto"/>
      <w:outlineLvl w:val="9"/>
    </w:pPr>
    <w:rPr>
      <w:rFonts w:ascii="Cambria" w:hAnsi="Cambria" w:eastAsia="宋体"/>
      <w:b/>
      <w:bCs/>
      <w:color w:val="366091"/>
      <w:kern w:val="2"/>
      <w:sz w:val="24"/>
      <w:szCs w:val="28"/>
    </w:rPr>
  </w:style>
  <w:style w:type="paragraph" w:customStyle="1" w:styleId="705">
    <w:name w:val="修订2111"/>
    <w:semiHidden/>
    <w:qFormat/>
    <w:uiPriority w:val="99"/>
    <w:rPr>
      <w:rFonts w:ascii="Times New Roman" w:hAnsi="Times New Roman" w:eastAsia="宋体" w:cs="Times New Roman"/>
      <w:kern w:val="2"/>
      <w:sz w:val="24"/>
      <w:szCs w:val="24"/>
      <w:lang w:val="en-US" w:eastAsia="zh-CN" w:bidi="ar-SA"/>
    </w:rPr>
  </w:style>
  <w:style w:type="character" w:customStyle="1" w:styleId="706">
    <w:name w:val="正文1 Char"/>
    <w:link w:val="511"/>
    <w:qFormat/>
    <w:locked/>
    <w:uiPriority w:val="0"/>
    <w:rPr>
      <w:rFonts w:ascii="Calibri" w:hAnsi="Calibri"/>
      <w:kern w:val="2"/>
      <w:sz w:val="24"/>
      <w:szCs w:val="24"/>
    </w:rPr>
  </w:style>
  <w:style w:type="character" w:customStyle="1" w:styleId="707">
    <w:name w:val="表格样式居中小四号 Char"/>
    <w:link w:val="708"/>
    <w:qFormat/>
    <w:locked/>
    <w:uiPriority w:val="0"/>
    <w:rPr>
      <w:rFonts w:ascii="仿宋_GB2312" w:eastAsia="仿宋_GB2312"/>
      <w:bCs/>
      <w:kern w:val="44"/>
      <w:sz w:val="24"/>
      <w:szCs w:val="44"/>
    </w:rPr>
  </w:style>
  <w:style w:type="paragraph" w:customStyle="1" w:styleId="708">
    <w:name w:val="表格样式居中小四号"/>
    <w:link w:val="707"/>
    <w:qFormat/>
    <w:uiPriority w:val="0"/>
    <w:pPr>
      <w:adjustRightInd w:val="0"/>
      <w:snapToGrid w:val="0"/>
      <w:jc w:val="center"/>
    </w:pPr>
    <w:rPr>
      <w:rFonts w:ascii="仿宋_GB2312" w:hAnsi="Times New Roman" w:eastAsia="仿宋_GB2312" w:cs="Times New Roman"/>
      <w:bCs/>
      <w:kern w:val="44"/>
      <w:sz w:val="24"/>
      <w:szCs w:val="44"/>
      <w:lang w:val="en-US" w:eastAsia="zh-CN" w:bidi="ar-SA"/>
    </w:rPr>
  </w:style>
  <w:style w:type="character" w:customStyle="1" w:styleId="709">
    <w:name w:val="段落仿宋小三 Char"/>
    <w:link w:val="710"/>
    <w:qFormat/>
    <w:locked/>
    <w:uiPriority w:val="0"/>
    <w:rPr>
      <w:rFonts w:ascii="仿宋_GB2312" w:eastAsia="仿宋_GB2312"/>
      <w:sz w:val="30"/>
      <w:szCs w:val="24"/>
    </w:rPr>
  </w:style>
  <w:style w:type="paragraph" w:customStyle="1" w:styleId="710">
    <w:name w:val="段落仿宋小三"/>
    <w:link w:val="709"/>
    <w:qFormat/>
    <w:uiPriority w:val="0"/>
    <w:pPr>
      <w:adjustRightInd w:val="0"/>
      <w:snapToGrid w:val="0"/>
      <w:spacing w:before="120" w:after="120" w:line="360" w:lineRule="auto"/>
      <w:ind w:firstLine="602"/>
      <w:jc w:val="both"/>
    </w:pPr>
    <w:rPr>
      <w:rFonts w:ascii="仿宋_GB2312" w:hAnsi="Times New Roman" w:eastAsia="仿宋_GB2312" w:cs="Times New Roman"/>
      <w:sz w:val="30"/>
      <w:szCs w:val="24"/>
      <w:lang w:val="en-US" w:eastAsia="zh-CN" w:bidi="ar-SA"/>
    </w:rPr>
  </w:style>
  <w:style w:type="character" w:customStyle="1" w:styleId="711">
    <w:name w:val="正文 首行缩进:  2 字符 Char Char Char Char Char Char"/>
    <w:link w:val="712"/>
    <w:qFormat/>
    <w:uiPriority w:val="0"/>
    <w:rPr>
      <w:rFonts w:ascii="等线" w:hAnsi="等线"/>
      <w:sz w:val="24"/>
      <w:szCs w:val="28"/>
    </w:rPr>
  </w:style>
  <w:style w:type="paragraph" w:customStyle="1" w:styleId="712">
    <w:name w:val="正文 首行缩进:  2 字符 Char Char Char Char Char"/>
    <w:basedOn w:val="1"/>
    <w:link w:val="711"/>
    <w:qFormat/>
    <w:uiPriority w:val="0"/>
    <w:pPr>
      <w:adjustRightInd/>
      <w:snapToGrid/>
      <w:ind w:firstLine="480"/>
      <w:jc w:val="left"/>
    </w:pPr>
    <w:rPr>
      <w:rFonts w:eastAsia="宋体"/>
      <w:kern w:val="0"/>
      <w:sz w:val="24"/>
      <w:szCs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2" Type="http://schemas.microsoft.com/office/2011/relationships/people" Target="people.xml"/><Relationship Id="rId81" Type="http://schemas.openxmlformats.org/officeDocument/2006/relationships/fontTable" Target="fontTable.xml"/><Relationship Id="rId80" Type="http://schemas.openxmlformats.org/officeDocument/2006/relationships/numbering" Target="numbering.xml"/><Relationship Id="rId8" Type="http://schemas.openxmlformats.org/officeDocument/2006/relationships/header" Target="header2.xml"/><Relationship Id="rId79" Type="http://schemas.openxmlformats.org/officeDocument/2006/relationships/customXml" Target="../customXml/item1.xml"/><Relationship Id="rId78" Type="http://schemas.openxmlformats.org/officeDocument/2006/relationships/image" Target="media/image40.png"/><Relationship Id="rId77" Type="http://schemas.openxmlformats.org/officeDocument/2006/relationships/image" Target="media/image39.png"/><Relationship Id="rId76" Type="http://schemas.openxmlformats.org/officeDocument/2006/relationships/image" Target="media/image38.png"/><Relationship Id="rId75" Type="http://schemas.openxmlformats.org/officeDocument/2006/relationships/image" Target="media/image37.png"/><Relationship Id="rId74" Type="http://schemas.openxmlformats.org/officeDocument/2006/relationships/image" Target="media/image36.png"/><Relationship Id="rId73" Type="http://schemas.openxmlformats.org/officeDocument/2006/relationships/image" Target="media/image35.png"/><Relationship Id="rId72" Type="http://schemas.openxmlformats.org/officeDocument/2006/relationships/image" Target="media/image34.png"/><Relationship Id="rId71" Type="http://schemas.openxmlformats.org/officeDocument/2006/relationships/image" Target="media/image33.png"/><Relationship Id="rId70" Type="http://schemas.openxmlformats.org/officeDocument/2006/relationships/image" Target="media/image32.png"/><Relationship Id="rId7" Type="http://schemas.openxmlformats.org/officeDocument/2006/relationships/header" Target="header1.xml"/><Relationship Id="rId69" Type="http://schemas.openxmlformats.org/officeDocument/2006/relationships/image" Target="media/image31.png"/><Relationship Id="rId68" Type="http://schemas.openxmlformats.org/officeDocument/2006/relationships/image" Target="media/image30.png"/><Relationship Id="rId67" Type="http://schemas.openxmlformats.org/officeDocument/2006/relationships/image" Target="media/image29.png"/><Relationship Id="rId66" Type="http://schemas.openxmlformats.org/officeDocument/2006/relationships/image" Target="media/image28.png"/><Relationship Id="rId65" Type="http://schemas.openxmlformats.org/officeDocument/2006/relationships/image" Target="media/image27.png"/><Relationship Id="rId64" Type="http://schemas.openxmlformats.org/officeDocument/2006/relationships/image" Target="media/image26.png"/><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image" Target="media/image23.png"/><Relationship Id="rId60" Type="http://schemas.openxmlformats.org/officeDocument/2006/relationships/image" Target="media/image22.png"/><Relationship Id="rId6" Type="http://schemas.openxmlformats.org/officeDocument/2006/relationships/endnotes" Target="endnotes.xml"/><Relationship Id="rId59" Type="http://schemas.openxmlformats.org/officeDocument/2006/relationships/image" Target="media/image21.png"/><Relationship Id="rId58" Type="http://schemas.openxmlformats.org/officeDocument/2006/relationships/image" Target="media/image20.png"/><Relationship Id="rId57" Type="http://schemas.openxmlformats.org/officeDocument/2006/relationships/image" Target="media/image19.png"/><Relationship Id="rId56" Type="http://schemas.openxmlformats.org/officeDocument/2006/relationships/image" Target="media/image18.png"/><Relationship Id="rId55" Type="http://schemas.openxmlformats.org/officeDocument/2006/relationships/image" Target="media/image17.png"/><Relationship Id="rId54" Type="http://schemas.openxmlformats.org/officeDocument/2006/relationships/image" Target="media/image16.png"/><Relationship Id="rId53" Type="http://schemas.openxmlformats.org/officeDocument/2006/relationships/image" Target="media/image15.png"/><Relationship Id="rId52" Type="http://schemas.openxmlformats.org/officeDocument/2006/relationships/image" Target="media/image14.png"/><Relationship Id="rId51" Type="http://schemas.openxmlformats.org/officeDocument/2006/relationships/image" Target="media/image13.png"/><Relationship Id="rId50" Type="http://schemas.openxmlformats.org/officeDocument/2006/relationships/image" Target="media/image12.png"/><Relationship Id="rId5" Type="http://schemas.openxmlformats.org/officeDocument/2006/relationships/footnotes" Target="footnotes.xml"/><Relationship Id="rId49" Type="http://schemas.openxmlformats.org/officeDocument/2006/relationships/image" Target="media/image11.png"/><Relationship Id="rId48" Type="http://schemas.openxmlformats.org/officeDocument/2006/relationships/image" Target="media/image10.png"/><Relationship Id="rId47" Type="http://schemas.openxmlformats.org/officeDocument/2006/relationships/image" Target="media/image9.png"/><Relationship Id="rId46" Type="http://schemas.openxmlformats.org/officeDocument/2006/relationships/image" Target="media/image8.png"/><Relationship Id="rId45" Type="http://schemas.openxmlformats.org/officeDocument/2006/relationships/image" Target="media/image7.png"/><Relationship Id="rId44" Type="http://schemas.openxmlformats.org/officeDocument/2006/relationships/image" Target="media/image6.png"/><Relationship Id="rId43" Type="http://schemas.openxmlformats.org/officeDocument/2006/relationships/image" Target="media/image5.png"/><Relationship Id="rId42" Type="http://schemas.openxmlformats.org/officeDocument/2006/relationships/image" Target="media/image4.png"/><Relationship Id="rId41" Type="http://schemas.openxmlformats.org/officeDocument/2006/relationships/image" Target="media/image3.png"/><Relationship Id="rId40" Type="http://schemas.openxmlformats.org/officeDocument/2006/relationships/image" Target="../NULL"/><Relationship Id="rId4" Type="http://schemas.microsoft.com/office/2011/relationships/commentsExtended" Target="commentsExtended.xml"/><Relationship Id="rId39" Type="http://schemas.openxmlformats.org/officeDocument/2006/relationships/image" Target="media/image1.png"/><Relationship Id="rId38" Type="http://schemas.openxmlformats.org/officeDocument/2006/relationships/theme" Target="theme/theme1.xml"/><Relationship Id="rId37" Type="http://schemas.openxmlformats.org/officeDocument/2006/relationships/footer" Target="footer15.xml"/><Relationship Id="rId36" Type="http://schemas.openxmlformats.org/officeDocument/2006/relationships/footer" Target="footer14.xml"/><Relationship Id="rId35" Type="http://schemas.openxmlformats.org/officeDocument/2006/relationships/footer" Target="footer13.xml"/><Relationship Id="rId34" Type="http://schemas.openxmlformats.org/officeDocument/2006/relationships/header" Target="header16.xml"/><Relationship Id="rId33" Type="http://schemas.openxmlformats.org/officeDocument/2006/relationships/header" Target="header15.xml"/><Relationship Id="rId32" Type="http://schemas.openxmlformats.org/officeDocument/2006/relationships/header" Target="header14.xml"/><Relationship Id="rId31" Type="http://schemas.openxmlformats.org/officeDocument/2006/relationships/footer" Target="footer12.xml"/><Relationship Id="rId30" Type="http://schemas.openxmlformats.org/officeDocument/2006/relationships/header" Target="header13.xml"/><Relationship Id="rId3" Type="http://schemas.openxmlformats.org/officeDocument/2006/relationships/comments" Target="comments.xml"/><Relationship Id="rId29" Type="http://schemas.openxmlformats.org/officeDocument/2006/relationships/footer" Target="footer11.xml"/><Relationship Id="rId28" Type="http://schemas.openxmlformats.org/officeDocument/2006/relationships/footer" Target="footer10.xml"/><Relationship Id="rId27" Type="http://schemas.openxmlformats.org/officeDocument/2006/relationships/footer" Target="footer9.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footer" Target="footer8.xml"/><Relationship Id="rId22" Type="http://schemas.openxmlformats.org/officeDocument/2006/relationships/footer" Target="footer7.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footer" Target="footer4.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456</Pages>
  <Words>40141</Words>
  <Characters>228805</Characters>
  <Lines>1906</Lines>
  <Paragraphs>536</Paragraphs>
  <TotalTime>54</TotalTime>
  <ScaleCrop>false</ScaleCrop>
  <LinksUpToDate>false</LinksUpToDate>
  <CharactersWithSpaces>268410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2026-02-25T14:39:00Z</dcterms:created>
  <dc:creator>wangjianyong</dc:creator>
  <cp:lastModifiedBy>zd</cp:lastModifiedBy>
  <cp:lastPrinted>2024-12-17T18:02:00Z</cp:lastPrinted>
  <dcterms:modified xsi:type="dcterms:W3CDTF">2026-03-05T08:44:10Z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9253A9D62CF540CDBE1DAB8FF9A55021_13</vt:lpwstr>
  </property>
  <property fmtid="{D5CDD505-2E9C-101B-9397-08002B2CF9AE}" pid="4" name="KSOTemplateDocerSaveRecord">
    <vt:lpwstr>eyJoZGlkIjoiMmZlOGQ1OGFjZjE5Y2JiNjAzMjNlNmVlYmQ1ODIwYTQiLCJ1c2VySWQiOiI0NzUyOTY0MDQifQ==</vt:lpwstr>
  </property>
</Properties>
</file>