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Två handbyggda introduktionsbanor ligger längst ned på bankartan (markerade med en examenshatt). 1. Så spelar du: en vanlig bana som lär ut kartan med rosa linje och landmärken, att nypa för att zooma, pilarna (sett från figurens håll), återvändsgränd och Vänd-knappen, kompassen, att den rosa linjen ofta är borta i vanliga banor och tidsstapeln. 2. Monster: monstret som vaknar och jagar, röd skärmkant och backspegel, samt hur man gömmer sig i tunnan, svajpar för att titta runt och väntar tills monstret gett upp.</w:t>
      </w:r>
    </w:p>
    <w:p>
      <w:pPr>
        <w:pStyle w:val="ListBullet"/>
      </w:pPr>
      <w:r>
        <w:t>Introduktionen kostar inga liv: tar tiden slut eller hinner monstret ikapp får man bara försöka igen. Nya spelare börjar på introduktion 1.</w:t>
      </w:r>
    </w:p>
    <w:p>
      <w:pPr>
        <w:pStyle w:val="ListBullet"/>
      </w:pPr>
      <w:r>
        <w:t>Man kan lämna en bana mitt under spelet med ✕-knappen uppe till vänster. Den frågar först och kostar ett liv (inte i introduktionen). I kartvyn finns som förut en tillbakapil som inte kostar något.</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2 introduktionsbanor.</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