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B2335"/>
          <w:sz w:val="40"/>
          <w:szCs w:val="40"/>
        </w:rPr>
        <w:t xml:space="preserve">NexaTel Customer Churn Analytics</w:t>
      </w:r>
    </w:p>
    <w:p>
      <w:pPr>
        <w:spacing w:after="20"/>
      </w:pPr>
      <w:r>
        <w:rPr>
          <w:b/>
          <w:bCs/>
          <w:color w:val="222222"/>
          <w:sz w:val="30"/>
          <w:szCs w:val="30"/>
        </w:rPr>
        <w:t xml:space="preserve">Management Summary Report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Prepared for: Chief Customer Officer, NexaTel</w:t>
      </w:r>
      <w:r>
        <w:rPr>
          <w:i/>
          <w:iCs/>
          <w:color w:val="595959"/>
          <w:sz w:val="22"/>
          <w:szCs w:val="22"/>
        </w:rPr>
        <w:t xml:space="preserve">   |   Reporting period: March 2025 – February 2026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1"/>
        <w:spacing w:after="140" w:before="280"/>
      </w:pPr>
      <w:r>
        <w:rPr>
          <w:b/>
          <w:bCs/>
          <w:color w:val="9B2335"/>
        </w:rPr>
        <w:t xml:space="preserve">Executive Summary</w:t>
      </w:r>
    </w:p>
    <w:p>
      <w:pPr>
        <w:spacing w:after="160" w:line="276"/>
      </w:pPr>
      <w:r>
        <w:rPr>
          <w:color w:val="222222"/>
        </w:rPr>
        <w:t xml:space="preserve">The customer base remains healthy in absolute terms, but retention is weakening steadily. Monthly churn nearly doubled over the past year, rising from 0.47% in March 2025 to 0.91% in February 2026, and revenue at risk from churn grew in step, reaching ₹90,782 in the latest month. Both figures are still inside the board's 2.1% target, but the direction of travel is the concern, not the current level.</w:t>
      </w:r>
    </w:p>
    <w:p>
      <w:pPr>
        <w:spacing w:after="160" w:line="276"/>
      </w:pPr>
      <w:r>
        <w:rPr>
          <w:color w:val="222222"/>
        </w:rPr>
        <w:t xml:space="preserve">Two groups carry almost all of the risk. Customers in their first year show far higher lifetime churn (around 60%) than long-tenured customers (around 5%), and Mass-segment customers churn more than twice as often as Enterprise customers. Service quality is a direct, measurable lever: customers with an unresolved complaint churn at roughly 25.6%, nearly double the 15.1% rate for customers without one, and First Contact Resolution sits at 42%, far below the 78% target.</w:t>
      </w:r>
    </w:p>
    <w:p>
      <w:pPr>
        <w:spacing w:after="160" w:line="276"/>
      </w:pPr>
      <w:r>
        <w:rPr>
          <w:color w:val="222222"/>
        </w:rPr>
        <w:t xml:space="preserve">On the positive side, Monthly Recurring Revenue has grown steadily all year, average customer tenure is a strong 86 months, and customers who accept a retention offer stay at an 87% rate. The base is not in crisis, but the trend lines point the wrong way, and the data shows exactly where to intervene first: new customers, Mass-segment customers, and unresolved complaints.</w:t>
      </w:r>
    </w:p>
    <w:p>
      <w:pPr>
        <w:pStyle w:val="Heading1"/>
        <w:spacing w:after="140" w:before="280"/>
      </w:pPr>
      <w:r>
        <w:rPr>
          <w:b/>
          <w:bCs/>
          <w:color w:val="9B2335"/>
        </w:rPr>
        <w:t xml:space="preserve">Top 3 Findings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1. New customers drive most of the churn risk. About 60% of customers with 0–12 months of tenure have</w:t>
      </w:r>
      <w:r>
        <w:rPr>
          <w:color w:val="222222"/>
        </w:rPr>
        <w:t xml:space="preserve"> churned at some point — versus only about 5% of customers with 73+ months of tenure. New customers are by far the highest-risk group, and the risk drops off sharply after the first year.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2. Unresolved support issues are a direct churn trigger.</w:t>
      </w:r>
      <w:r>
        <w:rPr>
          <w:color w:val="222222"/>
        </w:rPr>
        <w:t xml:space="preserve"> Customers with an unresolved complaint on file churn at 25.6%, nearly double the 15.1% rate for customers whose complaints were resolved. First Contact Resolution is only 42%, well short of the 78% target, meaning most issues are not being fixed on the first attempt, which is directly pushing customers toward the door.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3. Churn is trending upward, consistently, not randomly.</w:t>
      </w:r>
      <w:r>
        <w:rPr>
          <w:color w:val="222222"/>
        </w:rPr>
        <w:t xml:space="preserve"> Monthly churn has climbed from 0.47% (March 2025) to 0.91% (February 2026), and the 3-month cohort retention rate for customers joining in mid-2025 has fallen to the 80–90% range, down from the mid-90s a year earlier. This is a sustained trend across two independent measurements, not a one-month blip.</w:t>
      </w:r>
    </w:p>
    <w:p>
      <w:pPr>
        <w:pStyle w:val="Heading1"/>
        <w:spacing w:after="140" w:before="280"/>
      </w:pPr>
      <w:r>
        <w:rPr>
          <w:b/>
          <w:bCs/>
          <w:color w:val="9B2335"/>
        </w:rPr>
        <w:t xml:space="preserve">Risks Identified</w:t>
      </w:r>
    </w:p>
    <w:p>
      <w:pPr>
        <w:spacing w:after="160" w:line="276"/>
      </w:pPr>
      <w:r>
        <w:rPr>
          <w:color w:val="222222"/>
        </w:rPr>
        <w:t xml:space="preserve">The numbers most worth watching closely: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200"/>
      </w:tblGrid>
      <w:tr>
        <w:trPr>
          <w:tblHeader/>
        </w:trPr>
        <w:tc>
          <w:tcPr>
            <w:tcW w:type="dxa" w:w="4500"/>
            <w:shd w:fill="9B23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shd w:fill="9B23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shd w:fill="9B23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5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Monthly churn rate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0.91%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&lt; 2.1%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First Contact Resolution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42%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&gt; 78%</w:t>
            </w:r>
          </w:p>
        </w:tc>
      </w:tr>
      <w:tr>
        <w:tc>
          <w:tcPr>
            <w:tcW w:type="dxa" w:w="45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Contract renewal rate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66%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&gt; 88%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Revenue lost to churn (Feb 2026)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₹90,782 / mo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n/a</w:t>
            </w:r>
          </w:p>
        </w:tc>
      </w:tr>
      <w:tr>
        <w:tc>
          <w:tcPr>
            <w:tcW w:type="dxa" w:w="45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New-customer (0–12mo) churn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~60%</w:t>
            </w:r>
          </w:p>
        </w:tc>
        <w:tc>
          <w:tcPr>
            <w:tcW w:type="dxa" w:w="2200"/>
            <w:shd w:fill="F6F0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n/a</w:t>
            </w:r>
          </w:p>
        </w:tc>
      </w:tr>
    </w:tbl>
    <w:p>
      <w:pPr>
        <w:spacing w:after="80" w:before="16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Both FCR and contract renewal are missing their targets by wide margins.</w:t>
      </w:r>
      <w:r>
        <w:rPr>
          <w:color w:val="222222"/>
        </w:rPr>
        <w:t xml:space="preserve"> these are both lagging well behind target and both feed directly into churn — poor service and a weak renewal motion are the two biggest controllable risks on the board.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The contract renewal figure is based on a small monthly sample.</w:t>
      </w:r>
      <w:r>
        <w:rPr>
          <w:color w:val="222222"/>
        </w:rPr>
        <w:t xml:space="preserve"> Contract renewal is based on only 38 contracts in the latest month, which can move several points on a handful of outcomes. The trend should be confirmed over a longer window before being treated as settled.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The churn trend, not the churn level, is the real risk.</w:t>
      </w:r>
      <w:r>
        <w:rPr>
          <w:color w:val="222222"/>
        </w:rPr>
        <w:t xml:space="preserve"> If the current trajectory continues unaddressed, churn is likely to cross the 2.1% target within the next several months rather than remain safely under it.</w:t>
      </w:r>
    </w:p>
    <w:p>
      <w:pPr>
        <w:pStyle w:val="Heading1"/>
        <w:spacing w:after="140" w:before="280"/>
      </w:pPr>
      <w:r>
        <w:rPr>
          <w:b/>
          <w:bCs/>
          <w:color w:val="9B2335"/>
        </w:rPr>
        <w:t xml:space="preserve">Opportunities</w:t>
      </w:r>
    </w:p>
    <w:p>
      <w:pPr>
        <w:spacing w:after="160" w:line="276"/>
      </w:pPr>
      <w:r>
        <w:rPr>
          <w:color w:val="222222"/>
        </w:rPr>
        <w:t xml:space="preserve">Retention effort will protect the most revenue if it is focused where risk and value overlap, rather than spread evenly: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New customers (first 12 months).</w:t>
      </w:r>
      <w:r>
        <w:rPr>
          <w:color w:val="222222"/>
        </w:rPr>
        <w:t xml:space="preserve"> this is the single highest-churn group and the easiest to identify in advance (by signup date), making it the best place to concentrate onboarding and early-tenure support.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Mass-segment customers.</w:t>
      </w:r>
      <w:r>
        <w:rPr>
          <w:color w:val="222222"/>
        </w:rPr>
        <w:t xml:space="preserve"> Mass-segment customers churn more than twice as often as Premium or Enterprise customers. Even modest improvement here protects a large number of accounts.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Customers with open or unresolved complaints.</w:t>
      </w:r>
      <w:r>
        <w:rPr>
          <w:color w:val="222222"/>
        </w:rPr>
        <w:t xml:space="preserve"> closing this gap (currently 42% vs. the 78% target) is the most direct, measurable lever identified in this analysis, since unresolved complaints nearly double a customer's churn risk.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Retention campaigns, where they're already working.</w:t>
      </w:r>
      <w:r>
        <w:rPr>
          <w:color w:val="222222"/>
        </w:rPr>
        <w:t xml:space="preserve"> customers who accept an offer are retained at 86.8%, versus 78–79% for those who decline or don't respond — proactive outreach, especially to at-risk new and Mass-segment customers, is already shown to work.</w:t>
      </w:r>
    </w:p>
    <w:p>
      <w:pPr>
        <w:pStyle w:val="Heading1"/>
        <w:spacing w:after="140" w:before="280"/>
      </w:pPr>
      <w:r>
        <w:rPr>
          <w:b/>
          <w:bCs/>
          <w:color w:val="9B2335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1. Build a structured first-year onboarding and retention program.</w:t>
      </w:r>
      <w:r>
        <w:rPr>
          <w:color w:val="222222"/>
        </w:rPr>
        <w:t xml:space="preserve"> Increase check-in touchpoints, proactive support, and onboarding support during a customer's first 12 months, the period where the data shows churn risk is highest.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2. Prioritize fixing First Contact Resolution.</w:t>
      </w:r>
      <w:r>
        <w:rPr>
          <w:color w:val="222222"/>
        </w:rPr>
        <w:t xml:space="preserve"> Investigate why only 42% of support tickets are resolved on the first contact (target: 78%) and address the root causes — agent training, ticket routing, or escalation process are good starting points for review.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3. Set a resolution-time target for open complaints.</w:t>
      </w:r>
      <w:r>
        <w:rPr>
          <w:color w:val="222222"/>
        </w:rPr>
        <w:t xml:space="preserve"> Customers with an unresolved complaint churn at nearly double the rate of other customers. A faster complaint-resolution process, or automatic escalation for complaints open beyond a set number of days, would directly reduce this risk.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4. Expand retention campaigns toward the highest-risk segments.</w:t>
      </w:r>
      <w:r>
        <w:rPr>
          <w:color w:val="222222"/>
        </w:rPr>
        <w:t xml:space="preserve"> Target proactive retention offers at Mass-segment and newer customers specifically, since the data shows these campaigns already achieve an 86.8% retention rate when accepted — expanding reach to the highest-risk groups should have the biggest impact per rupee spent.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222222"/>
        </w:rPr>
        <w:t xml:space="preserve">5. Review the contract renewal process.</w:t>
      </w:r>
      <w:r>
        <w:rPr>
          <w:color w:val="222222"/>
        </w:rPr>
        <w:t xml:space="preserve"> Investigate the drivers behind the 66% contract renewal rate (target: 88%), particularly for postpaid and fibre plans, and confirm the finding against a longer time window before committing significant resources against it.</w:t>
      </w:r>
    </w:p>
    <w:p>
      <w:pPr>
        <w:pBdr>
          <w:top w:val="single" w:color="CCCCCC" w:sz="6" w:space="4"/>
        </w:pBdr>
        <w:spacing w:before="160"/>
      </w:pPr>
      <w:r>
        <w:rPr>
          <w:i/>
          <w:iCs/>
          <w:color w:val="595959"/>
          <w:sz w:val="20"/>
          <w:szCs w:val="20"/>
        </w:rPr>
        <w:t xml:space="preserve">Full detail, including monthly trends, segment breakdowns, and regional and network-quality views, is available in the accompanying Phase 4 dashboard.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2026-10-04T10:03:51.435Z</dcterms:created>
  <dcterms:modified xsi:type="dcterms:W3CDTF">2026-10-04T10:03:51.436Z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