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2321"/>
          <w:sz w:val="44"/>
        </w:rPr>
        <w:t>Locomotive Win-Share — Corrected Headline</w:t>
      </w:r>
    </w:p>
    <w:p>
      <w:pPr>
        <w:spacing w:after="280"/>
      </w:pPr>
      <w:r>
        <w:rPr>
          <w:i/>
          <w:color w:val="5B6560"/>
          <w:sz w:val="24"/>
        </w:rPr>
        <w:t>254 country pairs / 934 real hub-routes — after the Kúty/Brodské routing fix</w:t>
      </w:r>
    </w:p>
    <w:p>
      <w:pPr>
        <w:spacing w:after="280"/>
      </w:pPr>
      <w:r>
        <w:rPr>
          <w:color w:val="9C4B12"/>
          <w:sz w:val="20"/>
        </w:rPr>
        <w:t>This corrects a routing error: the model's shortest-path routing was sending trains over a real 5.0%-gradient chokepoint (Kúty/Brodské, on the Slovak/Czech border) that real rail cargo does not use. A real, comparably-short alternative exists (+0.0% to +1.4% extra distance on sampled routes). Excluding this segment and rerunning the full network changes the headline substantially -- see below.</w:t>
      </w:r>
    </w:p>
    <w:p>
      <w:pPr>
        <w:pStyle w:val="ListBullet"/>
        <w:spacing w:after="160"/>
      </w:pPr>
      <w:r>
        <w:rPr>
          <w:sz w:val="22"/>
        </w:rPr>
        <w:t>EURO9000's win-share collapses from 16.0% to 4.1% of total weighted freight demand -- three quarters of its prior win-share was resting on being the only locomotive able to cross this one real chokepoint, which real operators route around.</w:t>
      </w:r>
    </w:p>
    <w:p>
      <w:pPr>
        <w:pStyle w:val="ListBullet"/>
        <w:spacing w:after="160"/>
      </w:pPr>
      <w:r>
        <w:rPr>
          <w:sz w:val="22"/>
        </w:rPr>
        <w:t>Vectron Dual Mode's share more than doubles (22.8% to 34.9%) and EuroDual's share also grows (18.5% to 21.1%), picking up routes that are now feasible for them once the real alternative routing is used. Vectron's own share dips slightly (42.7% to 40.0%).</w:t>
      </w:r>
    </w:p>
    <w:p>
      <w:pPr>
        <w:pStyle w:val="ListBullet"/>
        <w:spacing w:after="160"/>
      </w:pPr>
      <w:r>
        <w:rPr>
          <w:sz w:val="22"/>
        </w:rPr>
        <w:t>Total weighted demand (116,575 freight-trains/year-equivalent) and every locomotive's real physical routing elsewhere in the network are unchanged -- this is purely the effect of correcting the routing choice at one real border crossing.</w:t>
      </w:r>
    </w:p>
    <w:p>
      <w:pPr>
        <w:spacing w:before="200" w:after="120"/>
      </w:pPr>
      <w:r>
        <w:rPr>
          <w:b/>
          <w:color w:val="1C2321"/>
          <w:sz w:val="26"/>
        </w:rPr>
        <w:t>Current headline (corrected, post routing-fix)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C2321"/>
          </w:tcPr>
          <w:p>
            <w:r/>
            <w:r>
              <w:rPr>
                <w:b/>
                <w:color w:val="FFFFFF"/>
                <w:sz w:val="21"/>
              </w:rPr>
              <w:t>Locomotive</w:t>
            </w:r>
          </w:p>
        </w:tc>
        <w:tc>
          <w:tcPr>
            <w:tcW w:type="dxa" w:w="2304"/>
            <w:shd w:fill="1C2321"/>
          </w:tcPr>
          <w:p>
            <w:r/>
            <w:r>
              <w:rPr>
                <w:b/>
                <w:color w:val="FFFFFF"/>
                <w:sz w:val="21"/>
              </w:rPr>
              <w:t>Weighted demand</w:t>
            </w:r>
          </w:p>
        </w:tc>
        <w:tc>
          <w:tcPr>
            <w:tcW w:type="dxa" w:w="1728"/>
            <w:shd w:fill="1C2321"/>
          </w:tcPr>
          <w:p>
            <w:r/>
            <w:r>
              <w:rPr>
                <w:b/>
                <w:color w:val="FFFFFF"/>
                <w:sz w:val="21"/>
              </w:rPr>
              <w:t>Share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1C2321"/>
                <w:sz w:val="21"/>
              </w:rPr>
              <w:t>Vectron</w:t>
            </w:r>
          </w:p>
        </w:tc>
        <w:tc>
          <w:tcPr>
            <w:tcW w:type="dxa" w:w="2304"/>
          </w:tcPr>
          <w:p>
            <w:r/>
            <w:r>
              <w:rPr>
                <w:color w:val="1C2321"/>
                <w:sz w:val="21"/>
              </w:rPr>
              <w:t>46,600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C2321"/>
                <w:sz w:val="21"/>
              </w:rPr>
              <w:t>40.0%</w:t>
            </w:r>
          </w:p>
        </w:tc>
      </w:tr>
      <w:tr>
        <w:tc>
          <w:tcPr>
            <w:tcW w:type="dxa" w:w="3168"/>
            <w:shd w:fill="F5F3EE"/>
          </w:tcPr>
          <w:p>
            <w:r/>
            <w:r>
              <w:rPr>
                <w:color w:val="1C2321"/>
                <w:sz w:val="21"/>
              </w:rPr>
              <w:t>Vectron Dual Mode</w:t>
            </w:r>
          </w:p>
        </w:tc>
        <w:tc>
          <w:tcPr>
            <w:tcW w:type="dxa" w:w="2304"/>
            <w:shd w:fill="F5F3EE"/>
          </w:tcPr>
          <w:p>
            <w:r/>
            <w:r>
              <w:rPr>
                <w:color w:val="1C2321"/>
                <w:sz w:val="21"/>
              </w:rPr>
              <w:t>40,650</w:t>
            </w:r>
          </w:p>
        </w:tc>
        <w:tc>
          <w:tcPr>
            <w:tcW w:type="dxa" w:w="1728"/>
            <w:shd w:fill="F5F3EE"/>
          </w:tcPr>
          <w:p>
            <w:r/>
            <w:r>
              <w:rPr>
                <w:b/>
                <w:color w:val="1C2321"/>
                <w:sz w:val="21"/>
              </w:rPr>
              <w:t>34.9%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1C2321"/>
                <w:sz w:val="21"/>
              </w:rPr>
              <w:t>EuroDual</w:t>
            </w:r>
          </w:p>
        </w:tc>
        <w:tc>
          <w:tcPr>
            <w:tcW w:type="dxa" w:w="2304"/>
          </w:tcPr>
          <w:p>
            <w:r/>
            <w:r>
              <w:rPr>
                <w:color w:val="1C2321"/>
                <w:sz w:val="21"/>
              </w:rPr>
              <w:t>24,568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C2321"/>
                <w:sz w:val="21"/>
              </w:rPr>
              <w:t>21.1%</w:t>
            </w:r>
          </w:p>
        </w:tc>
      </w:tr>
      <w:tr>
        <w:tc>
          <w:tcPr>
            <w:tcW w:type="dxa" w:w="3168"/>
            <w:shd w:fill="F5F3EE"/>
          </w:tcPr>
          <w:p>
            <w:r/>
            <w:r>
              <w:rPr>
                <w:color w:val="1C2321"/>
                <w:sz w:val="21"/>
              </w:rPr>
              <w:t>EURO9000</w:t>
            </w:r>
          </w:p>
        </w:tc>
        <w:tc>
          <w:tcPr>
            <w:tcW w:type="dxa" w:w="2304"/>
            <w:shd w:fill="F5F3EE"/>
          </w:tcPr>
          <w:p>
            <w:r/>
            <w:r>
              <w:rPr>
                <w:color w:val="1C2321"/>
                <w:sz w:val="21"/>
              </w:rPr>
              <w:t>4,758</w:t>
            </w:r>
          </w:p>
        </w:tc>
        <w:tc>
          <w:tcPr>
            <w:tcW w:type="dxa" w:w="1728"/>
            <w:shd w:fill="F5F3EE"/>
          </w:tcPr>
          <w:p>
            <w:r/>
            <w:r>
              <w:rPr>
                <w:b/>
                <w:color w:val="1C2321"/>
                <w:sz w:val="21"/>
              </w:rPr>
              <w:t>4.1%</w:t>
            </w:r>
          </w:p>
        </w:tc>
      </w:tr>
    </w:tbl>
    <w:p>
      <w:pPr>
        <w:spacing w:before="200" w:after="120"/>
      </w:pPr>
      <w:r>
        <w:rPr>
          <w:b/>
          <w:color w:val="1C2321"/>
          <w:sz w:val="26"/>
        </w:rPr>
        <w:t>Prior headline (routing error, superseded)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C2321"/>
          </w:tcPr>
          <w:p>
            <w:r/>
            <w:r>
              <w:rPr>
                <w:b/>
                <w:color w:val="FFFFFF"/>
                <w:sz w:val="21"/>
              </w:rPr>
              <w:t>Locomotive</w:t>
            </w:r>
          </w:p>
        </w:tc>
        <w:tc>
          <w:tcPr>
            <w:tcW w:type="dxa" w:w="2304"/>
            <w:shd w:fill="1C2321"/>
          </w:tcPr>
          <w:p>
            <w:r/>
            <w:r>
              <w:rPr>
                <w:b/>
                <w:color w:val="FFFFFF"/>
                <w:sz w:val="21"/>
              </w:rPr>
              <w:t>Weighted demand</w:t>
            </w:r>
          </w:p>
        </w:tc>
        <w:tc>
          <w:tcPr>
            <w:tcW w:type="dxa" w:w="1728"/>
            <w:shd w:fill="1C2321"/>
          </w:tcPr>
          <w:p>
            <w:r/>
            <w:r>
              <w:rPr>
                <w:b/>
                <w:color w:val="FFFFFF"/>
                <w:sz w:val="21"/>
              </w:rPr>
              <w:t>Share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1C2321"/>
                <w:sz w:val="21"/>
              </w:rPr>
              <w:t>Vectron</w:t>
            </w:r>
          </w:p>
        </w:tc>
        <w:tc>
          <w:tcPr>
            <w:tcW w:type="dxa" w:w="2304"/>
          </w:tcPr>
          <w:p>
            <w:r/>
            <w:r>
              <w:rPr>
                <w:color w:val="1C2321"/>
                <w:sz w:val="21"/>
              </w:rPr>
              <w:t>49,817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C2321"/>
                <w:sz w:val="21"/>
              </w:rPr>
              <w:t>42.7%</w:t>
            </w:r>
          </w:p>
        </w:tc>
      </w:tr>
      <w:tr>
        <w:tc>
          <w:tcPr>
            <w:tcW w:type="dxa" w:w="3168"/>
            <w:shd w:fill="F5F3EE"/>
          </w:tcPr>
          <w:p>
            <w:r/>
            <w:r>
              <w:rPr>
                <w:color w:val="1C2321"/>
                <w:sz w:val="21"/>
              </w:rPr>
              <w:t>Vectron Dual Mode</w:t>
            </w:r>
          </w:p>
        </w:tc>
        <w:tc>
          <w:tcPr>
            <w:tcW w:type="dxa" w:w="2304"/>
            <w:shd w:fill="F5F3EE"/>
          </w:tcPr>
          <w:p>
            <w:r/>
            <w:r>
              <w:rPr>
                <w:color w:val="1C2321"/>
                <w:sz w:val="21"/>
              </w:rPr>
              <w:t>26,563</w:t>
            </w:r>
          </w:p>
        </w:tc>
        <w:tc>
          <w:tcPr>
            <w:tcW w:type="dxa" w:w="1728"/>
            <w:shd w:fill="F5F3EE"/>
          </w:tcPr>
          <w:p>
            <w:r/>
            <w:r>
              <w:rPr>
                <w:b/>
                <w:color w:val="1C2321"/>
                <w:sz w:val="21"/>
              </w:rPr>
              <w:t>22.8%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color w:val="1C2321"/>
                <w:sz w:val="21"/>
              </w:rPr>
              <w:t>EuroDual</w:t>
            </w:r>
          </w:p>
        </w:tc>
        <w:tc>
          <w:tcPr>
            <w:tcW w:type="dxa" w:w="2304"/>
          </w:tcPr>
          <w:p>
            <w:r/>
            <w:r>
              <w:rPr>
                <w:color w:val="1C2321"/>
                <w:sz w:val="21"/>
              </w:rPr>
              <w:t>21,534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C2321"/>
                <w:sz w:val="21"/>
              </w:rPr>
              <w:t>18.5%</w:t>
            </w:r>
          </w:p>
        </w:tc>
      </w:tr>
      <w:tr>
        <w:tc>
          <w:tcPr>
            <w:tcW w:type="dxa" w:w="3168"/>
            <w:shd w:fill="F5F3EE"/>
          </w:tcPr>
          <w:p>
            <w:r/>
            <w:r>
              <w:rPr>
                <w:color w:val="1C2321"/>
                <w:sz w:val="21"/>
              </w:rPr>
              <w:t>EURO9000</w:t>
            </w:r>
          </w:p>
        </w:tc>
        <w:tc>
          <w:tcPr>
            <w:tcW w:type="dxa" w:w="2304"/>
            <w:shd w:fill="F5F3EE"/>
          </w:tcPr>
          <w:p>
            <w:r/>
            <w:r>
              <w:rPr>
                <w:color w:val="1C2321"/>
                <w:sz w:val="21"/>
              </w:rPr>
              <w:t>18,662</w:t>
            </w:r>
          </w:p>
        </w:tc>
        <w:tc>
          <w:tcPr>
            <w:tcW w:type="dxa" w:w="1728"/>
            <w:shd w:fill="F5F3EE"/>
          </w:tcPr>
          <w:p>
            <w:r/>
            <w:r>
              <w:rPr>
                <w:b/>
                <w:color w:val="1C2321"/>
                <w:sz w:val="21"/>
              </w:rPr>
              <w:t>16.0%</w:t>
            </w:r>
          </w:p>
        </w:tc>
      </w:tr>
    </w:tbl>
    <w:p>
      <w:pPr>
        <w:spacing w:before="280"/>
      </w:pPr>
      <w:r>
        <w:rPr>
          <w:i/>
          <w:color w:val="5B6560"/>
          <w:sz w:val="17"/>
        </w:rPr>
        <w:t>TRAXX excluded (insufficient independently-sourced economics). “Weighted demand” is each hub-route's real implied freight-trains/year, credited to its cheapest feasible locomotive. Fix documented in src/elp_model/route_exclusions.py. 74.5% of EURO9000's PRIOR win-share sat on routes crossing this one segment, with at least one competitor infeasible on every one of them.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23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