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0922C" w14:textId="77777777" w:rsidR="009B2596" w:rsidRPr="008940B6" w:rsidRDefault="008940B6" w:rsidP="00105F68">
      <w:pPr>
        <w:rPr>
          <w:rFonts w:ascii="Times" w:hAnsi="Times"/>
          <w:b/>
          <w:sz w:val="28"/>
          <w:szCs w:val="28"/>
        </w:rPr>
      </w:pPr>
      <w:r w:rsidRPr="008940B6">
        <w:rPr>
          <w:rFonts w:ascii="Times" w:hAnsi="Times"/>
          <w:b/>
          <w:sz w:val="28"/>
          <w:szCs w:val="28"/>
        </w:rPr>
        <w:t xml:space="preserve">Response to </w:t>
      </w:r>
      <w:r w:rsidR="00797FFB" w:rsidRPr="008940B6">
        <w:rPr>
          <w:rFonts w:ascii="Times" w:hAnsi="Times"/>
          <w:b/>
          <w:sz w:val="28"/>
          <w:szCs w:val="28"/>
        </w:rPr>
        <w:t>Reviewer #1</w:t>
      </w:r>
    </w:p>
    <w:p w14:paraId="60F49DD7" w14:textId="77777777" w:rsidR="00797FFB" w:rsidRDefault="00797FFB" w:rsidP="00105F68">
      <w:pPr>
        <w:rPr>
          <w:rFonts w:ascii="Times" w:hAnsi="Times" w:hint="eastAsia"/>
        </w:rPr>
      </w:pPr>
    </w:p>
    <w:p w14:paraId="235824B0" w14:textId="77777777" w:rsidR="00797FFB" w:rsidRPr="008940B6" w:rsidRDefault="00797FFB" w:rsidP="00797FFB">
      <w:pPr>
        <w:rPr>
          <w:rFonts w:ascii="Times" w:hAnsi="Times" w:hint="eastAsia"/>
          <w:b/>
        </w:rPr>
      </w:pPr>
      <w:r w:rsidRPr="008940B6">
        <w:rPr>
          <w:rFonts w:ascii="Times" w:hAnsi="Times"/>
          <w:b/>
        </w:rPr>
        <w:t>One of the major difficulties of this sort of work is genuinely showing a significant and</w:t>
      </w:r>
      <w:r w:rsidR="008940B6">
        <w:rPr>
          <w:rFonts w:ascii="Times" w:hAnsi="Times"/>
          <w:b/>
        </w:rPr>
        <w:t xml:space="preserve"> </w:t>
      </w:r>
      <w:r w:rsidRPr="008940B6">
        <w:rPr>
          <w:rFonts w:ascii="Times" w:hAnsi="Times"/>
          <w:b/>
        </w:rPr>
        <w:t>demonstrable improvement over existing techniques and knowledge. The analyses</w:t>
      </w:r>
      <w:r w:rsidR="008940B6">
        <w:rPr>
          <w:rFonts w:ascii="Times" w:hAnsi="Times"/>
          <w:b/>
        </w:rPr>
        <w:t xml:space="preserve"> </w:t>
      </w:r>
      <w:r w:rsidRPr="008940B6">
        <w:rPr>
          <w:rFonts w:ascii="Times" w:hAnsi="Times"/>
          <w:b/>
        </w:rPr>
        <w:t>undertaken are useful and provide reassurance that the methods are effective but do not</w:t>
      </w:r>
      <w:r w:rsidR="008940B6">
        <w:rPr>
          <w:rFonts w:ascii="Times" w:hAnsi="Times"/>
          <w:b/>
        </w:rPr>
        <w:t xml:space="preserve"> </w:t>
      </w:r>
      <w:r w:rsidRPr="008940B6">
        <w:rPr>
          <w:rFonts w:ascii="Times" w:hAnsi="Times"/>
          <w:b/>
        </w:rPr>
        <w:t>provide a huge advance over the pre-existing studies. The authors are clearly already aware</w:t>
      </w:r>
      <w:r w:rsidR="008940B6">
        <w:rPr>
          <w:rFonts w:ascii="Times" w:hAnsi="Times"/>
          <w:b/>
        </w:rPr>
        <w:t xml:space="preserve"> </w:t>
      </w:r>
      <w:r w:rsidRPr="008940B6">
        <w:rPr>
          <w:rFonts w:ascii="Times" w:hAnsi="Times"/>
          <w:b/>
        </w:rPr>
        <w:t>of this and state in the discussion that the major gains are likely to be made by the</w:t>
      </w:r>
      <w:r w:rsidR="008940B6">
        <w:rPr>
          <w:rFonts w:ascii="Times" w:hAnsi="Times"/>
          <w:b/>
        </w:rPr>
        <w:t xml:space="preserve"> </w:t>
      </w:r>
      <w:r w:rsidRPr="008940B6">
        <w:rPr>
          <w:rFonts w:ascii="Times" w:hAnsi="Times"/>
          <w:b/>
        </w:rPr>
        <w:t>incorporation of epigenetic data. I feel that this should be demonstrated before the paper</w:t>
      </w:r>
      <w:r w:rsidR="008940B6">
        <w:rPr>
          <w:rFonts w:ascii="Times" w:hAnsi="Times"/>
          <w:b/>
        </w:rPr>
        <w:t xml:space="preserve"> </w:t>
      </w:r>
      <w:r w:rsidRPr="008940B6">
        <w:rPr>
          <w:rFonts w:ascii="Times" w:hAnsi="Times"/>
          <w:b/>
        </w:rPr>
        <w:t>could be considered for publication in this journal. It is not immediately obvious that simply</w:t>
      </w:r>
      <w:r w:rsidR="008940B6">
        <w:rPr>
          <w:rFonts w:ascii="Times" w:hAnsi="Times"/>
          <w:b/>
        </w:rPr>
        <w:t xml:space="preserve"> </w:t>
      </w:r>
      <w:r w:rsidRPr="008940B6">
        <w:rPr>
          <w:rFonts w:ascii="Times" w:hAnsi="Times"/>
          <w:b/>
        </w:rPr>
        <w:t>adding additional independent epigenetic features is sufficient to uncover interesting biology</w:t>
      </w:r>
      <w:r w:rsidR="008940B6">
        <w:rPr>
          <w:rFonts w:ascii="Times" w:hAnsi="Times"/>
          <w:b/>
        </w:rPr>
        <w:t xml:space="preserve"> </w:t>
      </w:r>
      <w:r w:rsidRPr="008940B6">
        <w:rPr>
          <w:rFonts w:ascii="Times" w:hAnsi="Times"/>
          <w:b/>
        </w:rPr>
        <w:t>(there maybe complex dependencies between mutational signatures and epigenetic</w:t>
      </w:r>
      <w:r w:rsidR="008940B6">
        <w:rPr>
          <w:rFonts w:ascii="Times" w:hAnsi="Times"/>
          <w:b/>
        </w:rPr>
        <w:t xml:space="preserve"> </w:t>
      </w:r>
      <w:r w:rsidRPr="008940B6">
        <w:rPr>
          <w:rFonts w:ascii="Times" w:hAnsi="Times"/>
          <w:b/>
        </w:rPr>
        <w:t>features). An empirical study that demonstrates that this simple model really applies in this</w:t>
      </w:r>
      <w:r w:rsidR="008940B6">
        <w:rPr>
          <w:rFonts w:ascii="Times" w:hAnsi="Times"/>
          <w:b/>
        </w:rPr>
        <w:t xml:space="preserve"> </w:t>
      </w:r>
      <w:r w:rsidRPr="008940B6">
        <w:rPr>
          <w:rFonts w:ascii="Times" w:hAnsi="Times"/>
          <w:b/>
        </w:rPr>
        <w:t>context would be desirable to justify the extrapolation.</w:t>
      </w:r>
    </w:p>
    <w:p w14:paraId="078436C7" w14:textId="77777777" w:rsidR="008940B6" w:rsidRPr="00797FFB" w:rsidRDefault="008940B6" w:rsidP="00797FFB">
      <w:pPr>
        <w:rPr>
          <w:rFonts w:ascii="Times" w:hAnsi="Times" w:hint="eastAsia"/>
        </w:rPr>
      </w:pPr>
    </w:p>
    <w:p w14:paraId="763624AA" w14:textId="77777777" w:rsidR="00067274" w:rsidRPr="00797FFB" w:rsidRDefault="00067274" w:rsidP="00105F68">
      <w:pPr>
        <w:widowControl/>
        <w:autoSpaceDE w:val="0"/>
        <w:autoSpaceDN w:val="0"/>
        <w:adjustRightInd w:val="0"/>
        <w:rPr>
          <w:rFonts w:ascii="Times" w:hAnsi="Times" w:cs="Times"/>
          <w:color w:val="2E2E31"/>
          <w:kern w:val="0"/>
        </w:rPr>
      </w:pPr>
      <w:r w:rsidRPr="00797FFB">
        <w:rPr>
          <w:rFonts w:ascii="Times" w:hAnsi="Times" w:cs="Times"/>
          <w:color w:val="2E2E31"/>
          <w:kern w:val="0"/>
        </w:rPr>
        <w:t>An empirical study that demonstrates that this simp</w:t>
      </w:r>
      <w:r w:rsidR="00105F68" w:rsidRPr="00797FFB">
        <w:rPr>
          <w:rFonts w:ascii="Times" w:hAnsi="Times" w:cs="Times"/>
          <w:color w:val="2E2E31"/>
          <w:kern w:val="0"/>
        </w:rPr>
        <w:t xml:space="preserve">le model really applies in this </w:t>
      </w:r>
      <w:r w:rsidRPr="00797FFB">
        <w:rPr>
          <w:rFonts w:ascii="Times" w:hAnsi="Times" w:cs="Times"/>
          <w:color w:val="2E2E31"/>
          <w:kern w:val="0"/>
        </w:rPr>
        <w:t xml:space="preserve">context would be desirable to justify the extrapolation. </w:t>
      </w:r>
      <w:r w:rsidR="00105F68" w:rsidRPr="00797FFB">
        <w:rPr>
          <w:rFonts w:ascii="Times" w:hAnsi="Times" w:cs="Times"/>
          <w:color w:val="2E2E31"/>
          <w:kern w:val="0"/>
        </w:rPr>
        <w:t xml:space="preserve">While we believe that </w:t>
      </w:r>
      <w:r w:rsidRPr="00797FFB">
        <w:rPr>
          <w:rFonts w:ascii="Times" w:hAnsi="Times" w:cs="Times"/>
          <w:color w:val="2E2E31"/>
          <w:kern w:val="0"/>
        </w:rPr>
        <w:t>incorporating epigenetic data, and other types of data,</w:t>
      </w:r>
      <w:r w:rsidR="00105F68" w:rsidRPr="00797FFB">
        <w:rPr>
          <w:rFonts w:ascii="Times" w:hAnsi="Times" w:cs="Times"/>
          <w:color w:val="2E2E31"/>
          <w:kern w:val="0"/>
        </w:rPr>
        <w:t xml:space="preserve"> into mutation signatures is an </w:t>
      </w:r>
      <w:r w:rsidRPr="00797FFB">
        <w:rPr>
          <w:rFonts w:ascii="Times" w:hAnsi="Times" w:cs="Times"/>
          <w:color w:val="2E2E31"/>
          <w:kern w:val="0"/>
        </w:rPr>
        <w:t>important and excit</w:t>
      </w:r>
      <w:r w:rsidR="00105F68" w:rsidRPr="00797FFB">
        <w:rPr>
          <w:rFonts w:ascii="Times" w:hAnsi="Times" w:cs="Times"/>
          <w:color w:val="2E2E31"/>
          <w:kern w:val="0"/>
        </w:rPr>
        <w:t xml:space="preserve">ing direction for future work, we also believe that a proper </w:t>
      </w:r>
      <w:r w:rsidRPr="00797FFB">
        <w:rPr>
          <w:rFonts w:ascii="Times" w:hAnsi="Times" w:cs="Times"/>
          <w:color w:val="2E2E31"/>
          <w:kern w:val="0"/>
        </w:rPr>
        <w:t>investigation of this will be a major undertaking and view it</w:t>
      </w:r>
      <w:r w:rsidR="00105F68" w:rsidRPr="00797FFB">
        <w:rPr>
          <w:rFonts w:ascii="Times" w:hAnsi="Times" w:cs="Times"/>
          <w:color w:val="2E2E31"/>
          <w:kern w:val="0"/>
        </w:rPr>
        <w:t xml:space="preserve"> as a project in itself that is </w:t>
      </w:r>
      <w:r w:rsidRPr="00797FFB">
        <w:rPr>
          <w:rFonts w:ascii="Times" w:hAnsi="Times" w:cs="Times"/>
          <w:color w:val="2E2E31"/>
          <w:kern w:val="0"/>
        </w:rPr>
        <w:t>outside the scope of our current paper. We also believe that, even without this addition</w:t>
      </w:r>
      <w:r w:rsidR="00105F68" w:rsidRPr="00797FFB">
        <w:rPr>
          <w:rFonts w:ascii="Times" w:hAnsi="Times" w:cs="Times"/>
          <w:color w:val="2E2E31"/>
          <w:kern w:val="0"/>
        </w:rPr>
        <w:t xml:space="preserve">al </w:t>
      </w:r>
      <w:r w:rsidRPr="00797FFB">
        <w:rPr>
          <w:rFonts w:ascii="Times" w:hAnsi="Times" w:cs="Times"/>
          <w:color w:val="2E2E31"/>
          <w:kern w:val="0"/>
        </w:rPr>
        <w:t>work, the combination of novel models, software a</w:t>
      </w:r>
      <w:r w:rsidR="00105F68" w:rsidRPr="00797FFB">
        <w:rPr>
          <w:rFonts w:ascii="Times" w:hAnsi="Times" w:cs="Times"/>
          <w:color w:val="2E2E31"/>
          <w:kern w:val="0"/>
        </w:rPr>
        <w:t xml:space="preserve">nd visualization tools that are </w:t>
      </w:r>
      <w:r w:rsidRPr="00797FFB">
        <w:rPr>
          <w:rFonts w:ascii="Times" w:hAnsi="Times" w:cs="Times"/>
          <w:color w:val="2E2E31"/>
          <w:kern w:val="0"/>
        </w:rPr>
        <w:t>included here already represent a substantive and impor</w:t>
      </w:r>
      <w:r w:rsidR="00105F68" w:rsidRPr="00797FFB">
        <w:rPr>
          <w:rFonts w:ascii="Times" w:hAnsi="Times" w:cs="Times"/>
          <w:color w:val="2E2E31"/>
          <w:kern w:val="0"/>
        </w:rPr>
        <w:t xml:space="preserve">tant advance - one that will be </w:t>
      </w:r>
      <w:r w:rsidRPr="00797FFB">
        <w:rPr>
          <w:rFonts w:ascii="Times" w:hAnsi="Times" w:cs="Times"/>
          <w:color w:val="2E2E31"/>
          <w:kern w:val="0"/>
        </w:rPr>
        <w:t>of considerable interest to both methodological, and applied researchers, and perhaps</w:t>
      </w:r>
      <w:r w:rsidR="00105F68" w:rsidRPr="00797FFB">
        <w:rPr>
          <w:rFonts w:ascii="Times" w:hAnsi="Times" w:cs="Times"/>
          <w:color w:val="2E2E31"/>
          <w:kern w:val="0"/>
        </w:rPr>
        <w:t xml:space="preserve">, as </w:t>
      </w:r>
      <w:r w:rsidRPr="00797FFB">
        <w:rPr>
          <w:rFonts w:ascii="Times" w:hAnsi="Times" w:cs="Times"/>
          <w:color w:val="2E2E31"/>
          <w:kern w:val="0"/>
        </w:rPr>
        <w:t>reviewer 2 suggests, will dramatically change the way</w:t>
      </w:r>
      <w:r w:rsidR="00105F68" w:rsidRPr="00797FFB">
        <w:rPr>
          <w:rFonts w:ascii="Times" w:hAnsi="Times" w:cs="Times"/>
          <w:color w:val="2E2E31"/>
          <w:kern w:val="0"/>
        </w:rPr>
        <w:t xml:space="preserve"> that mutational signatures are </w:t>
      </w:r>
      <w:r w:rsidRPr="00797FFB">
        <w:rPr>
          <w:rFonts w:ascii="Times" w:hAnsi="Times" w:cs="Times"/>
          <w:color w:val="2E2E31"/>
          <w:kern w:val="0"/>
        </w:rPr>
        <w:t>identified in practice.</w:t>
      </w:r>
    </w:p>
    <w:p w14:paraId="16298CB0" w14:textId="77777777" w:rsidR="00B11C0C" w:rsidRDefault="00B11C0C" w:rsidP="00105F68">
      <w:pPr>
        <w:widowControl/>
        <w:autoSpaceDE w:val="0"/>
        <w:autoSpaceDN w:val="0"/>
        <w:adjustRightInd w:val="0"/>
        <w:rPr>
          <w:rFonts w:ascii="Times" w:hAnsi="Times" w:cs="Times"/>
          <w:color w:val="2E2E31"/>
          <w:kern w:val="0"/>
        </w:rPr>
      </w:pPr>
    </w:p>
    <w:p w14:paraId="53070A63" w14:textId="77777777" w:rsidR="008940B6" w:rsidRDefault="008940B6" w:rsidP="00105F68">
      <w:pPr>
        <w:widowControl/>
        <w:autoSpaceDE w:val="0"/>
        <w:autoSpaceDN w:val="0"/>
        <w:adjustRightInd w:val="0"/>
        <w:rPr>
          <w:rFonts w:ascii="Times" w:hAnsi="Times" w:cs="Times"/>
          <w:color w:val="2E2E31"/>
          <w:kern w:val="0"/>
        </w:rPr>
      </w:pPr>
    </w:p>
    <w:p w14:paraId="5026589F" w14:textId="77777777" w:rsidR="008940B6" w:rsidRDefault="008940B6" w:rsidP="00105F68">
      <w:pPr>
        <w:widowControl/>
        <w:autoSpaceDE w:val="0"/>
        <w:autoSpaceDN w:val="0"/>
        <w:adjustRightInd w:val="0"/>
        <w:rPr>
          <w:rFonts w:ascii="Times" w:hAnsi="Times" w:cs="Times"/>
          <w:color w:val="2E2E31"/>
          <w:kern w:val="0"/>
        </w:rPr>
      </w:pPr>
    </w:p>
    <w:p w14:paraId="6A22B1BD" w14:textId="77777777" w:rsidR="008940B6" w:rsidRDefault="008940B6" w:rsidP="00105F68">
      <w:pPr>
        <w:widowControl/>
        <w:autoSpaceDE w:val="0"/>
        <w:autoSpaceDN w:val="0"/>
        <w:adjustRightInd w:val="0"/>
        <w:rPr>
          <w:rFonts w:ascii="Times" w:hAnsi="Times" w:cs="Times"/>
          <w:color w:val="2E2E31"/>
          <w:kern w:val="0"/>
        </w:rPr>
      </w:pPr>
    </w:p>
    <w:p w14:paraId="500981AA" w14:textId="77777777" w:rsidR="008940B6" w:rsidRDefault="008940B6" w:rsidP="00105F68">
      <w:pPr>
        <w:widowControl/>
        <w:autoSpaceDE w:val="0"/>
        <w:autoSpaceDN w:val="0"/>
        <w:adjustRightInd w:val="0"/>
        <w:rPr>
          <w:rFonts w:ascii="Times" w:hAnsi="Times" w:cs="Times"/>
          <w:color w:val="2E2E31"/>
          <w:kern w:val="0"/>
        </w:rPr>
      </w:pPr>
    </w:p>
    <w:p w14:paraId="17C04714" w14:textId="77777777" w:rsidR="008940B6" w:rsidRPr="00797FFB" w:rsidRDefault="008940B6" w:rsidP="00105F68">
      <w:pPr>
        <w:widowControl/>
        <w:autoSpaceDE w:val="0"/>
        <w:autoSpaceDN w:val="0"/>
        <w:adjustRightInd w:val="0"/>
        <w:rPr>
          <w:rFonts w:ascii="Times" w:hAnsi="Times" w:cs="Times"/>
          <w:color w:val="2E2E31"/>
          <w:kern w:val="0"/>
        </w:rPr>
      </w:pPr>
    </w:p>
    <w:p w14:paraId="46738875" w14:textId="77777777" w:rsidR="00797FFB" w:rsidRPr="008940B6" w:rsidRDefault="008940B6" w:rsidP="00105F68">
      <w:pPr>
        <w:widowControl/>
        <w:autoSpaceDE w:val="0"/>
        <w:autoSpaceDN w:val="0"/>
        <w:adjustRightInd w:val="0"/>
        <w:rPr>
          <w:rFonts w:ascii="Times" w:hAnsi="Times" w:cs="Times"/>
          <w:b/>
          <w:color w:val="2E2E31"/>
          <w:kern w:val="0"/>
          <w:sz w:val="28"/>
          <w:szCs w:val="28"/>
        </w:rPr>
      </w:pPr>
      <w:r>
        <w:rPr>
          <w:rFonts w:ascii="Times" w:hAnsi="Times" w:cs="Times"/>
          <w:b/>
          <w:color w:val="2E2E31"/>
          <w:kern w:val="0"/>
          <w:sz w:val="28"/>
          <w:szCs w:val="28"/>
        </w:rPr>
        <w:lastRenderedPageBreak/>
        <w:t xml:space="preserve">Response to </w:t>
      </w:r>
      <w:r w:rsidR="00797FFB" w:rsidRPr="008940B6">
        <w:rPr>
          <w:rFonts w:ascii="Times" w:hAnsi="Times" w:cs="Times"/>
          <w:b/>
          <w:color w:val="2E2E31"/>
          <w:kern w:val="0"/>
          <w:sz w:val="28"/>
          <w:szCs w:val="28"/>
        </w:rPr>
        <w:t>Reviewer #3</w:t>
      </w:r>
    </w:p>
    <w:p w14:paraId="5946C133" w14:textId="77777777" w:rsidR="00797FFB" w:rsidRPr="00797FFB" w:rsidRDefault="00797FFB" w:rsidP="00105F68">
      <w:pPr>
        <w:widowControl/>
        <w:autoSpaceDE w:val="0"/>
        <w:autoSpaceDN w:val="0"/>
        <w:adjustRightInd w:val="0"/>
        <w:rPr>
          <w:rFonts w:ascii="Times" w:hAnsi="Times" w:cs="Times"/>
          <w:color w:val="2E2E31"/>
          <w:kern w:val="0"/>
        </w:rPr>
      </w:pPr>
    </w:p>
    <w:p w14:paraId="0A6EB36C" w14:textId="77777777" w:rsidR="00B11C0C" w:rsidRDefault="00797FFB" w:rsidP="00105F68">
      <w:pPr>
        <w:widowControl/>
        <w:autoSpaceDE w:val="0"/>
        <w:autoSpaceDN w:val="0"/>
        <w:adjustRightInd w:val="0"/>
        <w:rPr>
          <w:rFonts w:ascii="Times" w:hAnsi="Times" w:cs="Arial"/>
          <w:b/>
          <w:color w:val="1A1A1A"/>
          <w:kern w:val="0"/>
        </w:rPr>
      </w:pPr>
      <w:r w:rsidRPr="008940B6">
        <w:rPr>
          <w:rFonts w:ascii="Times" w:hAnsi="Times" w:cs="Arial"/>
          <w:b/>
          <w:color w:val="1A1A1A"/>
          <w:kern w:val="0"/>
        </w:rPr>
        <w:t>If I had one request, I’d ask whether or not the authors have found any examples of mutation signatures that are clear in the full model, but really lose something important in the independence model. Such examples are not hard to find with sequence logos. They write on p.5 that they “likely do exist in practice”, but give no example.</w:t>
      </w:r>
    </w:p>
    <w:p w14:paraId="53E5ED4E" w14:textId="77777777" w:rsidR="008940B6" w:rsidRPr="008940B6" w:rsidRDefault="008940B6" w:rsidP="00105F68">
      <w:pPr>
        <w:widowControl/>
        <w:autoSpaceDE w:val="0"/>
        <w:autoSpaceDN w:val="0"/>
        <w:adjustRightInd w:val="0"/>
        <w:rPr>
          <w:rFonts w:ascii="Times" w:hAnsi="Times" w:cs="Times"/>
          <w:b/>
          <w:color w:val="2E2E31"/>
          <w:kern w:val="0"/>
        </w:rPr>
      </w:pPr>
    </w:p>
    <w:p w14:paraId="36CDB695" w14:textId="714DAF8B" w:rsidR="008D43B8" w:rsidRDefault="00B11C0C" w:rsidP="008D43B8">
      <w:pPr>
        <w:widowControl/>
        <w:autoSpaceDE w:val="0"/>
        <w:autoSpaceDN w:val="0"/>
        <w:adjustRightInd w:val="0"/>
        <w:rPr>
          <w:rFonts w:ascii="Times" w:hAnsi="Times" w:cs="Times"/>
          <w:color w:val="2E2E31"/>
          <w:kern w:val="0"/>
        </w:rPr>
      </w:pPr>
      <w:r w:rsidRPr="00797FFB">
        <w:rPr>
          <w:rFonts w:ascii="Times" w:hAnsi="Times" w:cs="Times"/>
          <w:color w:val="2E2E31"/>
          <w:kern w:val="0"/>
        </w:rPr>
        <w:t>One very clear example is th</w:t>
      </w:r>
      <w:r w:rsidR="00B538B0" w:rsidRPr="00797FFB">
        <w:rPr>
          <w:rFonts w:ascii="Times" w:hAnsi="Times" w:cs="Times"/>
          <w:color w:val="2E2E31"/>
          <w:kern w:val="0"/>
        </w:rPr>
        <w:t>e Pol epsilon mutation signature</w:t>
      </w:r>
      <w:r w:rsidR="008D43B8">
        <w:rPr>
          <w:rFonts w:ascii="Times" w:hAnsi="Times" w:cs="Times"/>
          <w:color w:val="2E2E31"/>
          <w:kern w:val="0"/>
        </w:rPr>
        <w:t xml:space="preserve"> (identified as “Signature 10” in the previous literature, </w:t>
      </w:r>
      <w:proofErr w:type="spellStart"/>
      <w:r w:rsidR="008D43B8">
        <w:rPr>
          <w:rFonts w:ascii="Times" w:hAnsi="Times" w:cs="Times"/>
          <w:color w:val="2E2E31"/>
          <w:kern w:val="0"/>
        </w:rPr>
        <w:t>Alexandrov</w:t>
      </w:r>
      <w:proofErr w:type="spellEnd"/>
      <w:r w:rsidR="008D43B8">
        <w:rPr>
          <w:rFonts w:ascii="Times" w:hAnsi="Times" w:cs="Times"/>
          <w:color w:val="2E2E31"/>
          <w:kern w:val="0"/>
        </w:rPr>
        <w:t xml:space="preserve"> et al., Nature, 2013)</w:t>
      </w:r>
      <w:r w:rsidR="00B538B0" w:rsidRPr="00797FFB">
        <w:rPr>
          <w:rFonts w:ascii="Times" w:hAnsi="Times" w:cs="Times"/>
          <w:color w:val="2E2E31"/>
          <w:kern w:val="0"/>
        </w:rPr>
        <w:t xml:space="preserve">, </w:t>
      </w:r>
      <w:r w:rsidRPr="00797FFB">
        <w:rPr>
          <w:rFonts w:ascii="Times" w:hAnsi="Times" w:cs="Times"/>
          <w:color w:val="2E2E31"/>
          <w:kern w:val="0"/>
        </w:rPr>
        <w:t>which puts strong probability masses on just two pattern</w:t>
      </w:r>
      <w:r w:rsidR="00DA4F3C">
        <w:rPr>
          <w:rFonts w:ascii="Times" w:hAnsi="Times" w:cs="Times"/>
          <w:color w:val="2E2E31"/>
          <w:kern w:val="0"/>
        </w:rPr>
        <w:t>s</w:t>
      </w:r>
      <w:r w:rsidRPr="00797FFB">
        <w:rPr>
          <w:rFonts w:ascii="Times" w:hAnsi="Times" w:cs="Times"/>
          <w:color w:val="2E2E31"/>
          <w:kern w:val="0"/>
        </w:rPr>
        <w:t xml:space="preserve"> (</w:t>
      </w:r>
      <w:proofErr w:type="spellStart"/>
      <w:r w:rsidRPr="00797FFB">
        <w:rPr>
          <w:rFonts w:ascii="Times" w:hAnsi="Times" w:cs="Times"/>
          <w:color w:val="2E2E31"/>
          <w:kern w:val="0"/>
        </w:rPr>
        <w:t>Tp</w:t>
      </w:r>
      <w:r w:rsidR="008940B6">
        <w:rPr>
          <w:rFonts w:ascii="Times" w:hAnsi="Times" w:cs="Times"/>
          <w:color w:val="2E2E31"/>
          <w:kern w:val="0"/>
        </w:rPr>
        <w:t>CpT</w:t>
      </w:r>
      <w:proofErr w:type="spellEnd"/>
      <w:r w:rsidR="008940B6">
        <w:rPr>
          <w:rFonts w:ascii="Times" w:hAnsi="Times" w:cs="Times"/>
          <w:color w:val="2E2E31"/>
          <w:kern w:val="0"/>
        </w:rPr>
        <w:t xml:space="preserve"> &gt; </w:t>
      </w:r>
      <w:proofErr w:type="spellStart"/>
      <w:r w:rsidR="008940B6">
        <w:rPr>
          <w:rFonts w:ascii="Times" w:hAnsi="Times" w:cs="Times"/>
          <w:color w:val="2E2E31"/>
          <w:kern w:val="0"/>
        </w:rPr>
        <w:t>TpApT</w:t>
      </w:r>
      <w:proofErr w:type="spellEnd"/>
      <w:r w:rsidR="008940B6">
        <w:rPr>
          <w:rFonts w:ascii="Times" w:hAnsi="Times" w:cs="Times"/>
          <w:color w:val="2E2E31"/>
          <w:kern w:val="0"/>
        </w:rPr>
        <w:t xml:space="preserve"> and </w:t>
      </w:r>
      <w:proofErr w:type="spellStart"/>
      <w:r w:rsidR="008940B6">
        <w:rPr>
          <w:rFonts w:ascii="Times" w:hAnsi="Times" w:cs="Times"/>
          <w:color w:val="2E2E31"/>
          <w:kern w:val="0"/>
        </w:rPr>
        <w:t>TpCpG</w:t>
      </w:r>
      <w:proofErr w:type="spellEnd"/>
      <w:r w:rsidR="008940B6">
        <w:rPr>
          <w:rFonts w:ascii="Times" w:hAnsi="Times" w:cs="Times"/>
          <w:color w:val="2E2E31"/>
          <w:kern w:val="0"/>
        </w:rPr>
        <w:t xml:space="preserve"> &gt; </w:t>
      </w:r>
      <w:proofErr w:type="spellStart"/>
      <w:r w:rsidR="008940B6">
        <w:rPr>
          <w:rFonts w:ascii="Times" w:hAnsi="Times" w:cs="Times"/>
          <w:color w:val="2E2E31"/>
          <w:kern w:val="0"/>
        </w:rPr>
        <w:t>TpTpG</w:t>
      </w:r>
      <w:proofErr w:type="spellEnd"/>
      <w:r w:rsidR="008940B6">
        <w:rPr>
          <w:rFonts w:ascii="Times" w:hAnsi="Times" w:cs="Times"/>
          <w:color w:val="2E2E31"/>
          <w:kern w:val="0"/>
        </w:rPr>
        <w:t xml:space="preserve">), and a slightly weaker mass to </w:t>
      </w:r>
      <w:proofErr w:type="spellStart"/>
      <w:r w:rsidR="008940B6">
        <w:rPr>
          <w:rFonts w:ascii="Times" w:hAnsi="Times" w:cs="Times"/>
          <w:color w:val="2E2E31"/>
          <w:kern w:val="0"/>
        </w:rPr>
        <w:t>TpTpT</w:t>
      </w:r>
      <w:proofErr w:type="spellEnd"/>
      <w:r w:rsidR="008940B6">
        <w:rPr>
          <w:rFonts w:ascii="Times" w:hAnsi="Times" w:cs="Times"/>
          <w:color w:val="2E2E31"/>
          <w:kern w:val="0"/>
        </w:rPr>
        <w:t xml:space="preserve"> &gt; </w:t>
      </w:r>
      <w:proofErr w:type="spellStart"/>
      <w:r w:rsidR="008940B6">
        <w:rPr>
          <w:rFonts w:ascii="Times" w:hAnsi="Times" w:cs="Times"/>
          <w:color w:val="2E2E31"/>
          <w:kern w:val="0"/>
        </w:rPr>
        <w:t>TpGpT</w:t>
      </w:r>
      <w:proofErr w:type="spellEnd"/>
      <w:r w:rsidR="008D43B8">
        <w:rPr>
          <w:rFonts w:ascii="Times" w:hAnsi="Times" w:cs="Times"/>
          <w:color w:val="2E2E31"/>
          <w:kern w:val="0"/>
        </w:rPr>
        <w:t xml:space="preserve"> </w:t>
      </w:r>
      <w:r w:rsidR="00DA4F3C">
        <w:rPr>
          <w:rFonts w:ascii="Times" w:hAnsi="Times" w:cs="Times"/>
          <w:color w:val="2E2E31"/>
          <w:kern w:val="0"/>
        </w:rPr>
        <w:t>(see the Figure R1 below). Since the features of this signature are not independent (the frequencies</w:t>
      </w:r>
      <w:r w:rsidR="006A4BF2">
        <w:rPr>
          <w:rFonts w:ascii="Times" w:hAnsi="Times" w:cs="Times"/>
          <w:color w:val="2E2E31"/>
          <w:kern w:val="0"/>
        </w:rPr>
        <w:t xml:space="preserve"> of the immediate 3’ base</w:t>
      </w:r>
      <w:r w:rsidR="008D43B8">
        <w:rPr>
          <w:rFonts w:ascii="Times" w:hAnsi="Times" w:cs="Times"/>
          <w:color w:val="2E2E31"/>
          <w:kern w:val="0"/>
        </w:rPr>
        <w:t xml:space="preserve"> (T and G) are influen</w:t>
      </w:r>
      <w:r w:rsidR="006A4BF2">
        <w:rPr>
          <w:rFonts w:ascii="Times" w:hAnsi="Times" w:cs="Times"/>
          <w:color w:val="2E2E31"/>
          <w:kern w:val="0"/>
        </w:rPr>
        <w:t>ced by the substitution pattern (C&gt;A and</w:t>
      </w:r>
      <w:r w:rsidR="008D43B8">
        <w:rPr>
          <w:rFonts w:ascii="Times" w:hAnsi="Times" w:cs="Times"/>
          <w:color w:val="2E2E31"/>
          <w:kern w:val="0"/>
        </w:rPr>
        <w:t xml:space="preserve"> C&gt;T, respectively)</w:t>
      </w:r>
      <w:r w:rsidR="00DA4F3C">
        <w:rPr>
          <w:rFonts w:ascii="Times" w:hAnsi="Times" w:cs="Times"/>
          <w:color w:val="2E2E31"/>
          <w:kern w:val="0"/>
        </w:rPr>
        <w:t xml:space="preserve">), our model has to use </w:t>
      </w:r>
      <w:r w:rsidR="008D43B8">
        <w:rPr>
          <w:rFonts w:ascii="Times" w:hAnsi="Times" w:cs="Times"/>
          <w:color w:val="2E2E31"/>
          <w:kern w:val="0"/>
        </w:rPr>
        <w:t>two signatures to represent this signature</w:t>
      </w:r>
      <w:r w:rsidR="00DA4F3C">
        <w:rPr>
          <w:rFonts w:ascii="Times" w:hAnsi="Times" w:cs="Times"/>
          <w:color w:val="2E2E31"/>
          <w:kern w:val="0"/>
        </w:rPr>
        <w:t xml:space="preserve"> (Figure R2)</w:t>
      </w:r>
      <w:r w:rsidR="008D43B8">
        <w:rPr>
          <w:rFonts w:ascii="Times" w:hAnsi="Times" w:cs="Times"/>
          <w:color w:val="2E2E31"/>
          <w:kern w:val="0"/>
        </w:rPr>
        <w:t xml:space="preserve">. </w:t>
      </w:r>
    </w:p>
    <w:p w14:paraId="0CE24587" w14:textId="77777777" w:rsidR="00A302CC" w:rsidRDefault="00A302CC" w:rsidP="008D43B8">
      <w:pPr>
        <w:widowControl/>
        <w:autoSpaceDE w:val="0"/>
        <w:autoSpaceDN w:val="0"/>
        <w:adjustRightInd w:val="0"/>
        <w:rPr>
          <w:rFonts w:ascii="Times" w:hAnsi="Times" w:cs="Times"/>
          <w:color w:val="2E2E31"/>
          <w:kern w:val="0"/>
        </w:rPr>
      </w:pPr>
    </w:p>
    <w:p w14:paraId="5F9205E3" w14:textId="51450280" w:rsidR="00A302CC" w:rsidRDefault="00A302CC" w:rsidP="008D43B8">
      <w:pPr>
        <w:widowControl/>
        <w:autoSpaceDE w:val="0"/>
        <w:autoSpaceDN w:val="0"/>
        <w:adjustRightInd w:val="0"/>
        <w:rPr>
          <w:rFonts w:ascii="Times" w:hAnsi="Times" w:cs="Times"/>
          <w:color w:val="2E2E31"/>
          <w:kern w:val="0"/>
        </w:rPr>
      </w:pPr>
      <w:r>
        <w:rPr>
          <w:rFonts w:ascii="Times" w:hAnsi="Times" w:cs="Times"/>
          <w:color w:val="2E2E31"/>
          <w:kern w:val="0"/>
        </w:rPr>
        <w:t>We have discussed in the manuscript that</w:t>
      </w:r>
      <w:r w:rsidR="00C020F3">
        <w:rPr>
          <w:rFonts w:ascii="Times" w:hAnsi="Times" w:cs="Times"/>
          <w:color w:val="2E2E31"/>
          <w:kern w:val="0"/>
        </w:rPr>
        <w:t xml:space="preserve"> the strand specificity shown in</w:t>
      </w:r>
      <w:r>
        <w:rPr>
          <w:rFonts w:ascii="Times" w:hAnsi="Times" w:cs="Times"/>
          <w:color w:val="2E2E31"/>
          <w:kern w:val="0"/>
        </w:rPr>
        <w:t xml:space="preserve"> </w:t>
      </w:r>
      <w:proofErr w:type="spellStart"/>
      <w:r>
        <w:rPr>
          <w:rFonts w:ascii="Times" w:hAnsi="Times" w:cs="Times"/>
          <w:color w:val="2E2E31"/>
          <w:kern w:val="0"/>
        </w:rPr>
        <w:t>TpCpT</w:t>
      </w:r>
      <w:proofErr w:type="spellEnd"/>
      <w:r>
        <w:rPr>
          <w:rFonts w:ascii="Times" w:hAnsi="Times" w:cs="Times"/>
          <w:color w:val="2E2E31"/>
          <w:kern w:val="0"/>
        </w:rPr>
        <w:t xml:space="preserve"> &gt; </w:t>
      </w:r>
      <w:proofErr w:type="spellStart"/>
      <w:r>
        <w:rPr>
          <w:rFonts w:ascii="Times" w:hAnsi="Times" w:cs="Times"/>
          <w:color w:val="2E2E31"/>
          <w:kern w:val="0"/>
        </w:rPr>
        <w:t>TpApT</w:t>
      </w:r>
      <w:proofErr w:type="spellEnd"/>
      <w:r>
        <w:rPr>
          <w:rFonts w:ascii="Times" w:hAnsi="Times" w:cs="Times"/>
          <w:color w:val="2E2E31"/>
          <w:kern w:val="0"/>
        </w:rPr>
        <w:t xml:space="preserve"> pattern </w:t>
      </w:r>
      <w:r w:rsidR="00DD7A43">
        <w:rPr>
          <w:rFonts w:ascii="Times" w:hAnsi="Times" w:cs="Times"/>
          <w:color w:val="2E2E31"/>
          <w:kern w:val="0"/>
        </w:rPr>
        <w:t xml:space="preserve">(see the left panel in Figure R2) </w:t>
      </w:r>
      <w:r>
        <w:rPr>
          <w:rFonts w:ascii="Times" w:hAnsi="Times" w:cs="Times"/>
          <w:color w:val="2E2E31"/>
          <w:kern w:val="0"/>
        </w:rPr>
        <w:t>is somewhat consistent with the previous research</w:t>
      </w:r>
      <w:r w:rsidR="00C02505">
        <w:rPr>
          <w:rFonts w:ascii="Times" w:hAnsi="Times" w:cs="Times"/>
          <w:color w:val="2E2E31"/>
          <w:kern w:val="0"/>
        </w:rPr>
        <w:t xml:space="preserve"> (</w:t>
      </w:r>
      <w:proofErr w:type="spellStart"/>
      <w:r w:rsidR="00C02505" w:rsidRPr="00C02505">
        <w:rPr>
          <w:rFonts w:ascii="Times" w:hAnsi="Times" w:cs="Times"/>
          <w:color w:val="2E2E31"/>
          <w:kern w:val="0"/>
        </w:rPr>
        <w:t>Shinbrot</w:t>
      </w:r>
      <w:proofErr w:type="spellEnd"/>
      <w:r w:rsidR="00C02505">
        <w:rPr>
          <w:rFonts w:ascii="Times" w:hAnsi="Times" w:cs="Times"/>
          <w:color w:val="2E2E31"/>
          <w:kern w:val="0"/>
        </w:rPr>
        <w:t xml:space="preserve"> et al., Genome Research, 2014)</w:t>
      </w:r>
      <w:r>
        <w:rPr>
          <w:rFonts w:ascii="Times" w:hAnsi="Times" w:cs="Times"/>
          <w:color w:val="2E2E31"/>
          <w:kern w:val="0"/>
        </w:rPr>
        <w:t xml:space="preserve">. However, </w:t>
      </w:r>
      <w:proofErr w:type="spellStart"/>
      <w:r>
        <w:rPr>
          <w:rFonts w:ascii="Times" w:hAnsi="Times" w:cs="Times"/>
          <w:color w:val="2E2E31"/>
          <w:kern w:val="0"/>
        </w:rPr>
        <w:t>TpCpG</w:t>
      </w:r>
      <w:proofErr w:type="spellEnd"/>
      <w:r>
        <w:rPr>
          <w:rFonts w:ascii="Times" w:hAnsi="Times" w:cs="Times"/>
          <w:color w:val="2E2E31"/>
          <w:kern w:val="0"/>
        </w:rPr>
        <w:t xml:space="preserve"> &gt; </w:t>
      </w:r>
      <w:proofErr w:type="spellStart"/>
      <w:r>
        <w:rPr>
          <w:rFonts w:ascii="Times" w:hAnsi="Times" w:cs="Times"/>
          <w:color w:val="2E2E31"/>
          <w:kern w:val="0"/>
        </w:rPr>
        <w:t>TpTpG</w:t>
      </w:r>
      <w:proofErr w:type="spellEnd"/>
      <w:r>
        <w:rPr>
          <w:rFonts w:ascii="Times" w:hAnsi="Times" w:cs="Times"/>
          <w:color w:val="2E2E31"/>
          <w:kern w:val="0"/>
        </w:rPr>
        <w:t xml:space="preserve"> did not show </w:t>
      </w:r>
      <w:r w:rsidR="00C020F3">
        <w:rPr>
          <w:rFonts w:ascii="Times" w:hAnsi="Times" w:cs="Times"/>
          <w:color w:val="2E2E31"/>
          <w:kern w:val="0"/>
        </w:rPr>
        <w:t xml:space="preserve">such </w:t>
      </w:r>
      <w:r>
        <w:rPr>
          <w:rFonts w:ascii="Times" w:hAnsi="Times" w:cs="Times"/>
          <w:color w:val="2E2E31"/>
          <w:kern w:val="0"/>
        </w:rPr>
        <w:t>strand specificity</w:t>
      </w:r>
      <w:r w:rsidR="00DD7A43">
        <w:rPr>
          <w:rFonts w:ascii="Times" w:hAnsi="Times" w:cs="Times"/>
          <w:color w:val="2E2E31"/>
          <w:kern w:val="0"/>
        </w:rPr>
        <w:t xml:space="preserve"> </w:t>
      </w:r>
      <w:r w:rsidR="00DD7A43">
        <w:rPr>
          <w:rFonts w:ascii="Times" w:hAnsi="Times" w:cs="Times"/>
          <w:color w:val="2E2E31"/>
          <w:kern w:val="0"/>
        </w:rPr>
        <w:t>(see t</w:t>
      </w:r>
      <w:r w:rsidR="00DD7A43">
        <w:rPr>
          <w:rFonts w:ascii="Times" w:hAnsi="Times" w:cs="Times"/>
          <w:color w:val="2E2E31"/>
          <w:kern w:val="0"/>
        </w:rPr>
        <w:t>he right</w:t>
      </w:r>
      <w:r w:rsidR="00DD7A43">
        <w:rPr>
          <w:rFonts w:ascii="Times" w:hAnsi="Times" w:cs="Times"/>
          <w:color w:val="2E2E31"/>
          <w:kern w:val="0"/>
        </w:rPr>
        <w:t xml:space="preserve"> panel in Figure R2)</w:t>
      </w:r>
      <w:r>
        <w:rPr>
          <w:rFonts w:ascii="Times" w:hAnsi="Times" w:cs="Times"/>
          <w:color w:val="2E2E31"/>
          <w:kern w:val="0"/>
        </w:rPr>
        <w:t xml:space="preserve">. Considering this biological difference, we suspect </w:t>
      </w:r>
      <w:bookmarkStart w:id="0" w:name="_GoBack"/>
      <w:bookmarkEnd w:id="0"/>
      <w:r>
        <w:rPr>
          <w:rFonts w:ascii="Times" w:hAnsi="Times" w:cs="Times"/>
          <w:color w:val="2E2E31"/>
          <w:kern w:val="0"/>
        </w:rPr>
        <w:t xml:space="preserve">there may be </w:t>
      </w:r>
      <w:r w:rsidR="006A4BF2">
        <w:rPr>
          <w:rFonts w:ascii="Times" w:hAnsi="Times" w:cs="Times"/>
          <w:color w:val="2E2E31"/>
          <w:kern w:val="0"/>
        </w:rPr>
        <w:t xml:space="preserve">a </w:t>
      </w:r>
      <w:r>
        <w:rPr>
          <w:rFonts w:ascii="Times" w:hAnsi="Times" w:cs="Times"/>
          <w:color w:val="2E2E31"/>
          <w:kern w:val="0"/>
        </w:rPr>
        <w:t>possib</w:t>
      </w:r>
      <w:r w:rsidR="006A4BF2">
        <w:rPr>
          <w:rFonts w:ascii="Times" w:hAnsi="Times" w:cs="Times"/>
          <w:color w:val="2E2E31"/>
          <w:kern w:val="0"/>
        </w:rPr>
        <w:t>ility that the “Signature 10”</w:t>
      </w:r>
      <w:r>
        <w:rPr>
          <w:rFonts w:ascii="Times" w:hAnsi="Times" w:cs="Times"/>
          <w:color w:val="2E2E31"/>
          <w:kern w:val="0"/>
        </w:rPr>
        <w:t xml:space="preserve"> in fact </w:t>
      </w:r>
      <w:r w:rsidR="006A4BF2">
        <w:rPr>
          <w:rFonts w:ascii="Times" w:hAnsi="Times" w:cs="Times"/>
          <w:color w:val="2E2E31"/>
          <w:kern w:val="0"/>
        </w:rPr>
        <w:t xml:space="preserve">consists of </w:t>
      </w:r>
      <w:r>
        <w:rPr>
          <w:rFonts w:ascii="Times" w:hAnsi="Times" w:cs="Times"/>
          <w:color w:val="2E2E31"/>
          <w:kern w:val="0"/>
        </w:rPr>
        <w:t xml:space="preserve">two </w:t>
      </w:r>
      <w:r w:rsidR="006A4BF2">
        <w:rPr>
          <w:rFonts w:ascii="Times" w:hAnsi="Times" w:cs="Times"/>
          <w:color w:val="2E2E31"/>
          <w:kern w:val="0"/>
        </w:rPr>
        <w:t xml:space="preserve">distinct </w:t>
      </w:r>
      <w:r>
        <w:rPr>
          <w:rFonts w:ascii="Times" w:hAnsi="Times" w:cs="Times"/>
          <w:color w:val="2E2E31"/>
          <w:kern w:val="0"/>
        </w:rPr>
        <w:t xml:space="preserve">signatures. </w:t>
      </w:r>
      <w:r w:rsidR="00C020F3">
        <w:rPr>
          <w:rFonts w:ascii="Times" w:hAnsi="Times" w:cs="Times"/>
          <w:color w:val="2E2E31"/>
          <w:kern w:val="0"/>
        </w:rPr>
        <w:t>However,</w:t>
      </w:r>
      <w:r>
        <w:rPr>
          <w:rFonts w:ascii="Times" w:hAnsi="Times" w:cs="Times"/>
          <w:color w:val="2E2E31"/>
          <w:kern w:val="0"/>
        </w:rPr>
        <w:t xml:space="preserve"> we </w:t>
      </w:r>
      <w:r w:rsidR="00C020F3">
        <w:rPr>
          <w:rFonts w:ascii="Times" w:hAnsi="Times" w:cs="Times"/>
          <w:color w:val="2E2E31"/>
          <w:kern w:val="0"/>
        </w:rPr>
        <w:t xml:space="preserve">do not </w:t>
      </w:r>
      <w:r>
        <w:rPr>
          <w:rFonts w:ascii="Times" w:hAnsi="Times" w:cs="Times"/>
          <w:color w:val="2E2E31"/>
          <w:kern w:val="0"/>
        </w:rPr>
        <w:t>have enough evidence to prove this</w:t>
      </w:r>
      <w:r w:rsidR="00C020F3">
        <w:rPr>
          <w:rFonts w:ascii="Times" w:hAnsi="Times" w:cs="Times"/>
          <w:color w:val="2E2E31"/>
          <w:kern w:val="0"/>
        </w:rPr>
        <w:t xml:space="preserve"> at present</w:t>
      </w:r>
      <w:r>
        <w:rPr>
          <w:rFonts w:ascii="Times" w:hAnsi="Times" w:cs="Times"/>
          <w:color w:val="2E2E31"/>
          <w:kern w:val="0"/>
        </w:rPr>
        <w:t xml:space="preserve">, and we would like to </w:t>
      </w:r>
      <w:r w:rsidR="00DD7A43">
        <w:rPr>
          <w:rFonts w:ascii="Times" w:hAnsi="Times" w:cs="Times"/>
          <w:color w:val="2E2E31"/>
          <w:kern w:val="0"/>
        </w:rPr>
        <w:t>explore this</w:t>
      </w:r>
      <w:r>
        <w:rPr>
          <w:rFonts w:ascii="Times" w:hAnsi="Times" w:cs="Times"/>
          <w:color w:val="2E2E31"/>
          <w:kern w:val="0"/>
        </w:rPr>
        <w:t xml:space="preserve"> using the more </w:t>
      </w:r>
      <w:r w:rsidR="00C020F3">
        <w:rPr>
          <w:rFonts w:ascii="Times" w:hAnsi="Times" w:cs="Times"/>
          <w:color w:val="2E2E31"/>
          <w:kern w:val="0"/>
        </w:rPr>
        <w:t xml:space="preserve">abundant </w:t>
      </w:r>
      <w:r>
        <w:rPr>
          <w:rFonts w:ascii="Times" w:hAnsi="Times" w:cs="Times"/>
          <w:color w:val="2E2E31"/>
          <w:kern w:val="0"/>
        </w:rPr>
        <w:t>data in the future.</w:t>
      </w:r>
    </w:p>
    <w:p w14:paraId="7FF8B7FE" w14:textId="77777777" w:rsidR="00054D35" w:rsidRDefault="00054D35" w:rsidP="00067274">
      <w:pPr>
        <w:widowControl/>
        <w:autoSpaceDE w:val="0"/>
        <w:autoSpaceDN w:val="0"/>
        <w:adjustRightInd w:val="0"/>
        <w:jc w:val="left"/>
        <w:rPr>
          <w:rFonts w:ascii="Times" w:hAnsi="Times" w:cs="Times"/>
          <w:color w:val="2E2E31"/>
          <w:kern w:val="0"/>
        </w:rPr>
      </w:pPr>
    </w:p>
    <w:p w14:paraId="03B78603" w14:textId="77777777" w:rsidR="00105F68" w:rsidRDefault="00105F68" w:rsidP="00067274">
      <w:pPr>
        <w:widowControl/>
        <w:autoSpaceDE w:val="0"/>
        <w:autoSpaceDN w:val="0"/>
        <w:adjustRightInd w:val="0"/>
        <w:jc w:val="left"/>
        <w:rPr>
          <w:rFonts w:ascii="Times" w:hAnsi="Times" w:cs="Times"/>
          <w:color w:val="2E2E31"/>
          <w:kern w:val="0"/>
        </w:rPr>
      </w:pPr>
      <w:r>
        <w:rPr>
          <w:rFonts w:ascii="Times" w:hAnsi="Times" w:cs="Times"/>
          <w:noProof/>
          <w:color w:val="2E2E31"/>
          <w:kern w:val="0"/>
        </w:rPr>
        <w:drawing>
          <wp:inline distT="0" distB="0" distL="0" distR="0" wp14:anchorId="505681B2" wp14:editId="21BA7557">
            <wp:extent cx="5396230" cy="134905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96_POLE-eps-converted-to.pdf"/>
                    <pic:cNvPicPr/>
                  </pic:nvPicPr>
                  <pic:blipFill>
                    <a:blip r:embed="rId5">
                      <a:extLst>
                        <a:ext uri="{28A0092B-C50C-407E-A947-70E740481C1C}">
                          <a14:useLocalDpi xmlns:a14="http://schemas.microsoft.com/office/drawing/2010/main" val="0"/>
                        </a:ext>
                      </a:extLst>
                    </a:blip>
                    <a:stretch>
                      <a:fillRect/>
                    </a:stretch>
                  </pic:blipFill>
                  <pic:spPr>
                    <a:xfrm>
                      <a:off x="0" y="0"/>
                      <a:ext cx="5396230" cy="1349057"/>
                    </a:xfrm>
                    <a:prstGeom prst="rect">
                      <a:avLst/>
                    </a:prstGeom>
                  </pic:spPr>
                </pic:pic>
              </a:graphicData>
            </a:graphic>
          </wp:inline>
        </w:drawing>
      </w:r>
    </w:p>
    <w:p w14:paraId="329CC295" w14:textId="77777777" w:rsidR="00A302CC" w:rsidRPr="00A302CC" w:rsidRDefault="00DA4F3C" w:rsidP="00A302CC">
      <w:pPr>
        <w:widowControl/>
        <w:autoSpaceDE w:val="0"/>
        <w:autoSpaceDN w:val="0"/>
        <w:adjustRightInd w:val="0"/>
        <w:jc w:val="left"/>
        <w:rPr>
          <w:rFonts w:ascii="Times" w:hAnsi="Times" w:cs="Times"/>
          <w:color w:val="2E2E31"/>
          <w:kern w:val="0"/>
        </w:rPr>
      </w:pPr>
      <w:r w:rsidRPr="00DA4F3C">
        <w:rPr>
          <w:rFonts w:ascii="Times" w:hAnsi="Times" w:cs="Times"/>
          <w:b/>
          <w:color w:val="2E2E31"/>
          <w:kern w:val="0"/>
        </w:rPr>
        <w:t>Figure R1.</w:t>
      </w:r>
      <w:r w:rsidRPr="00DA4F3C">
        <w:rPr>
          <w:rFonts w:ascii="Times" w:hAnsi="Times" w:cs="Times"/>
          <w:color w:val="2E2E31"/>
          <w:kern w:val="0"/>
        </w:rPr>
        <w:t xml:space="preserve"> </w:t>
      </w:r>
      <w:r>
        <w:rPr>
          <w:rFonts w:ascii="Times" w:hAnsi="Times" w:cs="Times"/>
          <w:color w:val="2E2E31"/>
          <w:kern w:val="0"/>
        </w:rPr>
        <w:t>The pol epsilon signature (</w:t>
      </w:r>
      <w:r w:rsidRPr="00DA4F3C">
        <w:rPr>
          <w:rFonts w:ascii="Times" w:hAnsi="Times" w:cs="Times"/>
          <w:color w:val="2E2E31"/>
          <w:kern w:val="0"/>
        </w:rPr>
        <w:t>Signature 10</w:t>
      </w:r>
      <w:r>
        <w:rPr>
          <w:rFonts w:ascii="Times" w:hAnsi="Times" w:cs="Times"/>
          <w:color w:val="2E2E31"/>
          <w:kern w:val="0"/>
        </w:rPr>
        <w:t>)</w:t>
      </w:r>
      <w:r w:rsidRPr="00DA4F3C">
        <w:rPr>
          <w:rFonts w:ascii="Times" w:hAnsi="Times" w:cs="Times"/>
          <w:color w:val="2E2E31"/>
          <w:kern w:val="0"/>
        </w:rPr>
        <w:t xml:space="preserve"> derived in the </w:t>
      </w:r>
      <w:proofErr w:type="spellStart"/>
      <w:r w:rsidRPr="00DA4F3C">
        <w:rPr>
          <w:rFonts w:ascii="Times" w:hAnsi="Times" w:cs="Times"/>
          <w:color w:val="2E2E31"/>
          <w:kern w:val="0"/>
        </w:rPr>
        <w:t>Alexandrov</w:t>
      </w:r>
      <w:proofErr w:type="spellEnd"/>
      <w:r w:rsidRPr="00DA4F3C">
        <w:rPr>
          <w:rFonts w:ascii="Times" w:hAnsi="Times" w:cs="Times"/>
          <w:color w:val="2E2E31"/>
          <w:kern w:val="0"/>
        </w:rPr>
        <w:t xml:space="preserve"> et al., Nature, 2013. </w:t>
      </w:r>
      <w:r w:rsidR="00A302CC" w:rsidRPr="00A302CC">
        <w:rPr>
          <w:rFonts w:ascii="Times" w:hAnsi="Times" w:cs="Times"/>
          <w:color w:val="2E2E31"/>
          <w:kern w:val="0"/>
        </w:rPr>
        <w:t xml:space="preserve">The </w:t>
      </w:r>
      <w:proofErr w:type="spellStart"/>
      <w:r w:rsidR="00A302CC" w:rsidRPr="00A302CC">
        <w:rPr>
          <w:rFonts w:ascii="Times" w:hAnsi="Times" w:cs="Times"/>
          <w:color w:val="2E2E31"/>
          <w:kern w:val="0"/>
        </w:rPr>
        <w:t>barplots</w:t>
      </w:r>
      <w:proofErr w:type="spellEnd"/>
      <w:r w:rsidR="00A302CC" w:rsidRPr="00A302CC">
        <w:rPr>
          <w:rFonts w:ascii="Times" w:hAnsi="Times" w:cs="Times"/>
          <w:color w:val="2E2E31"/>
          <w:kern w:val="0"/>
        </w:rPr>
        <w:t xml:space="preserve"> are divided by </w:t>
      </w:r>
      <w:proofErr w:type="gramStart"/>
      <w:r w:rsidR="00A302CC" w:rsidRPr="00A302CC">
        <w:rPr>
          <w:rFonts w:ascii="Times" w:hAnsi="Times" w:cs="Times"/>
          <w:color w:val="2E2E31"/>
          <w:kern w:val="0"/>
        </w:rPr>
        <w:t>6 substitution</w:t>
      </w:r>
      <w:proofErr w:type="gramEnd"/>
      <w:r w:rsidR="00A302CC" w:rsidRPr="00A302CC">
        <w:rPr>
          <w:rFonts w:ascii="Times" w:hAnsi="Times" w:cs="Times"/>
          <w:color w:val="2E2E31"/>
          <w:kern w:val="0"/>
        </w:rPr>
        <w:t xml:space="preserve"> pattern. In each</w:t>
      </w:r>
      <w:r w:rsidR="00A302CC">
        <w:rPr>
          <w:rFonts w:ascii="Times" w:hAnsi="Times" w:cs="Times"/>
          <w:color w:val="2E2E31"/>
          <w:kern w:val="0"/>
        </w:rPr>
        <w:t xml:space="preserve"> division, 16 </w:t>
      </w:r>
      <w:r w:rsidR="00A302CC" w:rsidRPr="00A302CC">
        <w:rPr>
          <w:rFonts w:ascii="Times" w:hAnsi="Times" w:cs="Times"/>
          <w:color w:val="2E2E31"/>
          <w:kern w:val="0"/>
        </w:rPr>
        <w:t xml:space="preserve">bars show joint probabilities of </w:t>
      </w:r>
      <w:r w:rsidR="00C020F3">
        <w:rPr>
          <w:rFonts w:ascii="Times" w:hAnsi="Times" w:cs="Times"/>
          <w:color w:val="2E2E31"/>
          <w:kern w:val="0"/>
        </w:rPr>
        <w:t xml:space="preserve">substitution pattern and </w:t>
      </w:r>
      <w:r w:rsidR="00A302CC">
        <w:rPr>
          <w:rFonts w:ascii="Times" w:hAnsi="Times" w:cs="Times"/>
          <w:color w:val="2E2E31"/>
          <w:kern w:val="0"/>
        </w:rPr>
        <w:t>5' and 3' bases (</w:t>
      </w:r>
      <w:proofErr w:type="spellStart"/>
      <w:r w:rsidR="00A302CC">
        <w:rPr>
          <w:rFonts w:ascii="Times" w:hAnsi="Times" w:cs="Times"/>
          <w:color w:val="2E2E31"/>
          <w:kern w:val="0"/>
        </w:rPr>
        <w:t>ApNpA</w:t>
      </w:r>
      <w:proofErr w:type="spellEnd"/>
      <w:r w:rsidR="00A302CC">
        <w:rPr>
          <w:rFonts w:ascii="Times" w:hAnsi="Times" w:cs="Times"/>
          <w:color w:val="2E2E31"/>
          <w:kern w:val="0"/>
        </w:rPr>
        <w:t xml:space="preserve">, </w:t>
      </w:r>
      <w:proofErr w:type="spellStart"/>
      <w:r w:rsidR="00A302CC">
        <w:rPr>
          <w:rFonts w:ascii="Times" w:hAnsi="Times" w:cs="Times"/>
          <w:color w:val="2E2E31"/>
          <w:kern w:val="0"/>
        </w:rPr>
        <w:t>ApNp</w:t>
      </w:r>
      <w:r w:rsidR="00A302CC" w:rsidRPr="00A302CC">
        <w:rPr>
          <w:rFonts w:ascii="Times" w:hAnsi="Times" w:cs="Times"/>
          <w:color w:val="2E2E31"/>
          <w:kern w:val="0"/>
        </w:rPr>
        <w:t>C</w:t>
      </w:r>
      <w:proofErr w:type="spellEnd"/>
      <w:r w:rsidR="00A302CC" w:rsidRPr="00A302CC">
        <w:rPr>
          <w:rFonts w:ascii="Times" w:hAnsi="Times" w:cs="Times"/>
          <w:color w:val="2E2E31"/>
          <w:kern w:val="0"/>
        </w:rPr>
        <w:t>,</w:t>
      </w:r>
    </w:p>
    <w:p w14:paraId="42E1AF63" w14:textId="77777777" w:rsidR="00DA4F3C" w:rsidRDefault="00A302CC" w:rsidP="00A302CC">
      <w:pPr>
        <w:widowControl/>
        <w:autoSpaceDE w:val="0"/>
        <w:autoSpaceDN w:val="0"/>
        <w:adjustRightInd w:val="0"/>
        <w:jc w:val="left"/>
        <w:rPr>
          <w:rFonts w:ascii="Times" w:hAnsi="Times" w:cs="Times"/>
          <w:color w:val="2E2E31"/>
          <w:kern w:val="0"/>
        </w:rPr>
      </w:pPr>
      <w:proofErr w:type="spellStart"/>
      <w:r>
        <w:rPr>
          <w:rFonts w:ascii="Times" w:hAnsi="Times" w:cs="Times"/>
          <w:color w:val="2E2E31"/>
          <w:kern w:val="0"/>
        </w:rPr>
        <w:t>ApNpG</w:t>
      </w:r>
      <w:proofErr w:type="spellEnd"/>
      <w:r>
        <w:rPr>
          <w:rFonts w:ascii="Times" w:hAnsi="Times" w:cs="Times"/>
          <w:color w:val="2E2E31"/>
          <w:kern w:val="0"/>
        </w:rPr>
        <w:t xml:space="preserve">, </w:t>
      </w:r>
      <w:proofErr w:type="spellStart"/>
      <w:r>
        <w:rPr>
          <w:rFonts w:ascii="Times" w:hAnsi="Times" w:cs="Times"/>
          <w:color w:val="2E2E31"/>
          <w:kern w:val="0"/>
        </w:rPr>
        <w:t>ApNpT</w:t>
      </w:r>
      <w:proofErr w:type="spellEnd"/>
      <w:proofErr w:type="gramStart"/>
      <w:r>
        <w:rPr>
          <w:rFonts w:ascii="Times" w:hAnsi="Times" w:cs="Times"/>
          <w:color w:val="2E2E31"/>
          <w:kern w:val="0"/>
        </w:rPr>
        <w:t>, …,</w:t>
      </w:r>
      <w:proofErr w:type="gramEnd"/>
      <w:r>
        <w:rPr>
          <w:rFonts w:ascii="Times" w:hAnsi="Times" w:cs="Times"/>
          <w:color w:val="2E2E31"/>
          <w:kern w:val="0"/>
        </w:rPr>
        <w:t xml:space="preserve"> </w:t>
      </w:r>
      <w:proofErr w:type="spellStart"/>
      <w:r>
        <w:rPr>
          <w:rFonts w:ascii="Times" w:hAnsi="Times" w:cs="Times"/>
          <w:color w:val="2E2E31"/>
          <w:kern w:val="0"/>
        </w:rPr>
        <w:t>TpNp</w:t>
      </w:r>
      <w:r w:rsidRPr="00A302CC">
        <w:rPr>
          <w:rFonts w:ascii="Times" w:hAnsi="Times" w:cs="Times"/>
          <w:color w:val="2E2E31"/>
          <w:kern w:val="0"/>
        </w:rPr>
        <w:t>T</w:t>
      </w:r>
      <w:proofErr w:type="spellEnd"/>
      <w:r w:rsidRPr="00A302CC">
        <w:rPr>
          <w:rFonts w:ascii="Times" w:hAnsi="Times" w:cs="Times"/>
          <w:color w:val="2E2E31"/>
          <w:kern w:val="0"/>
        </w:rPr>
        <w:t>).</w:t>
      </w:r>
    </w:p>
    <w:p w14:paraId="671239F6" w14:textId="77777777" w:rsidR="00C020F3" w:rsidRPr="00DA4F3C" w:rsidRDefault="00C020F3" w:rsidP="00A302CC">
      <w:pPr>
        <w:widowControl/>
        <w:autoSpaceDE w:val="0"/>
        <w:autoSpaceDN w:val="0"/>
        <w:adjustRightInd w:val="0"/>
        <w:jc w:val="left"/>
        <w:rPr>
          <w:rFonts w:ascii="Times" w:hAnsi="Times" w:cs="Times"/>
          <w:color w:val="2E2E31"/>
          <w:kern w:val="0"/>
        </w:rPr>
      </w:pPr>
    </w:p>
    <w:p w14:paraId="414679C5" w14:textId="77777777" w:rsidR="00797FFB" w:rsidRDefault="00797FFB" w:rsidP="00067274">
      <w:pPr>
        <w:widowControl/>
        <w:autoSpaceDE w:val="0"/>
        <w:autoSpaceDN w:val="0"/>
        <w:adjustRightInd w:val="0"/>
        <w:jc w:val="left"/>
        <w:rPr>
          <w:rFonts w:ascii="Times" w:hAnsi="Times" w:cs="Times"/>
          <w:color w:val="2E2E31"/>
          <w:kern w:val="0"/>
        </w:rPr>
      </w:pPr>
      <w:r>
        <w:rPr>
          <w:rFonts w:ascii="Times" w:hAnsi="Times" w:cs="Times" w:hint="eastAsia"/>
          <w:noProof/>
          <w:color w:val="2E2E31"/>
          <w:kern w:val="0"/>
        </w:rPr>
        <w:drawing>
          <wp:inline distT="0" distB="0" distL="0" distR="0" wp14:anchorId="09343EC2" wp14:editId="00DEC43D">
            <wp:extent cx="2355445" cy="1413267"/>
            <wp:effectExtent l="0" t="0" r="698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E_pmsignature_1.eps"/>
                    <pic:cNvPicPr/>
                  </pic:nvPicPr>
                  <pic:blipFill>
                    <a:blip r:embed="rId6">
                      <a:extLst>
                        <a:ext uri="{28A0092B-C50C-407E-A947-70E740481C1C}">
                          <a14:useLocalDpi xmlns:a14="http://schemas.microsoft.com/office/drawing/2010/main" val="0"/>
                        </a:ext>
                      </a:extLst>
                    </a:blip>
                    <a:stretch>
                      <a:fillRect/>
                    </a:stretch>
                  </pic:blipFill>
                  <pic:spPr>
                    <a:xfrm>
                      <a:off x="0" y="0"/>
                      <a:ext cx="2355445" cy="1413267"/>
                    </a:xfrm>
                    <a:prstGeom prst="rect">
                      <a:avLst/>
                    </a:prstGeom>
                  </pic:spPr>
                </pic:pic>
              </a:graphicData>
            </a:graphic>
          </wp:inline>
        </w:drawing>
      </w:r>
      <w:r>
        <w:rPr>
          <w:rFonts w:ascii="Times" w:hAnsi="Times" w:cs="Times" w:hint="eastAsia"/>
          <w:noProof/>
          <w:color w:val="2E2E31"/>
          <w:kern w:val="0"/>
        </w:rPr>
        <w:drawing>
          <wp:inline distT="0" distB="0" distL="0" distR="0" wp14:anchorId="3CD38561" wp14:editId="1278ED26">
            <wp:extent cx="2325350" cy="1395210"/>
            <wp:effectExtent l="0" t="0" r="12065"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E_pmsignature_2.eps"/>
                    <pic:cNvPicPr/>
                  </pic:nvPicPr>
                  <pic:blipFill>
                    <a:blip r:embed="rId7">
                      <a:extLst>
                        <a:ext uri="{28A0092B-C50C-407E-A947-70E740481C1C}">
                          <a14:useLocalDpi xmlns:a14="http://schemas.microsoft.com/office/drawing/2010/main" val="0"/>
                        </a:ext>
                      </a:extLst>
                    </a:blip>
                    <a:stretch>
                      <a:fillRect/>
                    </a:stretch>
                  </pic:blipFill>
                  <pic:spPr>
                    <a:xfrm>
                      <a:off x="0" y="0"/>
                      <a:ext cx="2325350" cy="1395210"/>
                    </a:xfrm>
                    <a:prstGeom prst="rect">
                      <a:avLst/>
                    </a:prstGeom>
                  </pic:spPr>
                </pic:pic>
              </a:graphicData>
            </a:graphic>
          </wp:inline>
        </w:drawing>
      </w:r>
    </w:p>
    <w:p w14:paraId="47BA4785" w14:textId="77777777" w:rsidR="00DA4F3C" w:rsidRPr="00DA4F3C" w:rsidRDefault="00DA4F3C" w:rsidP="00067274">
      <w:pPr>
        <w:widowControl/>
        <w:autoSpaceDE w:val="0"/>
        <w:autoSpaceDN w:val="0"/>
        <w:adjustRightInd w:val="0"/>
        <w:jc w:val="left"/>
        <w:rPr>
          <w:rFonts w:ascii="Times" w:hAnsi="Times" w:cs="Times"/>
          <w:color w:val="2E2E31"/>
          <w:kern w:val="0"/>
        </w:rPr>
      </w:pPr>
      <w:r w:rsidRPr="00DA4F3C">
        <w:rPr>
          <w:rFonts w:ascii="Times" w:hAnsi="Times" w:cs="Times"/>
          <w:b/>
          <w:color w:val="2E2E31"/>
          <w:kern w:val="0"/>
        </w:rPr>
        <w:t xml:space="preserve">Figure R2. </w:t>
      </w:r>
      <w:r>
        <w:rPr>
          <w:rFonts w:ascii="Times" w:hAnsi="Times" w:cs="Times"/>
          <w:color w:val="2E2E31"/>
          <w:kern w:val="0"/>
        </w:rPr>
        <w:t xml:space="preserve">The signatures corresponding to Pol epsilon obtained from the Colon-Rectum cancer data using our approach. </w:t>
      </w:r>
    </w:p>
    <w:sectPr w:rsidR="00DA4F3C" w:rsidRPr="00DA4F3C" w:rsidSect="009B259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74"/>
    <w:rsid w:val="00054D35"/>
    <w:rsid w:val="00067274"/>
    <w:rsid w:val="00105F68"/>
    <w:rsid w:val="005611DC"/>
    <w:rsid w:val="006A4BF2"/>
    <w:rsid w:val="00700877"/>
    <w:rsid w:val="00797FFB"/>
    <w:rsid w:val="008940B6"/>
    <w:rsid w:val="008D43B8"/>
    <w:rsid w:val="009B2596"/>
    <w:rsid w:val="00A302CC"/>
    <w:rsid w:val="00B11C0C"/>
    <w:rsid w:val="00B538B0"/>
    <w:rsid w:val="00C020F3"/>
    <w:rsid w:val="00C02505"/>
    <w:rsid w:val="00DA4F3C"/>
    <w:rsid w:val="00DD7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32F3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5F68"/>
    <w:rPr>
      <w:rFonts w:ascii="ヒラギノ角ゴ ProN W3" w:eastAsia="ヒラギノ角ゴ ProN W3"/>
      <w:sz w:val="18"/>
      <w:szCs w:val="18"/>
    </w:rPr>
  </w:style>
  <w:style w:type="character" w:customStyle="1" w:styleId="a4">
    <w:name w:val="吹き出し (文字)"/>
    <w:basedOn w:val="a0"/>
    <w:link w:val="a3"/>
    <w:uiPriority w:val="99"/>
    <w:semiHidden/>
    <w:rsid w:val="00105F6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5F68"/>
    <w:rPr>
      <w:rFonts w:ascii="ヒラギノ角ゴ ProN W3" w:eastAsia="ヒラギノ角ゴ ProN W3"/>
      <w:sz w:val="18"/>
      <w:szCs w:val="18"/>
    </w:rPr>
  </w:style>
  <w:style w:type="character" w:customStyle="1" w:styleId="a4">
    <w:name w:val="吹き出し (文字)"/>
    <w:basedOn w:val="a0"/>
    <w:link w:val="a3"/>
    <w:uiPriority w:val="99"/>
    <w:semiHidden/>
    <w:rsid w:val="00105F6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3249</Characters>
  <Application>Microsoft Macintosh Word</Application>
  <DocSecurity>0</DocSecurity>
  <Lines>27</Lines>
  <Paragraphs>7</Paragraphs>
  <ScaleCrop>false</ScaleCrop>
  <Company>The University of Tokyo</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Yuichi Shiraishi</dc:creator>
  <cp:keywords/>
  <dc:description/>
  <cp:lastModifiedBy>Yuichi Shiraishi</cp:lastModifiedBy>
  <cp:revision>2</cp:revision>
  <dcterms:created xsi:type="dcterms:W3CDTF">2015-07-29T03:06:00Z</dcterms:created>
  <dcterms:modified xsi:type="dcterms:W3CDTF">2015-07-29T03:06:00Z</dcterms:modified>
</cp:coreProperties>
</file>