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C1" w:rsidRDefault="00222828" w:rsidP="00222828">
      <w:pPr>
        <w:pStyle w:val="Title"/>
      </w:pPr>
      <w:r>
        <w:t>README: Figure Notes</w:t>
      </w:r>
    </w:p>
    <w:p w:rsidR="00222828" w:rsidRDefault="00222828">
      <w:r>
        <w:t>This folder contai</w:t>
      </w:r>
      <w:r w:rsidR="00276404">
        <w:t xml:space="preserve">ns the image files for our book, taking account of figures that have been deleted in this version. </w:t>
      </w:r>
      <w:r w:rsidR="00392CF7">
        <w:t xml:space="preserve">It </w:t>
      </w:r>
      <w:r w:rsidR="00276404">
        <w:t xml:space="preserve">also </w:t>
      </w:r>
      <w:r w:rsidR="00392CF7">
        <w:t>reflects the comments of the TNT consultant</w:t>
      </w:r>
      <w:r w:rsidR="00446DC5">
        <w:t xml:space="preserve"> and our subsequent work to try to resolve some of these problems.</w:t>
      </w:r>
    </w:p>
    <w:p w:rsidR="00511398" w:rsidRDefault="00216DE7">
      <w:r>
        <w:t xml:space="preserve">To do this, I </w:t>
      </w:r>
    </w:p>
    <w:p w:rsidR="00511398" w:rsidRDefault="00216DE7" w:rsidP="00511398">
      <w:pPr>
        <w:pStyle w:val="ListParagraph"/>
        <w:numPr>
          <w:ilvl w:val="0"/>
          <w:numId w:val="1"/>
        </w:numPr>
      </w:pPr>
      <w:proofErr w:type="gramStart"/>
      <w:r>
        <w:t>re-ran</w:t>
      </w:r>
      <w:proofErr w:type="gramEnd"/>
      <w:r>
        <w:t xml:space="preserve"> nearly all of the R code files for “author </w:t>
      </w:r>
      <w:proofErr w:type="spellStart"/>
      <w:r>
        <w:t>graphic”s</w:t>
      </w:r>
      <w:proofErr w:type="spellEnd"/>
      <w:r>
        <w:t xml:space="preserve"> to give 300 dpi PNG files as well as vector graphic SVG files that were requested. </w:t>
      </w:r>
    </w:p>
    <w:p w:rsidR="00511398" w:rsidRDefault="00D044A7" w:rsidP="00511398">
      <w:pPr>
        <w:pStyle w:val="ListParagraph"/>
        <w:numPr>
          <w:ilvl w:val="0"/>
          <w:numId w:val="1"/>
        </w:numPr>
      </w:pPr>
      <w:proofErr w:type="gramStart"/>
      <w:r>
        <w:t>found</w:t>
      </w:r>
      <w:proofErr w:type="gramEnd"/>
      <w:r>
        <w:t xml:space="preserve"> higher resolution images of some historical images, at the expense of larger file size.</w:t>
      </w:r>
    </w:p>
    <w:p w:rsidR="00216DE7" w:rsidRDefault="00D044A7" w:rsidP="00511398">
      <w:pPr>
        <w:pStyle w:val="ListParagraph"/>
        <w:numPr>
          <w:ilvl w:val="0"/>
          <w:numId w:val="1"/>
        </w:numPr>
      </w:pPr>
      <w:proofErr w:type="gramStart"/>
      <w:r>
        <w:t>included</w:t>
      </w:r>
      <w:proofErr w:type="gramEnd"/>
      <w:r>
        <w:t xml:space="preserve"> the subfigures used to compose a </w:t>
      </w:r>
      <w:r w:rsidR="00AB6588">
        <w:t>given figure as separate files within this folder.</w:t>
      </w:r>
    </w:p>
    <w:p w:rsidR="00D06BA8" w:rsidRDefault="00E625D4">
      <w:r>
        <w:t>This is not an ideal situation. In all previous books, I’ve delivered a complete set of text files together with all associated image files in a</w:t>
      </w:r>
      <w:r w:rsidR="0088127D">
        <w:t xml:space="preserve"> </w:t>
      </w:r>
      <w:r w:rsidR="0088127D" w:rsidRPr="00BC3387">
        <w:rPr>
          <w:b/>
        </w:rPr>
        <w:t>single</w:t>
      </w:r>
      <w:r>
        <w:t xml:space="preserve"> format that works</w:t>
      </w:r>
      <w:r w:rsidR="00DF3A5E">
        <w:t xml:space="preserve"> for production, given that </w:t>
      </w:r>
      <w:r w:rsidR="00D06BA8">
        <w:t xml:space="preserve">all images would derive from one </w:t>
      </w:r>
      <w:proofErr w:type="spellStart"/>
      <w:r w:rsidR="00D06BA8">
        <w:t>LaTeX</w:t>
      </w:r>
      <w:proofErr w:type="spellEnd"/>
      <w:r w:rsidR="00D06BA8">
        <w:t xml:space="preserve"> source.</w:t>
      </w:r>
      <w:r w:rsidR="00BC3387">
        <w:t xml:space="preserve"> As a result of the requirements from TNT/HUP, there are now several versions of a given source image.</w:t>
      </w:r>
    </w:p>
    <w:p w:rsidR="00511398" w:rsidRDefault="00511398">
      <w:r>
        <w:t xml:space="preserve">In passing, I note that the TNT consultant often commented on the quality of historical images: </w:t>
      </w:r>
      <w:r w:rsidRPr="00511398">
        <w:t xml:space="preserve">"Need higher quality image. All </w:t>
      </w:r>
      <w:proofErr w:type="gramStart"/>
      <w:r w:rsidRPr="00511398">
        <w:t>text,</w:t>
      </w:r>
      <w:proofErr w:type="gramEnd"/>
      <w:r w:rsidRPr="00511398">
        <w:t xml:space="preserve"> lines and shapes pixilated. </w:t>
      </w:r>
      <w:proofErr w:type="gramStart"/>
      <w:r w:rsidRPr="00511398">
        <w:t>Could be redrawn."</w:t>
      </w:r>
      <w:proofErr w:type="gramEnd"/>
      <w:r>
        <w:t xml:space="preserve"> In a few cases we were able to find higher resolution images, but for the most part images from this history are what they are.  It might be possible that a few of these could be enhanced from our digital files, but re-drawing is</w:t>
      </w:r>
      <w:r w:rsidR="00D079A5">
        <w:t xml:space="preserve"> a last option because we want readers to appreciate these graphs &amp; charts in historical context</w:t>
      </w:r>
      <w:r>
        <w:t>.</w:t>
      </w:r>
      <w:r w:rsidR="00AE5D6B">
        <w:t xml:space="preserve"> </w:t>
      </w:r>
      <w:r w:rsidR="00D079A5">
        <w:t>We will resist requests to delete some important historical images simply because the available images “are not in the resolution”.</w:t>
      </w:r>
      <w:r w:rsidR="00940323">
        <w:t xml:space="preserve"> Going forward, let’s work on this together.</w:t>
      </w:r>
    </w:p>
    <w:p w:rsidR="00BC3387" w:rsidRDefault="00BC3387" w:rsidP="00BC3387">
      <w:pPr>
        <w:pStyle w:val="Heading1"/>
      </w:pPr>
      <w:r>
        <w:t>Submission</w:t>
      </w:r>
    </w:p>
    <w:p w:rsidR="00BC3387" w:rsidRDefault="00BC3387" w:rsidP="00BC3387">
      <w:r>
        <w:t>This submission is designed to allow</w:t>
      </w:r>
      <w:r w:rsidR="00101DF5">
        <w:t xml:space="preserve"> HUP to assess the images and assist in obtaining permissions. It consists of:</w:t>
      </w:r>
    </w:p>
    <w:p w:rsidR="00BC3387" w:rsidRDefault="00BC3387" w:rsidP="00101DF5">
      <w:pPr>
        <w:pStyle w:val="ListParagraph"/>
        <w:numPr>
          <w:ilvl w:val="0"/>
          <w:numId w:val="3"/>
        </w:numPr>
      </w:pPr>
      <w:r>
        <w:t xml:space="preserve">A ZIP file, </w:t>
      </w:r>
      <w:r w:rsidR="00101DF5" w:rsidRPr="00AE5D6B">
        <w:rPr>
          <w:b/>
        </w:rPr>
        <w:t>TOGS-figs-all</w:t>
      </w:r>
      <w:r w:rsidR="00AE5D6B" w:rsidRPr="00AE5D6B">
        <w:rPr>
          <w:b/>
        </w:rPr>
        <w:t>.zip</w:t>
      </w:r>
      <w:r w:rsidR="00101DF5">
        <w:t>,</w:t>
      </w:r>
      <w:r w:rsidR="00EB4E14">
        <w:t xml:space="preserve"> containing 186 figure versions for the 126 numbered figures.</w:t>
      </w:r>
    </w:p>
    <w:p w:rsidR="00101DF5" w:rsidRDefault="00101DF5" w:rsidP="00101DF5">
      <w:pPr>
        <w:pStyle w:val="ListParagraph"/>
        <w:numPr>
          <w:ilvl w:val="0"/>
          <w:numId w:val="3"/>
        </w:numPr>
      </w:pPr>
      <w:r>
        <w:t xml:space="preserve">A spreadsheet, </w:t>
      </w:r>
      <w:r w:rsidRPr="00AE5D6B">
        <w:rPr>
          <w:b/>
        </w:rPr>
        <w:t>art_log2.xlsx</w:t>
      </w:r>
      <w:r>
        <w:t>, giving the details of those figure versions</w:t>
      </w:r>
    </w:p>
    <w:p w:rsidR="00101DF5" w:rsidRDefault="00101DF5" w:rsidP="00BC3387">
      <w:r>
        <w:rPr>
          <w:noProof/>
        </w:rPr>
        <w:drawing>
          <wp:inline distT="0" distB="0" distL="0" distR="0" wp14:anchorId="6099A56D" wp14:editId="013B10A8">
            <wp:extent cx="5943600" cy="1363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6B" w:rsidRDefault="00AE5D6B" w:rsidP="00AE5D6B">
      <w:pPr>
        <w:pStyle w:val="ListParagraph"/>
        <w:numPr>
          <w:ilvl w:val="0"/>
          <w:numId w:val="3"/>
        </w:numPr>
      </w:pPr>
      <w:r>
        <w:lastRenderedPageBreak/>
        <w:t xml:space="preserve">An updated version of our </w:t>
      </w:r>
      <w:r w:rsidRPr="000600C9">
        <w:rPr>
          <w:b/>
        </w:rPr>
        <w:t>art_log.xlsx</w:t>
      </w:r>
      <w:r>
        <w:t xml:space="preserve"> file, giving details of the 126 numbered figures in the book</w:t>
      </w:r>
      <w:r w:rsidR="000600C9">
        <w:t xml:space="preserve">. Because some figures use </w:t>
      </w:r>
      <w:proofErr w:type="spellStart"/>
      <w:r w:rsidR="000600C9">
        <w:t>LaTeX</w:t>
      </w:r>
      <w:proofErr w:type="spellEnd"/>
      <w:r w:rsidR="000600C9">
        <w:t xml:space="preserve"> </w:t>
      </w:r>
      <w:r w:rsidR="000600C9" w:rsidRPr="00EB4E14">
        <w:rPr>
          <w:rFonts w:ascii="Courier New" w:hAnsi="Courier New" w:cs="Courier New"/>
        </w:rPr>
        <w:t>\</w:t>
      </w:r>
      <w:proofErr w:type="spellStart"/>
      <w:proofErr w:type="gramStart"/>
      <w:r w:rsidR="000600C9" w:rsidRPr="00EB4E14">
        <w:rPr>
          <w:rFonts w:ascii="Courier New" w:hAnsi="Courier New" w:cs="Courier New"/>
        </w:rPr>
        <w:t>includegraphics</w:t>
      </w:r>
      <w:proofErr w:type="spellEnd"/>
      <w:r w:rsidR="000600C9" w:rsidRPr="00EB4E14">
        <w:rPr>
          <w:rFonts w:ascii="Courier New" w:hAnsi="Courier New" w:cs="Courier New"/>
        </w:rPr>
        <w:t>{</w:t>
      </w:r>
      <w:proofErr w:type="gramEnd"/>
      <w:r w:rsidR="000600C9" w:rsidRPr="00EB4E14">
        <w:rPr>
          <w:rFonts w:ascii="Courier New" w:hAnsi="Courier New" w:cs="Courier New"/>
        </w:rPr>
        <w:t>}</w:t>
      </w:r>
      <w:r w:rsidR="000600C9">
        <w:t xml:space="preserve"> to compose two or more separate images side-by-side, there are 135 images listed here on the </w:t>
      </w:r>
      <w:proofErr w:type="spellStart"/>
      <w:r w:rsidR="000600C9" w:rsidRPr="00D079A5">
        <w:rPr>
          <w:b/>
        </w:rPr>
        <w:t>figinfo</w:t>
      </w:r>
      <w:proofErr w:type="spellEnd"/>
      <w:r w:rsidR="000600C9">
        <w:t xml:space="preserve"> tab.</w:t>
      </w:r>
    </w:p>
    <w:p w:rsidR="00D079A5" w:rsidRDefault="00D079A5" w:rsidP="00AE5D6B">
      <w:pPr>
        <w:pStyle w:val="ListParagraph"/>
        <w:numPr>
          <w:ilvl w:val="0"/>
          <w:numId w:val="3"/>
        </w:numPr>
      </w:pPr>
      <w:r>
        <w:t xml:space="preserve">In the same </w:t>
      </w:r>
      <w:r w:rsidR="00EB4E14" w:rsidRPr="000600C9">
        <w:rPr>
          <w:b/>
        </w:rPr>
        <w:t>art_log.xlsx</w:t>
      </w:r>
      <w:r w:rsidR="00EB4E14">
        <w:t xml:space="preserve"> file, the </w:t>
      </w:r>
      <w:r w:rsidR="00EB4E14" w:rsidRPr="00EB4E14">
        <w:rPr>
          <w:b/>
        </w:rPr>
        <w:t>sources</w:t>
      </w:r>
      <w:r w:rsidR="00EB4E14">
        <w:t xml:space="preserve"> tab gives the </w:t>
      </w:r>
      <w:r w:rsidR="00EB4E14" w:rsidRPr="00EB4E14">
        <w:rPr>
          <w:rFonts w:ascii="Courier New" w:hAnsi="Courier New" w:cs="Courier New"/>
        </w:rPr>
        <w:t>\</w:t>
      </w:r>
      <w:proofErr w:type="gramStart"/>
      <w:r w:rsidR="00EB4E14" w:rsidRPr="00EB4E14">
        <w:rPr>
          <w:rFonts w:ascii="Courier New" w:hAnsi="Courier New" w:cs="Courier New"/>
        </w:rPr>
        <w:t>source{</w:t>
      </w:r>
      <w:proofErr w:type="gramEnd"/>
      <w:r w:rsidR="00EB4E14" w:rsidRPr="00EB4E14">
        <w:rPr>
          <w:rFonts w:ascii="Courier New" w:hAnsi="Courier New" w:cs="Courier New"/>
        </w:rPr>
        <w:t>}</w:t>
      </w:r>
      <w:r w:rsidR="00EB4E14">
        <w:t xml:space="preserve"> information extracted from our text, to be used for determining permissions. </w:t>
      </w:r>
    </w:p>
    <w:p w:rsidR="00AE5D6B" w:rsidRPr="00BC3387" w:rsidRDefault="00AE5D6B" w:rsidP="00BC3387"/>
    <w:p w:rsidR="0056129C" w:rsidRDefault="0056129C" w:rsidP="0056129C">
      <w:pPr>
        <w:pStyle w:val="Heading1"/>
      </w:pPr>
      <w:r>
        <w:t>General notes</w:t>
      </w:r>
    </w:p>
    <w:p w:rsidR="0056129C" w:rsidRDefault="0056129C">
      <w:r>
        <w:t>All figures</w:t>
      </w:r>
      <w:r w:rsidR="00921E77">
        <w:t xml:space="preserve"> in this </w:t>
      </w:r>
      <w:r w:rsidR="00921E77" w:rsidRPr="00921E77">
        <w:rPr>
          <w:b/>
        </w:rPr>
        <w:t>figs/</w:t>
      </w:r>
      <w:r w:rsidR="00921E77">
        <w:t xml:space="preserve"> folder</w:t>
      </w:r>
      <w:r>
        <w:t xml:space="preserve"> have been renamed to reflect the figure numbers in the</w:t>
      </w:r>
      <w:r w:rsidR="00771C00">
        <w:t xml:space="preserve"> current</w:t>
      </w:r>
      <w:r>
        <w:t xml:space="preserve"> </w:t>
      </w:r>
      <w:proofErr w:type="spellStart"/>
      <w:r>
        <w:t>ms.</w:t>
      </w:r>
      <w:proofErr w:type="spellEnd"/>
      <w:r>
        <w:t xml:space="preserve"> as well as content, in the form </w:t>
      </w:r>
      <w:proofErr w:type="spellStart"/>
      <w:r>
        <w:t>ch_fig-file.ext</w:t>
      </w:r>
      <w:proofErr w:type="spellEnd"/>
      <w:r>
        <w:t xml:space="preserve">, e.g., </w:t>
      </w:r>
      <w:r w:rsidRPr="00771C00">
        <w:rPr>
          <w:b/>
        </w:rPr>
        <w:t>00_1-mileyears4.png</w:t>
      </w:r>
    </w:p>
    <w:p w:rsidR="00392CF7" w:rsidRDefault="00AE4881">
      <w:r>
        <w:t>In quite a few cases</w:t>
      </w:r>
      <w:r w:rsidR="0004585C">
        <w:t xml:space="preserve"> we have included several versions of the same image. One common case is where we created these in R software</w:t>
      </w:r>
      <w:r w:rsidR="00392CF7">
        <w:t xml:space="preserve"> and saved these in high-res (300 dpi) PNG bitmap files and also in vector SVG files. In our </w:t>
      </w:r>
      <w:proofErr w:type="spellStart"/>
      <w:r w:rsidR="00392CF7">
        <w:t>LaTeX</w:t>
      </w:r>
      <w:proofErr w:type="spellEnd"/>
      <w:r w:rsidR="00392CF7">
        <w:t xml:space="preserve"> files, </w:t>
      </w:r>
      <w:proofErr w:type="spellStart"/>
      <w:r w:rsidR="00392CF7">
        <w:t>it</w:t>
      </w:r>
      <w:r w:rsidR="00446DC5">
        <w:t>is</w:t>
      </w:r>
      <w:proofErr w:type="spellEnd"/>
      <w:r w:rsidR="00446DC5">
        <w:t xml:space="preserve"> not easy to use SVG files directly, so we use the PNG files in what becomes the PDF file for the book.</w:t>
      </w:r>
    </w:p>
    <w:p w:rsidR="00392CF7" w:rsidRDefault="00392CF7">
      <w:r>
        <w:rPr>
          <w:noProof/>
        </w:rPr>
        <w:drawing>
          <wp:inline distT="0" distB="0" distL="0" distR="0" wp14:anchorId="2876491F" wp14:editId="146420A9">
            <wp:extent cx="5504762" cy="6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4B" w:rsidRDefault="00782D4B">
      <w:r>
        <w:t>A different</w:t>
      </w:r>
      <w:r w:rsidR="00B9013E">
        <w:t xml:space="preserve"> simple</w:t>
      </w:r>
      <w:r w:rsidR="004003DC">
        <w:t xml:space="preserve"> case is where we had a high-resolution version of an image of large file size, but chose a smaller version of the same </w:t>
      </w:r>
      <w:r w:rsidR="00B9013E">
        <w:t xml:space="preserve">figure to include in the </w:t>
      </w:r>
      <w:proofErr w:type="spellStart"/>
      <w:r w:rsidR="00B9013E">
        <w:t>ms.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most cases, it is hard for us to see any difference between these versions on screen, but publishing considerations may want to use the larger version.</w:t>
      </w:r>
    </w:p>
    <w:p w:rsidR="00B9013E" w:rsidRDefault="00B9013E">
      <w:r>
        <w:rPr>
          <w:noProof/>
        </w:rPr>
        <w:drawing>
          <wp:inline distT="0" distB="0" distL="0" distR="0" wp14:anchorId="5EF48C83" wp14:editId="01161DC0">
            <wp:extent cx="5943600" cy="43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04" w:rsidRDefault="00276404">
      <w:r>
        <w:rPr>
          <w:noProof/>
        </w:rPr>
        <w:drawing>
          <wp:inline distT="0" distB="0" distL="0" distR="0" wp14:anchorId="17425DF6" wp14:editId="681B5964">
            <wp:extent cx="5876191" cy="4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F7" w:rsidRDefault="00446DC5">
      <w:r>
        <w:t xml:space="preserve">Another situation arises where we have two or more separate images and want to compose these into a single figure for the book. This could be done directly in </w:t>
      </w:r>
      <w:proofErr w:type="spellStart"/>
      <w:r>
        <w:t>LaTeX</w:t>
      </w:r>
      <w:proofErr w:type="spellEnd"/>
      <w:r w:rsidR="00800A7D">
        <w:t xml:space="preserve"> with two or more \</w:t>
      </w:r>
      <w:proofErr w:type="spellStart"/>
      <w:proofErr w:type="gramStart"/>
      <w:r w:rsidR="00800A7D">
        <w:t>includegraphics</w:t>
      </w:r>
      <w:proofErr w:type="spellEnd"/>
      <w:r w:rsidR="00800A7D">
        <w:t>{</w:t>
      </w:r>
      <w:proofErr w:type="gramEnd"/>
      <w:r w:rsidR="00800A7D">
        <w:t>}</w:t>
      </w:r>
      <w:r w:rsidR="00360F62">
        <w:t xml:space="preserve">, or else composed in a combined figure, e.g., with PPT and used in this PNG form. </w:t>
      </w:r>
    </w:p>
    <w:p w:rsidR="00446DC5" w:rsidRDefault="00800A7D">
      <w:r>
        <w:rPr>
          <w:noProof/>
        </w:rPr>
        <w:drawing>
          <wp:inline distT="0" distB="0" distL="0" distR="0" wp14:anchorId="626823AC" wp14:editId="7B31B69B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C" w:rsidRDefault="00782D4B">
      <w:r>
        <w:lastRenderedPageBreak/>
        <w:t xml:space="preserve">One more example of this is in Fig 4.8, where we wished to show a facsimile of John Snow’s cholera map together with a zoomed-in portion. The </w:t>
      </w:r>
      <w:r w:rsidRPr="00276404">
        <w:rPr>
          <w:b/>
        </w:rPr>
        <w:t>–combined</w:t>
      </w:r>
      <w:r>
        <w:t xml:space="preserve"> version is used in the text and we think this is sufficient.</w:t>
      </w:r>
    </w:p>
    <w:p w:rsidR="00782D4B" w:rsidRDefault="00782D4B">
      <w:r>
        <w:rPr>
          <w:noProof/>
        </w:rPr>
        <w:drawing>
          <wp:inline distT="0" distB="0" distL="0" distR="0" wp14:anchorId="5DF25F08" wp14:editId="1C21D3ED">
            <wp:extent cx="5904762" cy="5619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C" w:rsidRDefault="004003DC" w:rsidP="00B9013E">
      <w:pPr>
        <w:pStyle w:val="Heading1"/>
      </w:pPr>
      <w:r>
        <w:t>Remaining problems</w:t>
      </w:r>
    </w:p>
    <w:p w:rsidR="004003DC" w:rsidRDefault="004003DC">
      <w:r w:rsidRPr="00E012D4">
        <w:rPr>
          <w:b/>
        </w:rPr>
        <w:t>02_3-timeline.png</w:t>
      </w:r>
      <w:r w:rsidR="00D63716">
        <w:t xml:space="preserve"> – this </w:t>
      </w:r>
      <w:r w:rsidR="00135392">
        <w:t>figure was</w:t>
      </w:r>
      <w:r w:rsidR="0088127D">
        <w:t xml:space="preserve"> first drawn as a simple timeline using R, then annotated</w:t>
      </w:r>
      <w:r w:rsidR="00135392">
        <w:t xml:space="preserve"> in PPT and </w:t>
      </w:r>
      <w:proofErr w:type="spellStart"/>
      <w:r w:rsidR="0088127D">
        <w:t>finallly</w:t>
      </w:r>
      <w:proofErr w:type="spellEnd"/>
      <w:r w:rsidR="00135392">
        <w:t xml:space="preserve"> screen-captured to an image. The resolution </w:t>
      </w:r>
      <w:r w:rsidR="0088127D">
        <w:t xml:space="preserve">still </w:t>
      </w:r>
      <w:r w:rsidR="00135392">
        <w:t xml:space="preserve">isn’t great, but </w:t>
      </w:r>
      <w:r w:rsidR="0088127D">
        <w:t>maybe it is sufficient.</w:t>
      </w:r>
      <w:r w:rsidR="00124510">
        <w:t xml:space="preserve"> I now provide the basic version of the timeline as </w:t>
      </w:r>
      <w:r w:rsidR="00124510" w:rsidRPr="00124510">
        <w:rPr>
          <w:b/>
        </w:rPr>
        <w:t>02_3-timeline-basic</w:t>
      </w:r>
      <w:proofErr w:type="gramStart"/>
      <w:r w:rsidR="00124510" w:rsidRPr="00124510">
        <w:rPr>
          <w:b/>
        </w:rPr>
        <w:t>.{</w:t>
      </w:r>
      <w:proofErr w:type="spellStart"/>
      <w:proofErr w:type="gramEnd"/>
      <w:r w:rsidR="00124510" w:rsidRPr="00124510">
        <w:rPr>
          <w:b/>
        </w:rPr>
        <w:t>png,svg</w:t>
      </w:r>
      <w:proofErr w:type="spellEnd"/>
      <w:r w:rsidR="00124510" w:rsidRPr="00124510">
        <w:rPr>
          <w:b/>
        </w:rPr>
        <w:t>}.</w:t>
      </w:r>
    </w:p>
    <w:p w:rsidR="004003DC" w:rsidRPr="00124510" w:rsidRDefault="004003DC">
      <w:r w:rsidRPr="00E012D4">
        <w:rPr>
          <w:b/>
        </w:rPr>
        <w:t>02_4-</w:t>
      </w:r>
      <w:r w:rsidR="000B5CB6" w:rsidRPr="00E012D4">
        <w:rPr>
          <w:b/>
        </w:rPr>
        <w:t>lan</w:t>
      </w:r>
      <w:r w:rsidR="00187B6C" w:rsidRPr="00E012D4">
        <w:rPr>
          <w:b/>
        </w:rPr>
        <w:t>gren*</w:t>
      </w:r>
      <w:r w:rsidR="00187B6C">
        <w:t xml:space="preserve"> - these are two tables, but I wanted to put them side-by-side for direct comparison</w:t>
      </w:r>
      <w:r w:rsidR="00187B6C" w:rsidRPr="00124510">
        <w:rPr>
          <w:strike/>
        </w:rPr>
        <w:t xml:space="preserve">.  In this version, I </w:t>
      </w:r>
      <w:r w:rsidR="00F25B36" w:rsidRPr="00124510">
        <w:rPr>
          <w:strike/>
        </w:rPr>
        <w:t>have prepared higher-</w:t>
      </w:r>
      <w:r w:rsidR="00D63716" w:rsidRPr="00124510">
        <w:rPr>
          <w:strike/>
        </w:rPr>
        <w:t>res versions of these as images and also formatted them as tab</w:t>
      </w:r>
      <w:r w:rsidR="005F5CD0" w:rsidRPr="00124510">
        <w:rPr>
          <w:strike/>
        </w:rPr>
        <w:t>les: Table 2.1. I</w:t>
      </w:r>
      <w:r w:rsidR="00D63716" w:rsidRPr="00124510">
        <w:rPr>
          <w:strike/>
        </w:rPr>
        <w:t>mage size can be easily controlled; table size is more difficult.</w:t>
      </w:r>
      <w:r w:rsidR="005F5CD0" w:rsidRPr="00124510">
        <w:rPr>
          <w:strike/>
        </w:rPr>
        <w:t xml:space="preserve"> Deleting Figure 2.4 in favor of Table 2.1 would require re-numbering all remaining figures in this chapter.</w:t>
      </w:r>
      <w:r w:rsidR="005C66DB" w:rsidRPr="00124510">
        <w:rPr>
          <w:strike/>
        </w:rPr>
        <w:t xml:space="preserve"> This is your call.</w:t>
      </w:r>
      <w:r w:rsidR="00124510">
        <w:rPr>
          <w:strike/>
        </w:rPr>
        <w:t xml:space="preserve"> </w:t>
      </w:r>
      <w:r w:rsidR="00124510">
        <w:t xml:space="preserve">These are now two </w:t>
      </w:r>
      <w:proofErr w:type="spellStart"/>
      <w:r w:rsidR="00124510">
        <w:t>LaTeX</w:t>
      </w:r>
      <w:proofErr w:type="spellEnd"/>
      <w:r w:rsidR="00124510">
        <w:t xml:space="preserve"> </w:t>
      </w:r>
      <w:proofErr w:type="spellStart"/>
      <w:r w:rsidR="00124510">
        <w:t>tabulars</w:t>
      </w:r>
      <w:proofErr w:type="spellEnd"/>
      <w:r w:rsidR="00124510">
        <w:t>, produced as one table.  Figures here need to be re-numbered/</w:t>
      </w:r>
    </w:p>
    <w:p w:rsidR="005C66DB" w:rsidRDefault="005C66DB">
      <w:bookmarkStart w:id="0" w:name="_GoBack"/>
      <w:r>
        <w:rPr>
          <w:noProof/>
        </w:rPr>
        <w:drawing>
          <wp:inline distT="0" distB="0" distL="0" distR="0" wp14:anchorId="0DB6C1DF" wp14:editId="0548E553">
            <wp:extent cx="4533334" cy="45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7F5" w:rsidRDefault="004737F5">
      <w:r w:rsidRPr="004737F5">
        <w:rPr>
          <w:b/>
        </w:rPr>
        <w:lastRenderedPageBreak/>
        <w:t>05_12</w:t>
      </w:r>
      <w:r w:rsidRPr="004737F5">
        <w:t xml:space="preserve"> and </w:t>
      </w:r>
      <w:r w:rsidRPr="004737F5">
        <w:rPr>
          <w:b/>
        </w:rPr>
        <w:t>06_5</w:t>
      </w:r>
      <w:r w:rsidRPr="004737F5">
        <w:t xml:space="preserve"> are the same figure</w:t>
      </w:r>
      <w:r>
        <w:t xml:space="preserve">. In the interest of reducing figure count, the latter could be deleted; this would entail re-numbering all remaining figs in </w:t>
      </w:r>
      <w:proofErr w:type="spellStart"/>
      <w:r>
        <w:t>ch</w:t>
      </w:r>
      <w:proofErr w:type="spellEnd"/>
      <w:r>
        <w:t xml:space="preserve"> 6.</w:t>
      </w:r>
    </w:p>
    <w:p w:rsidR="004737F5" w:rsidRDefault="00C93265">
      <w:r w:rsidRPr="00C93265">
        <w:rPr>
          <w:b/>
        </w:rPr>
        <w:t>06_22-nobel-prizes.png</w:t>
      </w:r>
      <w:r>
        <w:t xml:space="preserve"> is a screen-capture from the </w:t>
      </w:r>
      <w:proofErr w:type="spellStart"/>
      <w:r>
        <w:t>Maurage</w:t>
      </w:r>
      <w:proofErr w:type="spellEnd"/>
      <w:r>
        <w:t xml:space="preserve"> et al. 2013 article. We could try this again with a higher resolution (300dpi), or else include only two of the subfigures.</w:t>
      </w:r>
    </w:p>
    <w:p w:rsidR="00C93265" w:rsidRDefault="00C93265"/>
    <w:p w:rsidR="00C93265" w:rsidRDefault="00C93265"/>
    <w:sectPr w:rsidR="00C9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E9F"/>
    <w:multiLevelType w:val="hybridMultilevel"/>
    <w:tmpl w:val="BCD0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5DB"/>
    <w:multiLevelType w:val="hybridMultilevel"/>
    <w:tmpl w:val="ACEC80B0"/>
    <w:lvl w:ilvl="0" w:tplc="3C6C51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94B31"/>
    <w:multiLevelType w:val="hybridMultilevel"/>
    <w:tmpl w:val="D5B0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28"/>
    <w:rsid w:val="0004585C"/>
    <w:rsid w:val="000600C9"/>
    <w:rsid w:val="000B5CB6"/>
    <w:rsid w:val="00101DF5"/>
    <w:rsid w:val="00124510"/>
    <w:rsid w:val="00135392"/>
    <w:rsid w:val="00187B6C"/>
    <w:rsid w:val="001B16FE"/>
    <w:rsid w:val="00216DE7"/>
    <w:rsid w:val="00222828"/>
    <w:rsid w:val="00276404"/>
    <w:rsid w:val="002A0A12"/>
    <w:rsid w:val="00360F62"/>
    <w:rsid w:val="00392CF7"/>
    <w:rsid w:val="004003DC"/>
    <w:rsid w:val="00446DC5"/>
    <w:rsid w:val="004737F5"/>
    <w:rsid w:val="004F5F5D"/>
    <w:rsid w:val="00511398"/>
    <w:rsid w:val="0056129C"/>
    <w:rsid w:val="005C66DB"/>
    <w:rsid w:val="005F5CD0"/>
    <w:rsid w:val="005F6D4A"/>
    <w:rsid w:val="00736354"/>
    <w:rsid w:val="00771C00"/>
    <w:rsid w:val="00782D4B"/>
    <w:rsid w:val="00800A7D"/>
    <w:rsid w:val="0088127D"/>
    <w:rsid w:val="008B784C"/>
    <w:rsid w:val="00921E77"/>
    <w:rsid w:val="00940323"/>
    <w:rsid w:val="00946609"/>
    <w:rsid w:val="0094785A"/>
    <w:rsid w:val="00956FFD"/>
    <w:rsid w:val="00AB6588"/>
    <w:rsid w:val="00AE4881"/>
    <w:rsid w:val="00AE5D6B"/>
    <w:rsid w:val="00B9013E"/>
    <w:rsid w:val="00BC3387"/>
    <w:rsid w:val="00C93265"/>
    <w:rsid w:val="00D044A7"/>
    <w:rsid w:val="00D06BA8"/>
    <w:rsid w:val="00D079A5"/>
    <w:rsid w:val="00D6151E"/>
    <w:rsid w:val="00D63716"/>
    <w:rsid w:val="00DF3A5E"/>
    <w:rsid w:val="00E012D4"/>
    <w:rsid w:val="00E625D4"/>
    <w:rsid w:val="00E740C1"/>
    <w:rsid w:val="00EB4E14"/>
    <w:rsid w:val="00F25B36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1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1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18567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13</cp:revision>
  <dcterms:created xsi:type="dcterms:W3CDTF">2020-01-28T19:55:00Z</dcterms:created>
  <dcterms:modified xsi:type="dcterms:W3CDTF">2020-03-04T14:37:00Z</dcterms:modified>
</cp:coreProperties>
</file>