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2015-11-30</w:t>
      </w:r>
    </w:p>
    <w:p>
      <w:pPr>
        <w:pStyle w:val="Heading2"/>
      </w:pPr>
      <w:bookmarkStart w:id="21" w:name="chapter-1"/>
      <w:bookmarkEnd w:id="21"/>
      <w:r>
        <w:t xml:space="preserve">Chapter 1</w:t>
      </w:r>
    </w:p>
    <w:p>
      <w:pPr>
        <w:pStyle w:val="FirstParagraph"/>
      </w:pPr>
      <w:r>
        <w:t xml:space="preserve">These exercises are all conceptual. There are no hints or solutions.</w:t>
      </w:r>
    </w:p>
    <w:p>
      <w:pPr>
        <w:pStyle w:val="Heading2"/>
      </w:pPr>
      <w:bookmarkStart w:id="22" w:name="chapter-2"/>
      <w:bookmarkEnd w:id="22"/>
      <w:r>
        <w:t xml:space="preserve">Chapter 2</w:t>
      </w:r>
    </w:p>
    <w:p>
      <w:pPr>
        <w:pStyle w:val="Heading3"/>
      </w:pPr>
      <w:bookmarkStart w:id="23" w:name="exercise-2.2"/>
      <w:bookmarkEnd w:id="23"/>
      <w:r>
        <w:t xml:space="preserve">Exercise 2.2</w:t>
      </w:r>
    </w:p>
    <w:p>
      <w:pPr>
        <w:pStyle w:val="Heading3"/>
      </w:pPr>
      <w:bookmarkStart w:id="24" w:name="exercise-2.3"/>
      <w:bookmarkEnd w:id="24"/>
      <w:r>
        <w:t xml:space="preserve">Exercise 2.3</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01"/>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02"/>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03"/>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04"/>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2"/>
      </w:pPr>
      <w:bookmarkStart w:id="25" w:name="chapter-3"/>
      <w:bookmarkEnd w:id="25"/>
      <w:r>
        <w:t xml:space="preserve">Chapter 3</w:t>
      </w:r>
    </w:p>
    <w:p>
      <w:pPr>
        <w:pStyle w:val="Heading3"/>
      </w:pPr>
      <w:bookmarkStart w:id="26" w:name="exercise-3.1"/>
      <w:bookmarkEnd w:id="26"/>
      <w:r>
        <w:t xml:space="preserve">Exercise 3.1</w:t>
      </w:r>
    </w:p>
    <w:p>
      <w:pPr>
        <w:pStyle w:val="FirstParagraph"/>
      </w:pPr>
      <w:r>
        <w:t xml:space="preserve">The Arbuthnot data in HistData (Example 3.1) also contains the variable Ratio, giving the ratio of male to female births.</w:t>
      </w:r>
    </w:p>
    <w:p>
      <w:pPr>
        <w:pStyle w:val="Compact"/>
        <w:numPr>
          <w:numId w:val="1005"/>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a-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pPr>
        <w:pStyle w:val="FirstParagraph"/>
      </w:pPr>
      <w:r>
        <w:t xml:space="preserve">The plot is similar to Figure 3.1 in text. If it is easier to think in terms of probability of a male birth, plotting that directly may be preferable.</w:t>
      </w:r>
    </w:p>
    <w:p>
      <w:pPr>
        <w:pStyle w:val="Compact"/>
        <w:numPr>
          <w:numId w:val="1006"/>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b-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was a large decline in births between 1640--1660, corresponding to years of plague in England.</w:t>
      </w:r>
    </w:p>
    <w:p>
      <w:pPr>
        <w:pStyle w:val="Heading1"/>
      </w:pPr>
      <w:bookmarkStart w:id="29" w:name="exercise-3.6"/>
      <w:bookmarkEnd w:id="29"/>
      <w:r>
        <w:t xml:space="preserve">Exercise 3.6</w:t>
      </w:r>
    </w:p>
    <w:p>
      <w:pPr>
        <w:pStyle w:val="FirstParagraph"/>
      </w:pPr>
      <w:r>
        <w:t xml:space="preserve">Mosteller and Wallace (1963, Table 2.4) give the frequencies,</w:t>
      </w:r>
      <w:r>
        <w:t xml:space="preserve"> </w:t>
      </w:r>
      <m:oMath>
        <m:sSub>
          <m:e>
            <m:r>
              <m:rPr/>
              <m:t>n</m:t>
            </m:r>
          </m:e>
          <m:sub>
            <m:r>
              <m:rPr/>
              <m:t>k</m:t>
            </m:r>
          </m:sub>
        </m:sSub>
      </m:oMath>
      <w:r>
        <w:t xml:space="preserve">, of counts</w:t>
      </w:r>
      <w:r>
        <w:t xml:space="preserve"> </w:t>
      </w:r>
      <m:oMath>
        <m:r>
          <m:rPr/>
          <m:t>k</m:t>
        </m:r>
        <m:r>
          <m:rPr/>
          <m:t>=</m:t>
        </m:r>
        <m:r>
          <m:rPr/>
          <m:t>0</m:t>
        </m:r>
        <m:r>
          <m:rPr/>
          <m:t>,</m:t>
        </m:r>
        <m:r>
          <m:rPr/>
          <m:t>1</m:t>
        </m:r>
        <m:r>
          <m:rPr/>
          <m:t>,</m:t>
        </m:r>
        <m:r>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07"/>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pPr>
        <w:pStyle w:val="FirstParagraph"/>
      </w:pPr>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 first 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08"/>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pon2-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9"/>
          <w:ilvl w:val="0"/>
        </w:numPr>
      </w:pPr>
      <w:r>
        <w:t xml:space="preserve">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1-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0"/>
          <w:ilvl w:val="0"/>
        </w:numPr>
      </w:pPr>
      <w:r>
        <w:t xml:space="preserve">What do you conclude?</w:t>
      </w:r>
    </w:p>
    <w:p>
      <w:pPr>
        <w:pStyle w:val="Heading2"/>
      </w:pPr>
      <w:bookmarkStart w:id="32" w:name="chapter-4"/>
      <w:bookmarkEnd w:id="32"/>
      <w:r>
        <w:t xml:space="preserve">Chapter 4</w:t>
      </w:r>
    </w:p>
    <w:p>
      <w:pPr>
        <w:pStyle w:val="Heading3"/>
      </w:pPr>
      <w:bookmarkStart w:id="33" w:name="exercise-4.1"/>
      <w:bookmarkEnd w:id="33"/>
      <w:r>
        <w:t xml:space="preserve">Exercise 4.1</w:t>
      </w:r>
    </w:p>
    <w:p>
      <w:pPr>
        <w:pStyle w:val="FirstParagraph"/>
      </w:pPr>
      <w:r>
        <w:t xml:space="preserve">The data set fat, created below, gives a</w:t>
      </w:r>
      <w:r>
        <w:t xml:space="preserve"> </w:t>
      </w:r>
      <m:oMath>
        <m:r>
          <m:rPr/>
          <m:t>2</m:t>
        </m:r>
        <m:r>
          <m:rPr/>
          <m:t>×</m:t>
        </m:r>
        <m:r>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11"/>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11"/>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11"/>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11"/>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11"/>
          <w:ilvl w:val="0"/>
        </w:numPr>
      </w:pPr>
      <w:r>
        <w:t xml:space="preserve">Write a one-paragraph summary of your findings and conclusions for this data set.</w:t>
      </w:r>
    </w:p>
    <w:p>
      <w:pPr>
        <w:pStyle w:val="Heading3"/>
      </w:pPr>
      <w:bookmarkStart w:id="34" w:name="exercise-4.2"/>
      <w:bookmarkEnd w:id="34"/>
      <w:r>
        <w:t xml:space="preserve">Exercise 4.2</w:t>
      </w:r>
    </w:p>
    <w:p>
      <w:pPr>
        <w:pStyle w:val="FirstParagraph"/>
      </w:pPr>
      <w:r>
        <w:t xml:space="preserve">The data set Abortion in vcdExtra gives a</w:t>
      </w:r>
      <w:r>
        <w:t xml:space="preserve"> </w:t>
      </w:r>
      <m:oMath>
        <m:r>
          <m:rPr/>
          <m:t>2</m:t>
        </m:r>
        <m:r>
          <m:rPr/>
          <m:t>×</m:t>
        </m:r>
        <m:r>
          <m:rPr/>
          <m:t>2</m:t>
        </m:r>
        <m:r>
          <m:rPr/>
          <m:t>×</m:t>
        </m:r>
        <m:r>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12"/>
          <w:ilvl w:val="0"/>
        </w:numPr>
      </w:pPr>
      <w:r>
        <w:t xml:space="preserve">Taking support for abortion as the outcome variable, produce fourfold displays showing the association with sex, stratified by status.</w:t>
      </w:r>
    </w:p>
    <w:p>
      <w:pPr>
        <w:numPr>
          <w:numId w:val="1012"/>
          <w:ilvl w:val="0"/>
        </w:numPr>
      </w:pPr>
      <w:r>
        <w:t xml:space="preserve">Do the same for the association of support for abortion with status, stratified by sex.</w:t>
      </w:r>
    </w:p>
    <w:p>
      <w:pPr>
        <w:numPr>
          <w:numId w:val="1012"/>
          <w:ilvl w:val="0"/>
        </w:numPr>
      </w:pPr>
      <w:r>
        <w:t xml:space="preserve">For each of the problems above, use oddsratio to calculate the numerical values of the odds ratio, as stratified in the question.</w:t>
      </w:r>
    </w:p>
    <w:p>
      <w:pPr>
        <w:numPr>
          <w:numId w:val="1012"/>
          <w:ilvl w:val="0"/>
        </w:numPr>
      </w:pPr>
      <w:r>
        <w:t xml:space="preserve">Write a brief summary of how support for abortion depends on sex and status.</w:t>
      </w:r>
    </w:p>
    <w:p>
      <w:pPr>
        <w:pStyle w:val="Heading3"/>
      </w:pPr>
      <w:bookmarkStart w:id="35" w:name="exercise-4.3"/>
      <w:bookmarkEnd w:id="35"/>
      <w:r>
        <w:t xml:space="preserve">Exercise 4.3</w:t>
      </w:r>
    </w:p>
    <w:p>
      <w:pPr>
        <w:pStyle w:val="FirstParagraph"/>
      </w:pPr>
      <w:r>
        <w:t xml:space="preserve">The</w:t>
      </w:r>
      <w:r>
        <w:t xml:space="preserve"> </w:t>
      </w:r>
      <w:r>
        <w:rPr>
          <w:rStyle w:val="VerbatimChar"/>
        </w:rPr>
        <w:t xml:space="preserve">JobSat</w:t>
      </w:r>
      <w:r>
        <w:t xml:space="preserve"> </w:t>
      </w:r>
      <w:r>
        <w:t xml:space="preserve">table on income and job satisfaction created in ex:jobsat1 is contained in the vcdExtra package.</w:t>
      </w:r>
    </w:p>
    <w:p>
      <w:pPr>
        <w:numPr>
          <w:numId w:val="1013"/>
          <w:ilvl w:val="0"/>
        </w:numPr>
      </w:pPr>
      <w:r>
        <w:t xml:space="preserve">Carry out a standard</w:t>
      </w:r>
      <w:r>
        <w:t xml:space="preserve"> </w:t>
      </w:r>
      <m:oMath>
        <m:sSup>
          <m:e>
            <m:r>
              <m:rPr/>
              <m:t>χ</m:t>
            </m:r>
          </m:e>
          <m:sup>
            <m:r>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13"/>
          <w:ilvl w:val="0"/>
        </w:numPr>
      </w:pPr>
      <w:r>
        <w:t xml:space="preserve">Both variables are ordinal, so CMH tests may be more powerful here. Carry out that analysis. What do you conclude?</w:t>
      </w:r>
    </w:p>
    <w:p>
      <w:pPr>
        <w:pStyle w:val="Heading3"/>
      </w:pPr>
      <w:bookmarkStart w:id="36" w:name="exercise-4.4"/>
      <w:bookmarkEnd w:id="36"/>
      <w:r>
        <w:t xml:space="preserve">Exercise 4.4</w:t>
      </w:r>
    </w:p>
    <w:p>
      <w:pPr>
        <w:pStyle w:val="FirstParagraph"/>
      </w:pPr>
      <w:r>
        <w:t xml:space="preserve">The</w:t>
      </w:r>
      <w:r>
        <w:t xml:space="preserve"> </w:t>
      </w:r>
      <w:r>
        <w:rPr>
          <w:rStyle w:val="VerbatimChar"/>
        </w:rPr>
        <w:t xml:space="preserve">Hospital</w:t>
      </w:r>
      <w:r>
        <w:t xml:space="preserve"> </w:t>
      </w:r>
      <w:r>
        <w:t xml:space="preserve">data in vcd gives a</w:t>
      </w:r>
      <w:r>
        <w:t xml:space="preserve"> </w:t>
      </w:r>
      <m:oMath>
        <m:r>
          <m:rPr/>
          <m:t>3</m:t>
        </m:r>
        <m:r>
          <m:rPr/>
          <m:t>×</m:t>
        </m:r>
        <m:r>
          <m:rPr/>
          <m:t>3</m:t>
        </m:r>
      </m:oMath>
      <w:r>
        <w:t xml:space="preserve"> </w:t>
      </w:r>
      <w:r>
        <w:t xml:space="preserve">table relating the length of stay (in years) of 132 long-term schizophrenic patients in two London mental hospitals with the frequency of visits by family and friends.</w:t>
      </w:r>
    </w:p>
    <w:p>
      <w:pPr>
        <w:numPr>
          <w:numId w:val="1014"/>
          <w:ilvl w:val="0"/>
        </w:numPr>
      </w:pPr>
      <w:r>
        <w:t xml:space="preserve">Carry out a</w:t>
      </w:r>
      <w:r>
        <w:t xml:space="preserve"> </w:t>
      </w:r>
      <m:oMath>
        <m:sSup>
          <m:e>
            <m:r>
              <m:rPr/>
              <m:t>χ</m:t>
            </m:r>
          </m:e>
          <m:sup>
            <m:r>
              <m:rPr/>
              <m:t>2</m:t>
            </m:r>
          </m:sup>
        </m:sSup>
      </m:oMath>
      <w:r>
        <w:t xml:space="preserve"> </w:t>
      </w:r>
      <w:r>
        <w:t xml:space="preserve">test for association between the two variables.</w:t>
      </w:r>
    </w:p>
    <w:p>
      <w:pPr>
        <w:numPr>
          <w:numId w:val="1014"/>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14"/>
          <w:ilvl w:val="0"/>
        </w:numPr>
      </w:pPr>
      <w:r>
        <w:t xml:space="preserve">Produce an association plot for these data, with visit frequency as the vertical variable. Describe the pattern of the relation you see here.</w:t>
      </w:r>
    </w:p>
    <w:p>
      <w:pPr>
        <w:numPr>
          <w:numId w:val="1014"/>
          <w:ilvl w:val="0"/>
        </w:numPr>
      </w:pPr>
      <w:r>
        <w:t xml:space="preserve">Both variables can be considered ordinal, so CMH tests may be useful here. Carry out that analysis. Do any of the tests lead to different conclusions?</w:t>
      </w:r>
    </w:p>
    <w:p>
      <w:pPr>
        <w:pStyle w:val="Heading3"/>
      </w:pPr>
      <w:bookmarkStart w:id="37" w:name="exercise-4.5"/>
      <w:bookmarkEnd w:id="37"/>
      <w:r>
        <w:t xml:space="preserve">Exercise 4.5</w:t>
      </w:r>
    </w:p>
    <w:p>
      <w:pPr>
        <w:pStyle w:val="FirstParagraph"/>
      </w:pPr>
      <w:r>
        <w:t xml:space="preserve">Continuing with the Hospital data:</w:t>
      </w:r>
    </w:p>
    <w:p>
      <w:pPr>
        <w:numPr>
          <w:numId w:val="1015"/>
          <w:ilvl w:val="0"/>
        </w:numPr>
      </w:pPr>
      <w:r>
        <w:t xml:space="preserve">Try one or more of the following other functions for visualizing two-way contingency tables with this data: plot, tile, mosaic, and spineplot. [For all except spineplot, it is useful to include the argument shade=TRUE].</w:t>
      </w:r>
    </w:p>
    <w:p>
      <w:pPr>
        <w:numPr>
          <w:numId w:val="1015"/>
          <w:ilvl w:val="0"/>
        </w:numPr>
      </w:pPr>
      <w:r>
        <w:t xml:space="preserve">Comment on the differences among these displays for understanding the relation between visits and length of stay.</w:t>
      </w:r>
    </w:p>
    <w:p>
      <w:pPr>
        <w:pStyle w:val="Heading3"/>
      </w:pPr>
      <w:bookmarkStart w:id="38" w:name="exercise-4.6"/>
      <w:bookmarkEnd w:id="38"/>
      <w:r>
        <w:t xml:space="preserve">Exercise 4.6</w:t>
      </w:r>
    </w:p>
    <w:p>
      <w:pPr>
        <w:pStyle w:val="FirstParagraph"/>
      </w:pPr>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16"/>
          <w:ilvl w:val="0"/>
        </w:numPr>
      </w:pPr>
      <w:r>
        <w:t xml:space="preserve">Assess the strength of agreement between the raters using Cohen’s</w:t>
      </w:r>
      <w:r>
        <w:t xml:space="preserve"> </w:t>
      </w:r>
      <m:oMath>
        <m:r>
          <m:rPr/>
          <m:t>κ</m:t>
        </m:r>
      </m:oMath>
      <w:r>
        <w:t xml:space="preserve">, both unweighted and weighted.</w:t>
      </w:r>
    </w:p>
    <w:p>
      <w:pPr>
        <w:numPr>
          <w:numId w:val="1016"/>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16"/>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39" w:name="exercise-4.7"/>
      <w:bookmarkEnd w:id="39"/>
      <w:r>
        <w:t xml:space="preserve">Exercise 4.7</w:t>
      </w:r>
    </w:p>
    <w:p>
      <w:pPr>
        <w:pStyle w:val="FirstParagraph"/>
      </w:pPr>
      <w:r>
        <w:t xml:space="preserve"> </w:t>
      </w:r>
      <w:r>
        <w:t xml:space="preserve">gave the data in tab:siskel-ebert on the ratings of 160 movies by the reviewers Gene Siskel and Roger Ebert for the period from April 1995 through September 1996. The rating categories were Con (“thumbs down”), Mixed, and Pro (“thumbs up”). ch04/tab/siskel-ebert</w:t>
      </w:r>
    </w:p>
    <w:p>
      <w:pPr>
        <w:numPr>
          <w:numId w:val="1017"/>
          <w:ilvl w:val="0"/>
        </w:numPr>
      </w:pPr>
      <w:r>
        <w:t xml:space="preserve">Assess the strength of agreement between the raters using Cohen’s</w:t>
      </w:r>
      <w:r>
        <w:t xml:space="preserve"> </w:t>
      </w:r>
      <m:oMath>
        <m:r>
          <m:rPr/>
          <m:t>κ</m:t>
        </m:r>
      </m:oMath>
      <w:r>
        <w:t xml:space="preserve">, both unweighted and weighted.</w:t>
      </w:r>
    </w:p>
    <w:p>
      <w:pPr>
        <w:numPr>
          <w:numId w:val="1017"/>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17"/>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t>χ</m:t>
            </m:r>
          </m:e>
          <m:sup>
            <m:r>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t>t</m:t>
            </m:r>
          </m:e>
          <m:sub>
            <m:r>
              <m:rPr/>
              <m:t>i</m:t>
            </m:r>
            <m:r>
              <m:rPr/>
              <m:t>j</m:t>
            </m:r>
          </m:sub>
        </m:sSub>
        <m:r>
          <m:rPr/>
          <m:t>=</m:t>
        </m:r>
        <m:sSub>
          <m:e>
            <m:r>
              <m:rPr/>
              <m:t>t</m:t>
            </m:r>
          </m:e>
          <m:sub>
            <m:r>
              <m:rPr/>
              <m:t>j</m:t>
            </m:r>
            <m:r>
              <m:rPr/>
              <m:t>i</m:t>
            </m:r>
          </m:sub>
        </m:sSub>
      </m:oMath>
      <w:r>
        <w:t xml:space="preserve"> </w:t>
      </w:r>
      <w:r>
        <w:t xml:space="preserve">for</w:t>
      </w:r>
      <w:r>
        <w:t xml:space="preserve"> </w:t>
      </w:r>
      <m:oMath>
        <m:r>
          <m:rPr/>
          <m:t>i</m:t>
        </m:r>
        <m:r>
          <m:rPr/>
          <m:t>≠</m:t>
        </m:r>
        <m:r>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17"/>
          <w:ilvl w:val="0"/>
        </w:numPr>
      </w:pPr>
      <w:r>
        <w:t xml:space="preserve">Compare the results with the output of</w:t>
      </w:r>
      <w:r>
        <w:t xml:space="preserve"> </w:t>
      </w:r>
      <w:r>
        <w:rPr>
          <w:rStyle w:val="VerbatimChar"/>
        </w:rPr>
        <w:t xml:space="preserve">mcnemar.test()</w:t>
      </w:r>
      <w:r>
        <w:t xml:space="preserve">.</w:t>
      </w:r>
    </w:p>
    <w:p>
      <w:pPr>
        <w:pStyle w:val="Heading3"/>
      </w:pPr>
      <w:bookmarkStart w:id="40" w:name="exercise-4.8"/>
      <w:bookmarkEnd w:id="40"/>
      <w:r>
        <w:t xml:space="preserve">Exercise 4.8</w:t>
      </w:r>
    </w:p>
    <w:p>
      <w:pPr>
        <w:pStyle w:val="FirstParagraph"/>
      </w:pPr>
      <w:r>
        <w:t xml:space="preserve">For the VisualAcuity data set:</w:t>
      </w:r>
    </w:p>
    <w:p>
      <w:pPr>
        <w:numPr>
          <w:numId w:val="1018"/>
          <w:ilvl w:val="0"/>
        </w:numPr>
      </w:pPr>
      <w:r>
        <w:t xml:space="preserve">Use the code shown in the text to create the table form, VA.tab.</w:t>
      </w:r>
    </w:p>
    <w:p>
      <w:pPr>
        <w:numPr>
          <w:numId w:val="1018"/>
          <w:ilvl w:val="0"/>
        </w:numPr>
      </w:pPr>
      <w:r>
        <w:t xml:space="preserve">Perform the CMH tests for this table.</w:t>
      </w:r>
    </w:p>
    <w:p>
      <w:pPr>
        <w:numPr>
          <w:numId w:val="1018"/>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41" w:name="exercise-4.9"/>
      <w:bookmarkEnd w:id="41"/>
      <w:r>
        <w:t xml:space="preserve">Exercise 4.9</w:t>
      </w:r>
    </w:p>
    <w:p>
      <w:pPr>
        <w:pStyle w:val="FirstParagraph"/>
      </w:pPr>
      <w:r>
        <w:t xml:space="preserve">The graph in fig:lifeboats2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19"/>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19"/>
          <w:ilvl w:val="0"/>
        </w:numPr>
      </w:pPr>
      <w:r>
        <w:t xml:space="preserve">Produce a plot similar to fig:lifeboats2, showing the changes over time in this measure.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66b8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b67e7a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5b6d215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1fe09c4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81e3472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2015-11-30</dcterms:created>
  <dcterms:modified xsi:type="dcterms:W3CDTF">2015-11-30</dcterms:modified>
</cp:coreProperties>
</file>