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4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2015-11-30</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2"/>
      <w:bookmarkEnd w:id="23"/>
      <w:r>
        <w:t xml:space="preserve">Exercise 2.2</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 Admit, Gender, and Dept.</w:t>
      </w:r>
    </w:p>
    <w:p>
      <w:pPr>
        <w:numPr>
          <w:numId w:val="1001"/>
          <w:ilvl w:val="0"/>
        </w:numPr>
      </w:pPr>
      <w:r>
        <w:t xml:space="preserve">Find the total number of cases contained in this table.</w:t>
      </w:r>
    </w:p>
    <w:p>
      <w:pPr>
        <w:numPr>
          <w:numId w:val="1001"/>
          <w:ilvl w:val="0"/>
        </w:numPr>
      </w:pPr>
      <w:r>
        <w:t xml:space="preserve">For each department, find the total number of applicants.</w:t>
      </w:r>
    </w:p>
    <w:p>
      <w:pPr>
        <w:numPr>
          <w:numId w:val="1001"/>
          <w:ilvl w:val="0"/>
        </w:numPr>
      </w:pPr>
      <w:r>
        <w:t xml:space="preserve">For each department, find the overall proportion of applicants who were admitted.</w:t>
      </w:r>
    </w:p>
    <w:p>
      <w:pPr>
        <w:numPr>
          <w:numId w:val="100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4" w:name="exercise-2.3"/>
      <w:bookmarkEnd w:id="24"/>
      <w:r>
        <w:t xml:space="preserve">Exercise 2.3</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0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0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0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0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5" w:name="exercise-2.4"/>
      <w:bookmarkEnd w:id="25"/>
      <w:r>
        <w:t xml:space="preserve">Exercise 2.4</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numPr>
          <w:numId w:val="1006"/>
          <w:ilvl w:val="0"/>
        </w:numPr>
      </w:pPr>
      <w:r>
        <w:t xml:space="preserve">Verify that the total number of games represented in this table is 380.</w:t>
      </w:r>
    </w:p>
    <w:p>
      <w:pPr>
        <w:numPr>
          <w:numId w:val="1006"/>
          <w:ilvl w:val="0"/>
        </w:numPr>
      </w:pPr>
      <w:r>
        <w:t xml:space="preserve">Find the marginal total of the number of goals scored by each of the home and away teams.</w:t>
      </w:r>
    </w:p>
    <w:p>
      <w:pPr>
        <w:numPr>
          <w:numId w:val="1006"/>
          <w:ilvl w:val="0"/>
        </w:numPr>
      </w:pPr>
      <w:r>
        <w:t xml:space="preserve">Express each of the marginal totals as proportions.</w:t>
      </w:r>
    </w:p>
    <w:p>
      <w:pPr>
        <w:numPr>
          <w:numId w:val="1006"/>
          <w:ilvl w:val="0"/>
        </w:numPr>
      </w:pPr>
      <w:r>
        <w:t xml:space="preserve">Comment on the distribution of the numbers of home-team and away-team goals. Is there any evidence that home teams score more goals on average?</w:t>
      </w:r>
    </w:p>
    <w:p>
      <w:pPr>
        <w:pStyle w:val="Heading3"/>
      </w:pPr>
      <w:bookmarkStart w:id="26" w:name="exercise-2.5"/>
      <w:bookmarkEnd w:id="26"/>
      <w:r>
        <w:t xml:space="preserve">Exercise 2.5</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numPr>
          <w:numId w:val="1007"/>
          <w:ilvl w:val="0"/>
        </w:numPr>
      </w:pPr>
      <w:r>
        <w:t xml:space="preserve">Use subset 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numPr>
          <w:numId w:val="1007"/>
          <w:ilvl w:val="0"/>
        </w:numPr>
      </w:pPr>
      <w:r>
        <w:t xml:space="preserve">Select the columns for boys and Freq.</w:t>
      </w:r>
    </w:p>
    <w:p>
      <w:pPr>
        <w:numPr>
          <w:numId w:val="1007"/>
          <w:ilvl w:val="0"/>
        </w:numPr>
      </w:pPr>
      <w:r>
        <w:t xml:space="preserve">Use xtabs with a formula,</w:t>
      </w:r>
      <w:r>
        <w:t xml:space="preserve"> </w:t>
      </w:r>
      <w:r>
        <w:rPr>
          <w:rStyle w:val="VerbatimChar"/>
        </w:rPr>
        <w:t xml:space="preserve">Freq ~ boys</w:t>
      </w:r>
      <w:r>
        <w:t xml:space="preserve">, to create the one-way table.</w:t>
      </w:r>
    </w:p>
    <w:p>
      <w:pPr>
        <w:numPr>
          <w:numId w:val="1007"/>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Heading3"/>
      </w:pPr>
      <w:bookmarkStart w:id="27" w:name="exercise-2.6"/>
      <w:bookmarkEnd w:id="27"/>
      <w:r>
        <w:t xml:space="preserve">Exercise 2.6</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numPr>
          <w:numId w:val="1008"/>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numPr>
          <w:numId w:val="1008"/>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Heading3"/>
      </w:pPr>
      <w:bookmarkStart w:id="28" w:name="exercise-2.7"/>
      <w:bookmarkEnd w:id="28"/>
      <w:r>
        <w:t xml:space="preserve">Exercise 2.7</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numPr>
          <w:numId w:val="1009"/>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numPr>
          <w:numId w:val="1009"/>
          <w:ilvl w:val="0"/>
        </w:numPr>
      </w:pPr>
      <w:r>
        <w:t xml:space="preserve">Use</w:t>
      </w:r>
      <w:r>
        <w:t xml:space="preserve"> </w:t>
      </w:r>
      <w:r>
        <w:rPr>
          <w:rStyle w:val="VerbatimChar"/>
        </w:rPr>
        <w:t xml:space="preserve">structable()</w:t>
      </w:r>
      <w:r>
        <w:t xml:space="preserve"> </w:t>
      </w:r>
      <w:r>
        <w:t xml:space="preserve">to create a nicely organized tabular display.</w:t>
      </w:r>
    </w:p>
    <w:p>
      <w:pPr>
        <w:numPr>
          <w:numId w:val="1009"/>
          <w:ilvl w:val="0"/>
        </w:numPr>
      </w:pPr>
      <w:r>
        <w:t xml:space="preserve">Use</w:t>
      </w:r>
      <w:r>
        <w:t xml:space="preserve"> </w:t>
      </w:r>
      <w:r>
        <w:rPr>
          <w:rStyle w:val="VerbatimChar"/>
        </w:rPr>
        <w:t xml:space="preserve">xtable()</w:t>
      </w:r>
      <w:r>
        <w:t xml:space="preserve"> </w:t>
      </w:r>
      <w:r>
        <w:t xml:space="preserve">to create a LaTeX or HTML table.</w:t>
      </w:r>
    </w:p>
    <w:p>
      <w:pPr>
        <w:pStyle w:val="Heading2"/>
      </w:pPr>
      <w:bookmarkStart w:id="29" w:name="chapter-3"/>
      <w:bookmarkEnd w:id="29"/>
      <w:r>
        <w:t xml:space="preserve">Chapter 3</w:t>
      </w:r>
    </w:p>
    <w:p>
      <w:pPr>
        <w:pStyle w:val="Heading3"/>
      </w:pPr>
      <w:bookmarkStart w:id="30" w:name="exercise-3.1"/>
      <w:bookmarkEnd w:id="30"/>
      <w:r>
        <w:t xml:space="preserve">Exercise 3.1</w:t>
      </w:r>
    </w:p>
    <w:p>
      <w:pPr>
        <w:pStyle w:val="FirstParagraph"/>
      </w:pPr>
      <w:r>
        <w:t xml:space="preserve">The Arbuthnot data in HistData (Example 3.1) also contains the variable Ratio, giving the ratio of male to female births.</w:t>
      </w:r>
    </w:p>
    <w:p>
      <w:pPr>
        <w:pStyle w:val="Compact"/>
        <w:numPr>
          <w:numId w:val="1010"/>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text. If it is easier to think in terms of probability of a male birth, plotting that directly may be preferable.</w:t>
      </w:r>
    </w:p>
    <w:p>
      <w:pPr>
        <w:pStyle w:val="Compact"/>
        <w:numPr>
          <w:numId w:val="1011"/>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3" w:name="exercise-3.3"/>
      <w:bookmarkEnd w:id="33"/>
      <w:r>
        <w:t xml:space="preserve">Exercise 3.3</w:t>
      </w:r>
    </w:p>
    <w:p>
      <w:pPr>
        <w:pStyle w:val="Compact"/>
        <w:numPr>
          <w:numId w:val="1012"/>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3"/>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14"/>
          <w:ilvl w:val="0"/>
        </w:numPr>
      </w:pPr>
      <w:r>
        <w:t xml:space="preserve">Make a reasonable plot showing departure from the binomial distribution.</w:t>
      </w:r>
    </w:p>
    <w:p>
      <w:pPr>
        <w:pStyle w:val="SourceCode"/>
      </w:pPr>
      <w:r>
        <w:rPr>
          <w:rStyle w:val="KeywordTok"/>
        </w:rPr>
        <w:t xml:space="preserve">plot</w:t>
      </w:r>
      <w:r>
        <w:rPr>
          <w:rStyle w:val="NormalTok"/>
        </w:rPr>
        <w:t xml:space="preserve">(gf.women)</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5"/>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16"/>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16"/>
          <w:ilvl w:val="0"/>
        </w:numPr>
      </w:pPr>
      <w:r>
        <w:t xml:space="preserve">People often join lines in groups, so the observations are unliekly to be independent.</w:t>
      </w:r>
    </w:p>
    <w:p>
      <w:pPr>
        <w:pStyle w:val="Heading3"/>
      </w:pPr>
      <w:bookmarkStart w:id="36" w:name="exercise-3.4"/>
      <w:bookmarkEnd w:id="36"/>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17"/>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18"/>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 $</w:t>
      </w:r>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19"/>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w:t>
      </w:r>
      <w:r>
        <w:rPr>
          <w:rStyle w:val="NormalTok"/>
        </w:rPr>
        <w:t xml:space="preserve"> </w:t>
      </w:r>
      <w:r>
        <w:rPr>
          <w:rStyle w:val="StringTok"/>
        </w:rPr>
        <w:t xml:space="preserve">"Fit for p=phat"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9" w:name="exercise-3.5"/>
      <w:bookmarkEnd w:id="39"/>
      <w:r>
        <w:t xml:space="preserve">Exercise 3.5</w:t>
      </w:r>
    </w:p>
    <w:p>
      <w:pPr>
        <w:pStyle w:val="Heading3"/>
      </w:pPr>
      <w:bookmarkStart w:id="40" w:name="exercise-3.6"/>
      <w:bookmarkEnd w:id="40"/>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20"/>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21"/>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2"/>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8-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3"/>
          <w:ilvl w:val="0"/>
        </w:numPr>
      </w:pPr>
      <w:r>
        <w:t xml:space="preserve">What do you conclude?</w:t>
      </w:r>
    </w:p>
    <w:p>
      <w:pPr>
        <w:pStyle w:val="Heading3"/>
      </w:pPr>
      <w:bookmarkStart w:id="43" w:name="exercise-3.7"/>
      <w:bookmarkEnd w:id="43"/>
      <w:r>
        <w:t xml:space="preserve">Exercise 3.7</w:t>
      </w:r>
    </w:p>
    <w:p>
      <w:pPr>
        <w:pStyle w:val="Heading3"/>
      </w:pPr>
      <w:bookmarkStart w:id="44" w:name="exercise-3.8"/>
      <w:bookmarkEnd w:id="44"/>
      <w:r>
        <w:t xml:space="preserve">Exercise 3.8</w:t>
      </w:r>
    </w:p>
    <w:p>
      <w:pPr>
        <w:pStyle w:val="Heading3"/>
      </w:pPr>
      <w:bookmarkStart w:id="45" w:name="exercise-3.9"/>
      <w:bookmarkEnd w:id="45"/>
      <w:r>
        <w:t xml:space="preserve">Exercise 3.9</w:t>
      </w:r>
    </w:p>
    <w:p>
      <w:pPr>
        <w:pStyle w:val="Heading3"/>
      </w:pPr>
      <w:bookmarkStart w:id="46" w:name="exercise-3.10"/>
      <w:bookmarkEnd w:id="46"/>
      <w:r>
        <w:t xml:space="preserve">Exercise 3.10</w:t>
      </w:r>
    </w:p>
    <w:p>
      <w:pPr>
        <w:pStyle w:val="Heading3"/>
      </w:pPr>
      <w:bookmarkStart w:id="47" w:name="exercise-3.11"/>
      <w:bookmarkEnd w:id="47"/>
      <w:r>
        <w:t xml:space="preserve">Exercise 3.11</w:t>
      </w:r>
    </w:p>
    <w:p>
      <w:pPr>
        <w:pStyle w:val="Heading3"/>
      </w:pPr>
      <w:bookmarkStart w:id="48" w:name="exercise-3.12"/>
      <w:bookmarkEnd w:id="48"/>
      <w:r>
        <w:t xml:space="preserve">Exercise 3.12</w:t>
      </w:r>
    </w:p>
    <w:p>
      <w:pPr>
        <w:pStyle w:val="Heading2"/>
      </w:pPr>
      <w:bookmarkStart w:id="49" w:name="chapter-4"/>
      <w:bookmarkEnd w:id="49"/>
      <w:r>
        <w:t xml:space="preserve">Chapter 4</w:t>
      </w:r>
    </w:p>
    <w:p>
      <w:pPr>
        <w:pStyle w:val="Heading3"/>
      </w:pPr>
      <w:bookmarkStart w:id="50" w:name="exercise-4.1"/>
      <w:bookmarkEnd w:id="50"/>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24"/>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24"/>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24"/>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24"/>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24"/>
          <w:ilvl w:val="0"/>
        </w:numPr>
      </w:pPr>
      <w:r>
        <w:t xml:space="preserve">Write a one-paragraph summary of your findings and conclusions for this data set.</w:t>
      </w:r>
    </w:p>
    <w:p>
      <w:pPr>
        <w:pStyle w:val="Heading3"/>
      </w:pPr>
      <w:bookmarkStart w:id="51" w:name="exercise-4.2"/>
      <w:bookmarkEnd w:id="51"/>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25"/>
          <w:ilvl w:val="0"/>
        </w:numPr>
      </w:pPr>
      <w:r>
        <w:t xml:space="preserve">Taking support for abortion as the outcome variable, produce fourfold displays showing the association with sex, stratified by status.</w:t>
      </w:r>
    </w:p>
    <w:p>
      <w:pPr>
        <w:numPr>
          <w:numId w:val="1025"/>
          <w:ilvl w:val="0"/>
        </w:numPr>
      </w:pPr>
      <w:r>
        <w:t xml:space="preserve">Do the same for the association of support for abortion with status, stratified by sex.</w:t>
      </w:r>
    </w:p>
    <w:p>
      <w:pPr>
        <w:numPr>
          <w:numId w:val="1025"/>
          <w:ilvl w:val="0"/>
        </w:numPr>
      </w:pPr>
      <w:r>
        <w:t xml:space="preserve">For each of the problems above, use oddsratio to calculate the numerical values of the odds ratio, as stratified in the question.</w:t>
      </w:r>
    </w:p>
    <w:p>
      <w:pPr>
        <w:numPr>
          <w:numId w:val="1025"/>
          <w:ilvl w:val="0"/>
        </w:numPr>
      </w:pPr>
      <w:r>
        <w:t xml:space="preserve">Write a brief summary of how support for abortion depends on sex and status.</w:t>
      </w:r>
    </w:p>
    <w:p>
      <w:pPr>
        <w:pStyle w:val="Heading3"/>
      </w:pPr>
      <w:bookmarkStart w:id="52" w:name="exercise-4.3"/>
      <w:bookmarkEnd w:id="52"/>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26"/>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26"/>
          <w:ilvl w:val="0"/>
        </w:numPr>
      </w:pPr>
      <w:r>
        <w:t xml:space="preserve">Both variables are ordinal, so CMH tests may be more powerful here. Carry out that analysis. What do you conclude?</w:t>
      </w:r>
    </w:p>
    <w:p>
      <w:pPr>
        <w:pStyle w:val="Heading3"/>
      </w:pPr>
      <w:bookmarkStart w:id="53" w:name="exercise-4.4"/>
      <w:bookmarkEnd w:id="53"/>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27"/>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27"/>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27"/>
          <w:ilvl w:val="0"/>
        </w:numPr>
      </w:pPr>
      <w:r>
        <w:t xml:space="preserve">Produce an association plot for these data, with visit frequency as the vertical variable. Describe the pattern of the relation you see here.</w:t>
      </w:r>
    </w:p>
    <w:p>
      <w:pPr>
        <w:numPr>
          <w:numId w:val="1027"/>
          <w:ilvl w:val="0"/>
        </w:numPr>
      </w:pPr>
      <w:r>
        <w:t xml:space="preserve">Both variables can be considered ordinal, so CMH tests may be useful here. Carry out that analysis. Do any of the tests lead to different conclusions?</w:t>
      </w:r>
    </w:p>
    <w:p>
      <w:pPr>
        <w:pStyle w:val="Heading3"/>
      </w:pPr>
      <w:bookmarkStart w:id="54" w:name="exercise-4.5"/>
      <w:bookmarkEnd w:id="54"/>
      <w:r>
        <w:t xml:space="preserve">Exercise 4.5</w:t>
      </w:r>
    </w:p>
    <w:p>
      <w:pPr>
        <w:pStyle w:val="FirstParagraph"/>
      </w:pPr>
      <w:r>
        <w:t xml:space="preserve">Continuing with the Hospital data:</w:t>
      </w:r>
    </w:p>
    <w:p>
      <w:pPr>
        <w:numPr>
          <w:numId w:val="1028"/>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28"/>
          <w:ilvl w:val="0"/>
        </w:numPr>
      </w:pPr>
      <w:r>
        <w:t xml:space="preserve">Comment on the differences among these displays for understanding the relation between visits and length of stay.</w:t>
      </w:r>
    </w:p>
    <w:p>
      <w:pPr>
        <w:pStyle w:val="Heading3"/>
      </w:pPr>
      <w:bookmarkStart w:id="55" w:name="exercise-4.6"/>
      <w:bookmarkEnd w:id="55"/>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29"/>
          <w:ilvl w:val="0"/>
        </w:numPr>
      </w:pPr>
      <w:r>
        <w:t xml:space="preserve">Assess the strength of agreement between the raters using Cohen’s</w:t>
      </w:r>
      <w:r>
        <w:t xml:space="preserve"> </w:t>
      </w:r>
      <m:oMath>
        <m:r>
          <m:rPr/>
          <m:t>κ</m:t>
        </m:r>
      </m:oMath>
      <w:r>
        <w:t xml:space="preserve">, both unweighted and weighted.</w:t>
      </w:r>
    </w:p>
    <w:p>
      <w:pPr>
        <w:numPr>
          <w:numId w:val="1029"/>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29"/>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56" w:name="exercise-4.7"/>
      <w:bookmarkEnd w:id="56"/>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30"/>
          <w:ilvl w:val="0"/>
        </w:numPr>
      </w:pPr>
      <w:r>
        <w:t xml:space="preserve">Assess the strength of agreement between the raters using Cohen’s</w:t>
      </w:r>
      <w:r>
        <w:t xml:space="preserve"> </w:t>
      </w:r>
      <m:oMath>
        <m:r>
          <m:rPr/>
          <m:t>κ</m:t>
        </m:r>
      </m:oMath>
      <w:r>
        <w:t xml:space="preserve">, both unweighted and weighted.</w:t>
      </w:r>
    </w:p>
    <w:p>
      <w:pPr>
        <w:numPr>
          <w:numId w:val="1030"/>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30"/>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30"/>
          <w:ilvl w:val="0"/>
        </w:numPr>
      </w:pPr>
      <w:r>
        <w:t xml:space="preserve">Compare the results with the output of</w:t>
      </w:r>
      <w:r>
        <w:t xml:space="preserve"> </w:t>
      </w:r>
      <w:r>
        <w:rPr>
          <w:rStyle w:val="VerbatimChar"/>
        </w:rPr>
        <w:t xml:space="preserve">mcnemar.test()</w:t>
      </w:r>
      <w:r>
        <w:t xml:space="preserve">.</w:t>
      </w:r>
    </w:p>
    <w:p>
      <w:pPr>
        <w:pStyle w:val="Heading3"/>
      </w:pPr>
      <w:bookmarkStart w:id="57" w:name="exercise-4.8"/>
      <w:bookmarkEnd w:id="57"/>
      <w:r>
        <w:t xml:space="preserve">Exercise 4.8</w:t>
      </w:r>
    </w:p>
    <w:p>
      <w:pPr>
        <w:pStyle w:val="FirstParagraph"/>
      </w:pPr>
      <w:r>
        <w:t xml:space="preserve">For the VisualAcuity data set:</w:t>
      </w:r>
    </w:p>
    <w:p>
      <w:pPr>
        <w:numPr>
          <w:numId w:val="1031"/>
          <w:ilvl w:val="0"/>
        </w:numPr>
      </w:pPr>
      <w:r>
        <w:t xml:space="preserve">Use the code shown in the text to create the table form, VA.tab.</w:t>
      </w:r>
    </w:p>
    <w:p>
      <w:pPr>
        <w:numPr>
          <w:numId w:val="1031"/>
          <w:ilvl w:val="0"/>
        </w:numPr>
      </w:pPr>
      <w:r>
        <w:t xml:space="preserve">Perform the CMH tests for this table.</w:t>
      </w:r>
    </w:p>
    <w:p>
      <w:pPr>
        <w:numPr>
          <w:numId w:val="1031"/>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58" w:name="exercise-4.9"/>
      <w:bookmarkEnd w:id="58"/>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32"/>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32"/>
          <w:ilvl w:val="0"/>
        </w:numPr>
      </w:pPr>
      <w:r>
        <w:t xml:space="preserve">Produce a plot similar to fig:lifeboats2, showing the changes over time in this measure.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d671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308873e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e83e47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17864d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47c6361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831">
    <w:nsid w:val="d67e690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2015-11-30</dcterms:created>
  <dcterms:modified xsi:type="dcterms:W3CDTF">2015-11-30</dcterms:modified>
</cp:coreProperties>
</file>