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bd6fb156c31d5c72f2661d541ae609baf639dc"/>
    <w:p>
      <w:pPr>
        <w:pStyle w:val="Heading1"/>
      </w:pPr>
      <w:r>
        <w:t xml:space="preserve">Notes for the copyediting team —</w:t>
      </w:r>
      <w:r>
        <w:t xml:space="preserve"> </w:t>
      </w:r>
      <w:r>
        <w:rPr>
          <w:iCs/>
          <w:i/>
        </w:rPr>
        <w:t xml:space="preserve">Visualizing Multivariate Data and Models in R</w:t>
      </w:r>
    </w:p>
    <w:p>
      <w:r>
        <w:pict>
          <v:rect style="width:0;height:1.5pt" o:hralign="center" o:hrstd="t" o:hr="t"/>
        </w:pict>
      </w:r>
    </w:p>
    <w:bookmarkStart w:id="20" w:name="what-is-included-here"/>
    <w:p>
      <w:pPr>
        <w:pStyle w:val="Heading2"/>
      </w:pPr>
      <w:r>
        <w:t xml:space="preserve">What is included here</w:t>
      </w:r>
    </w:p>
    <w:p>
      <w:pPr>
        <w:numPr>
          <w:ilvl w:val="0"/>
          <w:numId w:val="1001"/>
        </w:numPr>
        <w:pStyle w:val="Compact"/>
      </w:pPr>
      <w:r>
        <w:t xml:space="preserve">Vis-MLM.pdf: The full PDF of the book, rendered 07/17/26.</w:t>
      </w:r>
    </w:p>
    <w:p>
      <w:pPr>
        <w:numPr>
          <w:ilvl w:val="0"/>
          <w:numId w:val="1001"/>
        </w:numPr>
        <w:pStyle w:val="Compact"/>
      </w:pPr>
      <w:r>
        <w:t xml:space="preserve">Notes for the copyeditor.doc: Answers to questions regarding copyedit preferences</w:t>
      </w:r>
    </w:p>
    <w:bookmarkEnd w:id="20"/>
    <w:bookmarkStart w:id="21" w:name="status-of-the-manuscript"/>
    <w:p>
      <w:pPr>
        <w:pStyle w:val="Heading2"/>
      </w:pPr>
      <w:r>
        <w:t xml:space="preserve">1. Status of the manuscript</w:t>
      </w:r>
    </w:p>
    <w:p>
      <w:pPr>
        <w:pStyle w:val="FirstParagraph"/>
      </w:pPr>
      <w:r>
        <w:t xml:space="preserve">This PDF represents the complete book: 15 chapters across four parts, front matter,</w:t>
      </w:r>
      <w:r>
        <w:t xml:space="preserve"> </w:t>
      </w:r>
      <w:r>
        <w:t xml:space="preserve">references, and both a subject index and an author index. The total page count</w:t>
      </w:r>
      <w:r>
        <w:t xml:space="preserve"> </w:t>
      </w:r>
      <w:r>
        <w:t xml:space="preserve">is 548, which includes front matter (27 pg), main text (508 pg), subject index (8 pg), and author index (5 pg)</w:t>
      </w:r>
      <w:r>
        <w:t xml:space="preserve"> </w:t>
      </w:r>
      <w:r>
        <w:t xml:space="preserve">In the PDF everything is hyperlinked: references to figures, sections, equations, and the indexes back to</w:t>
      </w:r>
      <w:r>
        <w:t xml:space="preserve"> </w:t>
      </w:r>
      <w:r>
        <w:t xml:space="preserve">where those terms occur in the text.</w:t>
      </w:r>
    </w:p>
    <w:p>
      <w:pPr>
        <w:pStyle w:val="BodyText"/>
      </w:pPr>
      <w:r>
        <w:t xml:space="preserve">A few things worth knowing about where things stand: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placeholder or TODO content remains visible in the text.</w:t>
      </w:r>
      <w:r>
        <w:t xml:space="preserve"> </w:t>
      </w:r>
      <w:r>
        <w:t xml:space="preserve">Author working notes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&lt;!-- TODO: ... --&gt;</w:t>
      </w:r>
      <w:r>
        <w:t xml:space="preserve">) exist in the source but are all HTML-comment-hidden and do not</w:t>
      </w:r>
      <w:r>
        <w:t xml:space="preserve"> </w:t>
      </w:r>
      <w:r>
        <w:t xml:space="preserve">appear in this PDF.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 detailed chapter-by-chapter content review</w:t>
      </w:r>
      <w:r>
        <w:t xml:space="preserve"> </w:t>
      </w:r>
      <w:r>
        <w:t xml:space="preserve">(by me, along with a research assistant, covering</w:t>
      </w:r>
      <w:r>
        <w:t xml:space="preserve"> </w:t>
      </w:r>
      <w:r>
        <w:t xml:space="preserve">the General Issues and Chapters 4–14, 21) has been incorporated: prose edits,</w:t>
      </w:r>
      <w:r>
        <w:t xml:space="preserve"> </w:t>
      </w:r>
      <w:r>
        <w:t xml:space="preserve">typographic fixes, cross-reference repairs, code-formatting consistency.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Style consistency pass completed</w:t>
      </w:r>
      <w:r>
        <w:t xml:space="preserve">: section headings use sentence case; dollar</w:t>
      </w:r>
      <w:r>
        <w:t xml:space="preserve"> </w:t>
      </w:r>
      <w:r>
        <w:t xml:space="preserve">amounts, statistical symbols (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), and package/function name formatting have</w:t>
      </w:r>
      <w:r>
        <w:t xml:space="preserve"> </w:t>
      </w:r>
      <w:r>
        <w:t xml:space="preserve">been made consistent throughout.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Structure</w:t>
      </w:r>
      <w:r>
        <w:t xml:space="preserve">:</w:t>
      </w:r>
      <w:r>
        <w:t xml:space="preserve"> </w:t>
      </w:r>
      <w:r>
        <w:rPr>
          <w:iCs/>
          <w:i/>
        </w:rPr>
        <w:t xml:space="preserve">Case Studies</w:t>
      </w:r>
      <w:r>
        <w:t xml:space="preserve"> </w:t>
      </w:r>
      <w:r>
        <w:t xml:space="preserve">(formerly a print chapter) and</w:t>
      </w:r>
      <w:r>
        <w:t xml:space="preserve"> </w:t>
      </w:r>
      <w:r>
        <w:rPr>
          <w:iCs/>
          <w:i/>
        </w:rPr>
        <w:t xml:space="preserve">Exercises</w:t>
      </w:r>
      <w:r>
        <w:t xml:space="preserve"> </w:t>
      </w:r>
      <w:r>
        <w:t xml:space="preserve">are now</w:t>
      </w:r>
      <w:r>
        <w:t xml:space="preserve"> </w:t>
      </w:r>
      <w:r>
        <w:t xml:space="preserve">online-only appendices;</w:t>
      </w:r>
      <w:r>
        <w:t xml:space="preserve"> </w:t>
      </w:r>
      <w:r>
        <w:rPr>
          <w:iCs/>
          <w:i/>
        </w:rPr>
        <w:t xml:space="preserve">Discriminant Analysis</w:t>
      </w:r>
      <w:r>
        <w:t xml:space="preserve"> </w:t>
      </w:r>
      <w:r>
        <w:t xml:space="preserve">(formerly an appendix) is now</w:t>
      </w:r>
      <w:r>
        <w:t xml:space="preserve"> </w:t>
      </w:r>
      <w:r>
        <w:t xml:space="preserve">Chapter 15 in the print edition. An R Code Appendix (online-only) lists the source</w:t>
      </w:r>
      <w:r>
        <w:t xml:space="preserve"> </w:t>
      </w:r>
      <w:r>
        <w:t xml:space="preserve">script for nearly every figure/analysis in the book.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Print image resolution/color</w:t>
      </w:r>
      <w:r>
        <w:t xml:space="preserve">: all figures generated directly from the book’s R</w:t>
      </w:r>
      <w:r>
        <w:t xml:space="preserve"> </w:t>
      </w:r>
      <w:r>
        <w:t xml:space="preserve">code are already print-ready (CMYK, 300dpi+, vector where possible). A separate,</w:t>
      </w:r>
      <w:r>
        <w:t xml:space="preserve"> </w:t>
      </w:r>
      <w:r>
        <w:t xml:space="preserve">independent pass is converting the ~90 externally-sourced diagrams/photos to CMYK at</w:t>
      </w:r>
      <w:r>
        <w:t xml:space="preserve"> </w:t>
      </w:r>
      <w:r>
        <w:t xml:space="preserve">print resolution, per your production team’s specifications (US Web Coated SWOP</w:t>
      </w:r>
      <w:r>
        <w:t xml:space="preserve"> </w:t>
      </w:r>
      <w:r>
        <w:t xml:space="preserve">profile).</w:t>
      </w:r>
      <w:r>
        <w:t xml:space="preserve"> </w:t>
      </w:r>
      <w:r>
        <w:rPr>
          <w:bCs/>
          <w:b/>
        </w:rPr>
        <w:t xml:space="preserve">This is a color/resolution concern for printing only, not a content one</w:t>
      </w:r>
      <w:r>
        <w:t xml:space="preserve"> </w:t>
      </w:r>
      <w:r>
        <w:t xml:space="preserve">— please</w:t>
      </w:r>
      <w:r>
        <w:t xml:space="preserve"> </w:t>
      </w:r>
      <w:r>
        <w:t xml:space="preserve">disregard image color/DPI when copyediting; it’s being handled separately before</w:t>
      </w:r>
      <w:r>
        <w:t xml:space="preserve"> </w:t>
      </w:r>
      <w:r>
        <w:t xml:space="preserve">final print files are generated.</w:t>
      </w:r>
    </w:p>
    <w:bookmarkEnd w:id="21"/>
    <w:bookmarkStart w:id="24" w:name="notes-on-working-with-this-pdf"/>
    <w:p>
      <w:pPr>
        <w:pStyle w:val="Heading2"/>
      </w:pPr>
      <w:r>
        <w:t xml:space="preserve">2. Notes on working with this PDF</w:t>
      </w:r>
    </w:p>
    <w:p>
      <w:pPr>
        <w:pStyle w:val="FirstParagraph"/>
      </w:pPr>
      <w:r>
        <w:t xml:space="preserve">This book is authored in</w:t>
      </w:r>
      <w:r>
        <w:t xml:space="preserve"> </w:t>
      </w:r>
      <w:hyperlink r:id="rId22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(R + Markdown) and compiled via</w:t>
      </w:r>
      <w:r>
        <w:t xml:space="preserve"> </w:t>
      </w:r>
      <w:r>
        <w:t xml:space="preserve">LaTeX to PDF — there is no underlying Word document. A few practical notes so markup</w:t>
      </w:r>
      <w:r>
        <w:t xml:space="preserve"> </w:t>
      </w:r>
      <w:r>
        <w:t xml:space="preserve">comes back in a form I can act on efficiently: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Please mark up directly on the PDF</w:t>
      </w:r>
      <w:r>
        <w:t xml:space="preserve"> </w:t>
      </w:r>
      <w:r>
        <w:t xml:space="preserve">(Adobe Acrobat comments — highlights, sticky</w:t>
      </w:r>
      <w:r>
        <w:t xml:space="preserve"> </w:t>
      </w:r>
      <w:r>
        <w:t xml:space="preserve">notes, or inline text edits are all fine). I’ll incorporate every change by hand into</w:t>
      </w:r>
      <w:r>
        <w:t xml:space="preserve"> </w:t>
      </w:r>
      <w:r>
        <w:t xml:space="preserve">the source files and recompile; there’s no</w:t>
      </w:r>
      <w:r>
        <w:t xml:space="preserve"> </w:t>
      </w:r>
      <w:r>
        <w:t xml:space="preserve">“</w:t>
      </w:r>
      <w:r>
        <w:t xml:space="preserve">accept all changes</w:t>
      </w:r>
      <w:r>
        <w:t xml:space="preserve">”</w:t>
      </w:r>
      <w:r>
        <w:t xml:space="preserve"> </w:t>
      </w:r>
      <w:r>
        <w:t xml:space="preserve">step on my end, so</w:t>
      </w:r>
      <w:r>
        <w:t xml:space="preserve"> </w:t>
      </w:r>
      <w:r>
        <w:t xml:space="preserve">there’s no need to worry about formatting a redline the way you might for a Word</w:t>
      </w:r>
      <w:r>
        <w:t xml:space="preserve"> </w:t>
      </w:r>
      <w:r>
        <w:t xml:space="preserve">manuscript.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Page numbers will shift</w:t>
      </w:r>
      <w:r>
        <w:t xml:space="preserve"> </w:t>
      </w:r>
      <w:r>
        <w:t xml:space="preserve">between this PDF and the final typeset version. For anything that</w:t>
      </w:r>
      <w:r>
        <w:t xml:space="preserve"> </w:t>
      </w:r>
      <w:r>
        <w:t xml:space="preserve">might need to be found again later, a chapter/section number or a nearby heading is</w:t>
      </w:r>
      <w:r>
        <w:t xml:space="preserve"> </w:t>
      </w:r>
      <w:r>
        <w:t xml:space="preserve">more durable than a page reference. For straightforward inline edits, an</w:t>
      </w:r>
      <w:r>
        <w:t xml:space="preserve"> </w:t>
      </w:r>
      <w:r>
        <w:t xml:space="preserve">Acrobat comment anchored to the text itself doesn’t need anything extra.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Figure/table/equation numbers, cross-references, citations, and both indexes are</w:t>
      </w:r>
      <w:r>
        <w:rPr>
          <w:bCs/>
          <w:b/>
        </w:rPr>
        <w:t xml:space="preserve"> </w:t>
      </w:r>
      <w:r>
        <w:rPr>
          <w:bCs/>
          <w:b/>
        </w:rPr>
        <w:t xml:space="preserve">all generated automatically</w:t>
      </w:r>
      <w:r>
        <w:t xml:space="preserve"> </w:t>
      </w:r>
      <w:r>
        <w:t xml:space="preserve">from the source (not hand-numbered), so there’s no need</w:t>
      </w:r>
      <w:r>
        <w:t xml:space="preserve"> </w:t>
      </w:r>
      <w:r>
        <w:t xml:space="preserve">to check or renumber any of these — if something looks wrong (a miscitation, a</w:t>
      </w:r>
      <w:r>
        <w:t xml:space="preserve"> </w:t>
      </w:r>
      <w:r>
        <w:t xml:space="preserve">duplicate-looking index entry, a cross-reference to the wrong figure), flagging it is</w:t>
      </w:r>
      <w:r>
        <w:t xml:space="preserve"> </w:t>
      </w:r>
      <w:r>
        <w:t xml:space="preserve">all that’s needed; I’ll track down the cause in the source.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Code blocks and inline code</w:t>
      </w:r>
      <w:r>
        <w:t xml:space="preserve"> </w:t>
      </w:r>
      <w:r>
        <w:t xml:space="preserve">(anything in a monospace/shaded box, or</w:t>
      </w:r>
      <w:r>
        <w:t xml:space="preserve"> </w:t>
      </w:r>
      <w:r>
        <w:rPr>
          <w:rStyle w:val="VerbatimChar"/>
        </w:rPr>
        <w:t xml:space="preserve">`like this`</w:t>
      </w:r>
      <w:r>
        <w:t xml:space="preserve"> </w:t>
      </w:r>
      <w:r>
        <w:t xml:space="preserve">in running text) are R syntax and case-/punctuation-sensitive —</w:t>
      </w:r>
      <w:r>
        <w:t xml:space="preserve"> </w:t>
      </w:r>
      <w:r>
        <w:t xml:space="preserve">please don’t apply house style (smart quotes, spacing, capitalization) to these; flag</w:t>
      </w:r>
      <w:r>
        <w:t xml:space="preserve"> </w:t>
      </w:r>
      <w:r>
        <w:t xml:space="preserve">a suspected typo rather than correcting it directly, since a wrong correction there</w:t>
      </w:r>
      <w:r>
        <w:t xml:space="preserve"> </w:t>
      </w:r>
      <w:r>
        <w:t xml:space="preserve">would break working code.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Hyperlinks in the print PDF, and a question on house style.</w:t>
      </w:r>
      <w:r>
        <w:t xml:space="preserve"> </w:t>
      </w:r>
      <w:r>
        <w:t xml:space="preserve">In the online HTML</w:t>
      </w:r>
      <w:r>
        <w:t xml:space="preserve"> </w:t>
      </w:r>
      <w:r>
        <w:t xml:space="preserve">edition, every web link (inline text, citations, everything) is a clickable</w:t>
      </w:r>
      <w:r>
        <w:t xml:space="preserve"> </w:t>
      </w:r>
      <w:r>
        <w:t xml:space="preserve">hyperlink. In the print PDF that obviously doesn’t work the same way: a small number</w:t>
      </w:r>
      <w:r>
        <w:t xml:space="preserve"> </w:t>
      </w:r>
      <w:r>
        <w:t xml:space="preserve">of URLs are deliberately set as numbered footnotes showing the address (that’s</w:t>
      </w:r>
      <w:r>
        <w:t xml:space="preserve"> </w:t>
      </w:r>
      <w:r>
        <w:t xml:space="preserve">intentional, not an error), but most inline links (e.g. </w:t>
      </w:r>
      <w:r>
        <w:t xml:space="preserve">“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package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  <w:r>
        <w:t xml:space="preserve">”</w:t>
      </w:r>
      <w:r>
        <w:t xml:space="preserve">) currently just render as plain text in print, with the</w:t>
      </w:r>
      <w:r>
        <w:t xml:space="preserve"> </w:t>
      </w:r>
      <w:r>
        <w:t xml:space="preserve">underlying URL not shown anywhere on the page. I’d welcome your guidance on how CRC</w:t>
      </w:r>
      <w:r>
        <w:t xml:space="preserve"> </w:t>
      </w:r>
      <w:r>
        <w:t xml:space="preserve">prefers to handle this — options I can think of include: converting all such links to</w:t>
      </w:r>
      <w:r>
        <w:t xml:space="preserve"> </w:t>
      </w:r>
      <w:r>
        <w:t xml:space="preserve">footnotes showing the URL (used consistently, this could mean quite a few footnotes,</w:t>
      </w:r>
      <w:r>
        <w:t xml:space="preserve"> </w:t>
      </w:r>
      <w:r>
        <w:t xml:space="preserve">since some URLs recur across chapters), spelling the URL out in running text instead,</w:t>
      </w:r>
      <w:r>
        <w:t xml:space="preserve"> </w:t>
      </w:r>
      <w:r>
        <w:t xml:space="preserve">a different footnote/endnote convention, or simply leaving it as-is since the digital</w:t>
      </w:r>
      <w:r>
        <w:t xml:space="preserve"> </w:t>
      </w:r>
      <w:r>
        <w:t xml:space="preserve">PDF itself remains clickable even though a printed page wouldn’t be. Happy to</w:t>
      </w:r>
      <w:r>
        <w:t xml:space="preserve"> </w:t>
      </w:r>
      <w:r>
        <w:t xml:space="preserve">implement whichever approach you prefer.</w:t>
      </w:r>
    </w:p>
    <w:p>
      <w:pPr>
        <w:numPr>
          <w:ilvl w:val="0"/>
          <w:numId w:val="1004"/>
        </w:numPr>
      </w:pPr>
      <w:r>
        <w:t xml:space="preserve">A few minor</w:t>
      </w:r>
      <w:r>
        <w:t xml:space="preserve"> </w:t>
      </w:r>
      <w:r>
        <w:rPr>
          <w:bCs/>
          <w:b/>
        </w:rPr>
        <w:t xml:space="preserve">figure/layout</w:t>
      </w:r>
      <w:r>
        <w:t xml:space="preserve"> </w:t>
      </w:r>
      <w:r>
        <w:t xml:space="preserve">items were already reviewed and consciously left as-is</w:t>
      </w:r>
      <w:r>
        <w:t xml:space="preserve"> </w:t>
      </w:r>
      <w:r>
        <w:t xml:space="preserve">(e.g., some axis-label crowding in a couple of dense multi-panel figures) — if</w:t>
      </w:r>
      <w:r>
        <w:t xml:space="preserve"> </w:t>
      </w:r>
      <w:r>
        <w:t xml:space="preserve">something looks like a rough edge rather than an error, it’s likely one of these; no</w:t>
      </w:r>
      <w:r>
        <w:t xml:space="preserve"> </w:t>
      </w:r>
      <w:r>
        <w:t xml:space="preserve">need to flag purely cosmetic figure-density issues.</w:t>
      </w:r>
    </w:p>
    <w:p>
      <w:pPr>
        <w:pStyle w:val="FirstParagraph"/>
      </w:pPr>
      <w:r>
        <w:t xml:space="preserve">Happy to adjust any of the above to fit how your team prefers to work — just let me know.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." TargetMode="External" /><Relationship Type="http://schemas.openxmlformats.org/officeDocument/2006/relationships/hyperlink" Id="rId22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." TargetMode="External" /><Relationship Type="http://schemas.openxmlformats.org/officeDocument/2006/relationships/hyperlink" Id="rId22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2026-07-17T19:20:12Z</dcterms:created>
  <dcterms:modified xsi:type="dcterms:W3CDTF">2026-07-17T19:20:12Z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