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article"/>
      </w:pPr>
      <w:r>
        <w:t xml:space="preserve">Annex 1. Migneret’s Oracle in R</w:t>
      </w:r>
    </w:p>
    <w:p>
      <w:pPr>
        <w:pStyle w:val="Sous-titrearticle"/>
      </w:pPr>
      <w:r>
        <w:t xml:space="preserve">Companion to “ChatGPT, édition 1759”</w:t>
      </w:r>
    </w:p>
    <w:p>
      <w:pPr>
        <w:pStyle w:val="Auteur"/>
      </w:pPr>
      <w:r>
        <w:t xml:space="preserve">Michael Friendly</w:t>
      </w:r>
    </w:p>
    <w:bookmarkStart w:id="19" w:name="what-this-is"/>
    <w:p>
      <w:pPr>
        <w:pStyle w:val="Heading2"/>
      </w:pPr>
      <w:r>
        <w:t xml:space="preserve">What this is</w:t>
      </w:r>
    </w:p>
    <w:p>
      <w:pPr>
        <w:pStyle w:val="FirstParagraph"/>
      </w:pPr>
      <w:r>
        <w:t xml:space="preserve">The column describes the procedure in Migneret’s pamphlet</w:t>
      </w:r>
      <w:r>
        <w:t xml:space="preserve"> </w:t>
      </w:r>
      <w:r>
        <w:t xml:space="preserve">(1759)</w:t>
      </w:r>
      <w:r>
        <w:t xml:space="preserve"> </w:t>
      </w:r>
      <w:r>
        <w:t xml:space="preserve">by which a question of nine words yields a Latin hexameter. This annex presents a short R program that carries out that procedure, and shows what it does. The program is a separate file,</w:t>
      </w:r>
      <w:r>
        <w:t xml:space="preserve"> </w:t>
      </w:r>
      <w:r>
        <w:rPr>
          <w:rStyle w:val="VerbatimChar"/>
        </w:rPr>
        <w:t xml:space="preserve">oracle.R</w:t>
      </w:r>
      <w:r>
        <w:t xml:space="preserve"> </w:t>
      </w:r>
      <w:r>
        <w:t xml:space="preserve">(about 220 lines of base R, including the two tables of the pamphlet), and comes with</w:t>
      </w:r>
      <w:r>
        <w:t xml:space="preserve"> </w:t>
      </w:r>
      <w:r>
        <w:rPr>
          <w:rStyle w:val="VerbatimChar"/>
        </w:rPr>
        <w:t xml:space="preserve">oracle-tests.R</w:t>
      </w:r>
      <w:r>
        <w:t xml:space="preserve">, a set of 40 checks against the worked examples printed in the pamphlet. It is meant to be read as a transcription of Migneret’s instructions into code: each step of the column is a small function, and</w:t>
      </w:r>
      <w:r>
        <w:t xml:space="preserve"> </w:t>
      </w:r>
      <w:r>
        <w:rPr>
          <w:rStyle w:val="VerbatimChar"/>
        </w:rPr>
        <w:t xml:space="preserve">Oracle()</w:t>
      </w:r>
      <w:r>
        <w:t xml:space="preserve"> </w:t>
      </w:r>
      <w:r>
        <w:t xml:space="preserve">chains them.</w:t>
      </w:r>
    </w:p>
    <w:p>
      <w:pPr>
        <w:pStyle w:val="BodyText"/>
      </w:pPr>
      <w:r>
        <w:t xml:space="preserve">The files are available from a public GitHub repository,</w:t>
      </w:r>
      <w:r>
        <w:t xml:space="preserve"> </w:t>
      </w:r>
      <w:hyperlink r:id="rId18">
        <w:r>
          <w:rPr>
            <w:rStyle w:val="Hyperlink"/>
          </w:rPr>
          <w:t xml:space="preserve">https://github.com/friendly/chatgpt-1759</w:t>
        </w:r>
      </w:hyperlink>
      <w:r>
        <w:t xml:space="preserve">, in its</w:t>
      </w:r>
      <w:r>
        <w:t xml:space="preserve"> </w:t>
      </w:r>
      <w:r>
        <w:rPr>
          <w:rStyle w:val="VerbatimChar"/>
        </w:rPr>
        <w:t xml:space="preserve">R/</w:t>
      </w:r>
      <w:r>
        <w:t xml:space="preserve"> </w:t>
      </w:r>
      <w:r>
        <w:t xml:space="preserve">folder:</w:t>
      </w:r>
      <w:r>
        <w:t xml:space="preserve"> </w:t>
      </w:r>
      <w:r>
        <w:rPr>
          <w:rStyle w:val="VerbatimChar"/>
        </w:rPr>
        <w:t xml:space="preserve">oracle.R</w:t>
      </w:r>
      <w:r>
        <w:t xml:space="preserve">,</w:t>
      </w:r>
      <w:r>
        <w:t xml:space="preserve"> </w:t>
      </w:r>
      <w:r>
        <w:rPr>
          <w:rStyle w:val="VerbatimChar"/>
        </w:rPr>
        <w:t xml:space="preserve">oracle-tests.R</w:t>
      </w:r>
      <w:r>
        <w:t xml:space="preserve">, and</w:t>
      </w:r>
      <w:r>
        <w:t xml:space="preserve"> </w:t>
      </w:r>
      <w:r>
        <w:rPr>
          <w:rStyle w:val="VerbatimChar"/>
        </w:rPr>
        <w:t xml:space="preserve">oracle-modern.R</w:t>
      </w:r>
      <w:r>
        <w:t xml:space="preserve"> </w:t>
      </w:r>
      <w:r>
        <w:t xml:space="preserve">(the Oracle asked four modern questions, referred to in the column). Download the repository, or save the files individually from there.</w:t>
      </w:r>
    </w:p>
    <w:p>
      <w:pPr>
        <w:pStyle w:val="BodyText"/>
      </w:pPr>
      <w:r>
        <w:t xml:space="preserve">To use it, source the file and ask a question. The</w:t>
      </w:r>
      <w:r>
        <w:t xml:space="preserve"> </w:t>
      </w:r>
      <w:r>
        <w:rPr>
          <w:rStyle w:val="VerbatimChar"/>
        </w:rPr>
        <w:t xml:space="preserve">encoding</w:t>
      </w:r>
      <w:r>
        <w:t xml:space="preserve"> </w:t>
      </w:r>
      <w:r>
        <w:t xml:space="preserve">argument matters on systems where R does not read files as UTF-8 by default.</w:t>
      </w:r>
    </w:p>
    <w:p>
      <w:pPr>
        <w:pStyle w:val="SourceCode"/>
      </w:pPr>
      <w:r>
        <w:rPr>
          <w:rStyle w:val="FunctionTok"/>
        </w:rPr>
        <w:t xml:space="preserve">source</w:t>
      </w:r>
      <w:r>
        <w:rPr>
          <w:rStyle w:val="NormalTok"/>
        </w:rPr>
        <w:t xml:space="preserve">(</w:t>
      </w:r>
      <w:r>
        <w:rPr>
          <w:rStyle w:val="StringTok"/>
        </w:rPr>
        <w:t xml:space="preserve">"oracle.R"</w:t>
      </w:r>
      <w:r>
        <w:rPr>
          <w:rStyle w:val="NormalTok"/>
        </w:rPr>
        <w:t xml:space="preserve">, </w:t>
      </w:r>
      <w:r>
        <w:rPr>
          <w:rStyle w:val="AttributeTok"/>
        </w:rPr>
        <w:t xml:space="preserve">encoding =</w:t>
      </w:r>
      <w:r>
        <w:rPr>
          <w:rStyle w:val="NormalTok"/>
        </w:rPr>
        <w:t xml:space="preserve"> </w:t>
      </w:r>
      <w:r>
        <w:rPr>
          <w:rStyle w:val="StringTok"/>
        </w:rPr>
        <w:t xml:space="preserve">"UTF-8"</w:t>
      </w:r>
      <w:r>
        <w:rPr>
          <w:rStyle w:val="NormalTok"/>
        </w:rPr>
        <w:t xml:space="preserve">)</w:t>
      </w:r>
    </w:p>
    <w:bookmarkEnd w:id="19"/>
    <w:bookmarkStart w:id="20" w:name="using-the-oracle"/>
    <w:p>
      <w:pPr>
        <w:pStyle w:val="Heading2"/>
      </w:pPr>
      <w:r>
        <w:t xml:space="preserve">Using the Oracle</w:t>
      </w:r>
    </w:p>
    <w:p>
      <w:pPr>
        <w:pStyle w:val="FirstParagraph"/>
      </w:pPr>
      <w:r>
        <w:rPr>
          <w:rStyle w:val="VerbatimChar"/>
        </w:rPr>
        <w:t xml:space="preserve">Oracle(question, output, show.steps)</w:t>
      </w:r>
      <w:r>
        <w:t xml:space="preserve"> </w:t>
      </w:r>
      <w:r>
        <w:t xml:space="preserve">takes a question as a single string, or as a vector of words. The question of Table 1 in the column, in Migneret’s words:</w:t>
      </w:r>
    </w:p>
    <w:p>
      <w:pPr>
        <w:pStyle w:val="SourceCode"/>
      </w:pPr>
      <w:r>
        <w:rPr>
          <w:rStyle w:val="FunctionTok"/>
        </w:rPr>
        <w:t xml:space="preserve">Oracle</w:t>
      </w:r>
      <w:r>
        <w:rPr>
          <w:rStyle w:val="NormalTok"/>
        </w:rPr>
        <w:t xml:space="preserve">(</w:t>
      </w:r>
      <w:r>
        <w:rPr>
          <w:rStyle w:val="StringTok"/>
        </w:rPr>
        <w:t xml:space="preserve">"Celui que j'aime deviendra-t-il cette année mon époux ?"</w:t>
      </w:r>
      <w:r>
        <w:rPr>
          <w:rStyle w:val="NormalTok"/>
        </w:rPr>
        <w:t xml:space="preserve">)</w:t>
      </w:r>
    </w:p>
    <w:p>
      <w:pPr>
        <w:pStyle w:val="SourceCode"/>
      </w:pPr>
      <w:r>
        <w:rPr>
          <w:rStyle w:val="VerbatimChar"/>
        </w:rPr>
        <w:t xml:space="preserve">Ecce equidem licite prædicit talia numen.</w:t>
      </w:r>
    </w:p>
    <w:p>
      <w:pPr>
        <w:pStyle w:val="FirstParagraph"/>
      </w:pPr>
      <w:r>
        <w:t xml:space="preserve">With</w:t>
      </w:r>
      <w:r>
        <w:t xml:space="preserve"> </w:t>
      </w:r>
      <w:r>
        <w:rPr>
          <w:rStyle w:val="VerbatimChar"/>
        </w:rPr>
        <w:t xml:space="preserve">show.steps = TRUE</w:t>
      </w:r>
      <w:r>
        <w:t xml:space="preserve">, the program shows every step of the column: the nine words, their letter sums, the key of remainders modulo 9, the triangle, the six lines of the grid with the numbers they yield, and the look-up in the two tables. Here it is for the second question of Table 1, spelled as in the pamphlet, with the eighteenth-century</w:t>
      </w:r>
      <w:r>
        <w:t xml:space="preserve"> </w:t>
      </w:r>
      <w:r>
        <w:rPr>
          <w:i/>
          <w:iCs/>
        </w:rPr>
        <w:t xml:space="preserve">François</w:t>
      </w:r>
      <w:r>
        <w:t xml:space="preserve">:</w:t>
      </w:r>
    </w:p>
    <w:p>
      <w:pPr>
        <w:pStyle w:val="SourceCode"/>
      </w:pPr>
      <w:r>
        <w:rPr>
          <w:rStyle w:val="FunctionTok"/>
        </w:rPr>
        <w:t xml:space="preserve">Oracle</w:t>
      </w:r>
      <w:r>
        <w:rPr>
          <w:rStyle w:val="NormalTok"/>
        </w:rPr>
        <w:t xml:space="preserve">(</w:t>
      </w:r>
      <w:r>
        <w:rPr>
          <w:rStyle w:val="StringTok"/>
        </w:rPr>
        <w:t xml:space="preserve">"La paix sera-t-elle prochaine et avantageuse aux François ?"</w:t>
      </w:r>
      <w:r>
        <w:rPr>
          <w:rStyle w:val="NormalTok"/>
        </w:rPr>
        <w:t xml:space="preserve">,</w:t>
      </w:r>
      <w:r>
        <w:br/>
      </w:r>
      <w:r>
        <w:rPr>
          <w:rStyle w:val="NormalTok"/>
        </w:rPr>
        <w:t xml:space="preserve">       </w:t>
      </w:r>
      <w:r>
        <w:rPr>
          <w:rStyle w:val="AttributeTok"/>
        </w:rPr>
        <w:t xml:space="preserve">show.steps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Step 1. Nine words</w:t>
      </w:r>
      <w:r>
        <w:br/>
      </w:r>
      <w:r>
        <w:rPr>
          <w:rStyle w:val="VerbatimChar"/>
        </w:rPr>
        <w:t xml:space="preserve">  la  paix  sera-t  elle  prochaine  et  avantageuse  aux  françois</w:t>
      </w:r>
      <w:r>
        <w:br/>
      </w:r>
      <w:r>
        <w:br/>
      </w:r>
      <w:r>
        <w:rPr>
          <w:rStyle w:val="VerbatimChar"/>
        </w:rPr>
        <w:t xml:space="preserve">Step 2. Letter sums</w:t>
      </w:r>
      <w:r>
        <w:br/>
      </w:r>
      <w:r>
        <w:rPr>
          <w:rStyle w:val="VerbatimChar"/>
        </w:rPr>
        <w:t xml:space="preserve">  12    46      60    32         85  24          110   42        81</w:t>
      </w:r>
      <w:r>
        <w:br/>
      </w:r>
      <w:r>
        <w:br/>
      </w:r>
      <w:r>
        <w:rPr>
          <w:rStyle w:val="VerbatimChar"/>
        </w:rPr>
        <w:t xml:space="preserve">Step 3. Sums mod 9 (a remainder of 0 counts as 9): the nine-digit key</w:t>
      </w:r>
      <w:r>
        <w:br/>
      </w:r>
      <w:r>
        <w:rPr>
          <w:rStyle w:val="VerbatimChar"/>
        </w:rPr>
        <w:t xml:space="preserve">   3     1       6     5          4   6            2    6         9</w:t>
      </w:r>
      <w:r>
        <w:br/>
      </w:r>
      <w:r>
        <w:br/>
      </w:r>
      <w:r>
        <w:rPr>
          <w:rStyle w:val="VerbatimChar"/>
        </w:rPr>
        <w:t xml:space="preserve">Step 4. The triangle</w:t>
      </w:r>
      <w:r>
        <w:br/>
      </w:r>
      <w:r>
        <w:rPr>
          <w:rStyle w:val="VerbatimChar"/>
        </w:rPr>
        <w:t xml:space="preserve">  3 1 6 5 4 6 2 6 9</w:t>
      </w:r>
      <w:r>
        <w:br/>
      </w:r>
      <w:r>
        <w:rPr>
          <w:rStyle w:val="VerbatimChar"/>
        </w:rPr>
        <w:t xml:space="preserve">   4 7 2 9 1 8 8 6</w:t>
      </w:r>
      <w:r>
        <w:br/>
      </w:r>
      <w:r>
        <w:rPr>
          <w:rStyle w:val="VerbatimChar"/>
        </w:rPr>
        <w:t xml:space="preserve">    2 9 2 1 9 7 5</w:t>
      </w:r>
      <w:r>
        <w:br/>
      </w:r>
      <w:r>
        <w:rPr>
          <w:rStyle w:val="VerbatimChar"/>
        </w:rPr>
        <w:t xml:space="preserve">     2 2 3 1 7 3</w:t>
      </w:r>
      <w:r>
        <w:br/>
      </w:r>
      <w:r>
        <w:rPr>
          <w:rStyle w:val="VerbatimChar"/>
        </w:rPr>
        <w:t xml:space="preserve">      4 5 4 8 1</w:t>
      </w:r>
      <w:r>
        <w:br/>
      </w:r>
      <w:r>
        <w:rPr>
          <w:rStyle w:val="VerbatimChar"/>
        </w:rPr>
        <w:t xml:space="preserve">       9 9 3 9</w:t>
      </w:r>
      <w:r>
        <w:br/>
      </w:r>
      <w:r>
        <w:rPr>
          <w:rStyle w:val="VerbatimChar"/>
        </w:rPr>
        <w:t xml:space="preserve">        9 3 3</w:t>
      </w:r>
      <w:r>
        <w:br/>
      </w:r>
      <w:r>
        <w:rPr>
          <w:rStyle w:val="VerbatimChar"/>
        </w:rPr>
        <w:t xml:space="preserve">         3 6</w:t>
      </w:r>
      <w:r>
        <w:br/>
      </w:r>
      <w:r>
        <w:rPr>
          <w:rStyle w:val="VerbatimChar"/>
        </w:rPr>
        <w:t xml:space="preserve">          9</w:t>
      </w:r>
      <w:r>
        <w:br/>
      </w:r>
      <w:r>
        <w:br/>
      </w:r>
      <w:r>
        <w:rPr>
          <w:rStyle w:val="VerbatimChar"/>
        </w:rPr>
        <w:t xml:space="preserve">Step 5. Six lines: column A is the band; digits of B-G become numbers</w:t>
      </w:r>
      <w:r>
        <w:br/>
      </w:r>
      <w:r>
        <w:rPr>
          <w:rStyle w:val="VerbatimChar"/>
        </w:rPr>
        <w:t xml:space="preserve">  I    band 9   digits 5 8 9 9 4 9   numbers 24 33 45 54 57 72</w:t>
      </w:r>
      <w:r>
        <w:br/>
      </w:r>
      <w:r>
        <w:rPr>
          <w:rStyle w:val="VerbatimChar"/>
        </w:rPr>
        <w:t xml:space="preserve">  II   band 6   digits 6 7 4 5 2 2   numbers 21 33 42 45 54 63</w:t>
      </w:r>
      <w:r>
        <w:br/>
      </w:r>
      <w:r>
        <w:rPr>
          <w:rStyle w:val="VerbatimChar"/>
        </w:rPr>
        <w:t xml:space="preserve">  III  band 3   digits 9 7 1 3 2 5   numbers 15 27 36 42 57 66</w:t>
      </w:r>
      <w:r>
        <w:br/>
      </w:r>
      <w:r>
        <w:rPr>
          <w:rStyle w:val="VerbatimChar"/>
        </w:rPr>
        <w:t xml:space="preserve">  IV   band 9   digits 3 8 9 1 9 2   numbers 27 33 45 48 63 69</w:t>
      </w:r>
      <w:r>
        <w:br/>
      </w:r>
      <w:r>
        <w:rPr>
          <w:rStyle w:val="VerbatimChar"/>
        </w:rPr>
        <w:t xml:space="preserve">  V    band 1   digits 3 6 8 1 4 7   numbers 11 20 35 41 50 59</w:t>
      </w:r>
      <w:r>
        <w:br/>
      </w:r>
      <w:r>
        <w:rPr>
          <w:rStyle w:val="VerbatimChar"/>
        </w:rPr>
        <w:t xml:space="preserve">  VI   band 3   digits 3 9 2 6 2 6   numbers 15 24 39 42 57 60</w:t>
      </w:r>
      <w:r>
        <w:br/>
      </w:r>
      <w:r>
        <w:br/>
      </w:r>
      <w:r>
        <w:rPr>
          <w:rStyle w:val="VerbatimChar"/>
        </w:rPr>
        <w:t xml:space="preserve">Step 6. Each number is looked up in its band: part -&gt; cell -&gt; word</w:t>
      </w:r>
      <w:r>
        <w:br/>
      </w:r>
      <w:r>
        <w:rPr>
          <w:rStyle w:val="VerbatimChar"/>
        </w:rPr>
        <w:t xml:space="preserve">  I    parts G F E D C B   cells c  r  e  +  d  o    word credo</w:t>
      </w:r>
      <w:r>
        <w:br/>
      </w:r>
      <w:r>
        <w:rPr>
          <w:rStyle w:val="VerbatimChar"/>
        </w:rPr>
        <w:t xml:space="preserve">  II   parts G F E D C B   cells s  a  +  t  j  s    word satis</w:t>
      </w:r>
      <w:r>
        <w:br/>
      </w:r>
      <w:r>
        <w:rPr>
          <w:rStyle w:val="VerbatimChar"/>
        </w:rPr>
        <w:t xml:space="preserve">  III  parts G F E D C B   cells l  j  c  +  j  te   word licite</w:t>
      </w:r>
      <w:r>
        <w:br/>
      </w:r>
      <w:r>
        <w:rPr>
          <w:rStyle w:val="VerbatimChar"/>
        </w:rPr>
        <w:t xml:space="preserve">  IV   parts G F E D C B   cells do na b  j  +  t    word donabit</w:t>
      </w:r>
      <w:r>
        <w:br/>
      </w:r>
      <w:r>
        <w:rPr>
          <w:rStyle w:val="VerbatimChar"/>
        </w:rPr>
        <w:t xml:space="preserve">  V    parts B D F G E C   cells +  f  oe +  de ra   word fœdera</w:t>
      </w:r>
      <w:r>
        <w:br/>
      </w:r>
      <w:r>
        <w:rPr>
          <w:rStyle w:val="VerbatimChar"/>
        </w:rPr>
        <w:t xml:space="preserve">  VI   parts G F E D C B   cells n  +  u  m  e  n    word numen</w:t>
      </w:r>
      <w:r>
        <w:br/>
      </w:r>
      <w:r>
        <w:br/>
      </w:r>
      <w:r>
        <w:rPr>
          <w:rStyle w:val="VerbatimChar"/>
        </w:rPr>
        <w:t xml:space="preserve">Credo satis licite donabit fœdera numen.</w:t>
      </w:r>
    </w:p>
    <w:p>
      <w:pPr>
        <w:pStyle w:val="FirstParagraph"/>
      </w:pPr>
      <w:r>
        <w:t xml:space="preserve">The machine reads letters, not meaning. With today’s spelling,</w:t>
      </w:r>
      <w:r>
        <w:t xml:space="preserve"> </w:t>
      </w:r>
      <w:r>
        <w:rPr>
          <w:i/>
          <w:iCs/>
        </w:rPr>
        <w:t xml:space="preserve">Français</w:t>
      </w:r>
      <w:r>
        <w:t xml:space="preserve">, the last sum changes and so does the answer:</w:t>
      </w:r>
    </w:p>
    <w:p>
      <w:pPr>
        <w:pStyle w:val="SourceCode"/>
      </w:pPr>
      <w:r>
        <w:rPr>
          <w:rStyle w:val="FunctionTok"/>
        </w:rPr>
        <w:t xml:space="preserve">Oracle</w:t>
      </w:r>
      <w:r>
        <w:rPr>
          <w:rStyle w:val="NormalTok"/>
        </w:rPr>
        <w:t xml:space="preserve">(</w:t>
      </w:r>
      <w:r>
        <w:rPr>
          <w:rStyle w:val="StringTok"/>
        </w:rPr>
        <w:t xml:space="preserve">"La paix sera-t-elle prochaine et avantageuse aux Français ?"</w:t>
      </w:r>
      <w:r>
        <w:rPr>
          <w:rStyle w:val="NormalTok"/>
        </w:rPr>
        <w:t xml:space="preserve">)</w:t>
      </w:r>
    </w:p>
    <w:p>
      <w:pPr>
        <w:pStyle w:val="SourceCode"/>
      </w:pPr>
      <w:r>
        <w:rPr>
          <w:rStyle w:val="VerbatimChar"/>
        </w:rPr>
        <w:t xml:space="preserve">Forte petis iuste promittit iubila tempus.</w:t>
      </w:r>
    </w:p>
    <w:p>
      <w:pPr>
        <w:pStyle w:val="FirstParagraph"/>
      </w:pPr>
      <w:r>
        <w:t xml:space="preserve">The arithmetic does not care about the language of the question. Any question of nine words with no W works (there is no W in Migneret’s alphabet):</w:t>
      </w:r>
    </w:p>
    <w:p>
      <w:pPr>
        <w:pStyle w:val="SourceCode"/>
      </w:pPr>
      <w:r>
        <w:rPr>
          <w:rStyle w:val="FunctionTok"/>
        </w:rPr>
        <w:t xml:space="preserve">Oracle</w:t>
      </w:r>
      <w:r>
        <w:rPr>
          <w:rStyle w:val="NormalTok"/>
        </w:rPr>
        <w:t xml:space="preserve">(</w:t>
      </w:r>
      <w:r>
        <w:rPr>
          <w:rStyle w:val="StringTok"/>
        </w:rPr>
        <w:t xml:space="preserve">"Shall the one I love become my husband soon"</w:t>
      </w:r>
      <w:r>
        <w:rPr>
          <w:rStyle w:val="NormalTok"/>
        </w:rPr>
        <w:t xml:space="preserve">)</w:t>
      </w:r>
    </w:p>
    <w:p>
      <w:pPr>
        <w:pStyle w:val="SourceCode"/>
      </w:pPr>
      <w:r>
        <w:rPr>
          <w:rStyle w:val="VerbatimChar"/>
        </w:rPr>
        <w:t xml:space="preserve">Tanta lubens cupido nonindet prospera sydus.</w:t>
      </w:r>
    </w:p>
    <w:bookmarkEnd w:id="20"/>
    <w:bookmarkStart w:id="21" w:name="a-helpful-oracle"/>
    <w:p>
      <w:pPr>
        <w:pStyle w:val="Heading2"/>
      </w:pPr>
      <w:r>
        <w:t xml:space="preserve">A Helpful Oracle</w:t>
      </w:r>
    </w:p>
    <w:p>
      <w:pPr>
        <w:pStyle w:val="FirstParagraph"/>
      </w:pPr>
      <w:r>
        <w:t xml:space="preserve">Migneret requires exactly nine words, and assures the reader that it is “always easy” to put a question in that form. The program tries to be as helpful as he is: when the count is wrong, it says how many words it found, shows them, and says how many to add or remove.</w:t>
      </w:r>
    </w:p>
    <w:p>
      <w:pPr>
        <w:pStyle w:val="SourceCode"/>
      </w:pPr>
      <w:r>
        <w:rPr>
          <w:rStyle w:val="NormalTok"/>
        </w:rPr>
        <w:t xml:space="preserve">answer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Oracle</w:t>
      </w:r>
      <w:r>
        <w:rPr>
          <w:rStyle w:val="NormalTok"/>
        </w:rPr>
        <w:t xml:space="preserve">(</w:t>
      </w:r>
      <w:r>
        <w:rPr>
          <w:rStyle w:val="StringTok"/>
        </w:rPr>
        <w:t xml:space="preserve">"Celui que j'aime deviendra-t-il mon époux ?"</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e)</w:t>
      </w:r>
      <w:r>
        <w:br/>
      </w:r>
      <w:r>
        <w:rPr>
          <w:rStyle w:val="FunctionTok"/>
        </w:rPr>
        <w:t xml:space="preserve">cat</w:t>
      </w:r>
      <w:r>
        <w:rPr>
          <w:rStyle w:val="NormalTok"/>
        </w:rPr>
        <w:t xml:space="preserve">(</w:t>
      </w:r>
      <w:r>
        <w:rPr>
          <w:rStyle w:val="FunctionTok"/>
        </w:rPr>
        <w:t xml:space="preserve">conditionMessage</w:t>
      </w:r>
      <w:r>
        <w:rPr>
          <w:rStyle w:val="NormalTok"/>
        </w:rPr>
        <w:t xml:space="preserve">(answer))</w:t>
      </w:r>
    </w:p>
    <w:p>
      <w:pPr>
        <w:pStyle w:val="SourceCode"/>
      </w:pPr>
      <w:r>
        <w:rPr>
          <w:rStyle w:val="VerbatimChar"/>
        </w:rPr>
        <w:t xml:space="preserve">The Oracle listens gladly, but Migneret's machine weighs questions of exactly nine words, and I count 7 in yours:</w:t>
      </w:r>
      <w:r>
        <w:br/>
      </w:r>
      <w:r>
        <w:rPr>
          <w:rStyle w:val="VerbatimChar"/>
        </w:rPr>
        <w:t xml:space="preserve">  celui | que | j'aime | deviendra-t | il | mon | époux</w:t>
      </w:r>
      <w:r>
        <w:br/>
      </w:r>
      <w:r>
        <w:rPr>
          <w:rStyle w:val="VerbatimChar"/>
        </w:rPr>
        <w:t xml:space="preserve">Add 2 more words (Migneret pads with words like "bientôt" or "cette année"), and I shall be happy to answer. Have no fear: as Migneret assures us, "il sera toujours facile d'en exprimer le sens dans ce nombre de termes" (p. 20).</w:t>
      </w:r>
      <w:r>
        <w:br/>
      </w:r>
      <w:r>
        <w:rPr>
          <w:rStyle w:val="VerbatimChar"/>
        </w:rPr>
        <w:t xml:space="preserve">(I count as he does: a euphonic "-t-" stays with the word before it, so "deviendra-t-il" is two words, "deviendra-t" and "il".)</w:t>
      </w:r>
    </w:p>
    <w:bookmarkEnd w:id="21"/>
    <w:bookmarkStart w:id="22" w:name="how-the-program-follows-the-pamphlet"/>
    <w:p>
      <w:pPr>
        <w:pStyle w:val="Heading2"/>
      </w:pPr>
      <w:r>
        <w:t xml:space="preserve">How the program follows the pamphlet</w:t>
      </w:r>
    </w:p>
    <w:p>
      <w:pPr>
        <w:pStyle w:val="Titreillustration"/>
      </w:pPr>
      <w:r>
        <w:t xml:space="preserve">Table A1: The steps of the column and the functions of</w:t>
      </w:r>
      <w:r>
        <w:t xml:space="preserve"> </w:t>
      </w:r>
      <w:r>
        <w:rPr>
          <w:rStyle w:val="VerbatimChar"/>
        </w:rPr>
        <w:t xml:space="preserve">oracle.R</w:t>
      </w:r>
    </w:p>
    <w:tbl>
      <w:tblPr>
        <w:tblStyle w:val="Table"/>
        <w:tblW w:type="pct" w:w="5000"/>
        <w:tblLayout w:type="fixed"/>
        <w:tblLook w:firstRow="1" w:lastRow="0" w:firstColumn="0" w:lastColumn="0" w:noHBand="0" w:noVBand="0" w:val="0020"/>
      </w:tblPr>
      <w:tblGrid>
        <w:gridCol w:w="516"/>
        <w:gridCol w:w="2668"/>
        <w:gridCol w:w="946"/>
        <w:gridCol w:w="3787"/>
      </w:tblGrid>
      <w:tr>
        <w:trPr>
          <w:tblHeader w:val="on"/>
        </w:trPr>
        <w:tc>
          <w:tcPr/>
          <w:p>
            <w:pPr>
              <w:pStyle w:val="Compact"/>
              <w:jc w:val="left"/>
            </w:pPr>
            <w:r>
              <w:t xml:space="preserve">Step</w:t>
            </w:r>
          </w:p>
        </w:tc>
        <w:tc>
          <w:tcPr/>
          <w:p>
            <w:pPr>
              <w:pStyle w:val="Compact"/>
              <w:jc w:val="left"/>
            </w:pPr>
            <w:r>
              <w:t xml:space="preserve">Functions</w:t>
            </w:r>
          </w:p>
        </w:tc>
        <w:tc>
          <w:tcPr/>
          <w:p>
            <w:pPr>
              <w:pStyle w:val="Compact"/>
              <w:jc w:val="left"/>
            </w:pPr>
            <w:r>
              <w:t xml:space="preserve">Pamphlet</w:t>
            </w:r>
          </w:p>
        </w:tc>
        <w:tc>
          <w:tcPr/>
          <w:p>
            <w:pPr>
              <w:pStyle w:val="Compact"/>
              <w:jc w:val="left"/>
            </w:pPr>
            <w:r>
              <w:t xml:space="preserve">What they do</w:t>
            </w:r>
          </w:p>
        </w:tc>
      </w:tr>
      <w:tr>
        <w:tc>
          <w:tcPr/>
          <w:p>
            <w:pPr>
              <w:pStyle w:val="Compact"/>
              <w:jc w:val="left"/>
            </w:pPr>
            <w:r>
              <w:t xml:space="preserve">1</w:t>
            </w:r>
          </w:p>
        </w:tc>
        <w:tc>
          <w:tcPr/>
          <w:p>
            <w:pPr>
              <w:pStyle w:val="Compact"/>
              <w:jc w:val="left"/>
            </w:pPr>
            <w:r>
              <w:rPr>
                <w:rStyle w:val="VerbatimChar"/>
              </w:rPr>
              <w:t xml:space="preserve">normalize_question()</w:t>
            </w:r>
            <w:r>
              <w:t xml:space="preserve">,</w:t>
            </w:r>
            <w:r>
              <w:t xml:space="preserve"> </w:t>
            </w:r>
            <w:r>
              <w:rPr>
                <w:rStyle w:val="VerbatimChar"/>
              </w:rPr>
              <w:t xml:space="preserve">check_nine()</w:t>
            </w:r>
          </w:p>
        </w:tc>
        <w:tc>
          <w:tcPr/>
          <w:p>
            <w:pPr>
              <w:pStyle w:val="Compact"/>
              <w:jc w:val="left"/>
            </w:pPr>
            <w:r>
              <w:t xml:space="preserve">pp. 20–21</w:t>
            </w:r>
          </w:p>
        </w:tc>
        <w:tc>
          <w:tcPr/>
          <w:p>
            <w:pPr>
              <w:pStyle w:val="Compact"/>
              <w:jc w:val="left"/>
            </w:pPr>
            <w:r>
              <w:t xml:space="preserve">Split the question into exactly nine words; a euphonic</w:t>
            </w:r>
            <w:r>
              <w:t xml:space="preserve"> </w:t>
            </w:r>
            <w:r>
              <w:rPr>
                <w:i/>
                <w:iCs/>
              </w:rPr>
              <w:t xml:space="preserve">-t-</w:t>
            </w:r>
            <w:r>
              <w:t xml:space="preserve"> </w:t>
            </w:r>
            <w:r>
              <w:t xml:space="preserve">stays with the word before it</w:t>
            </w:r>
          </w:p>
        </w:tc>
      </w:tr>
      <w:tr>
        <w:tc>
          <w:tcPr/>
          <w:p>
            <w:pPr>
              <w:pStyle w:val="Compact"/>
              <w:jc w:val="left"/>
            </w:pPr>
            <w:r>
              <w:t xml:space="preserve">2</w:t>
            </w:r>
          </w:p>
        </w:tc>
        <w:tc>
          <w:tcPr/>
          <w:p>
            <w:pPr>
              <w:pStyle w:val="Compact"/>
              <w:jc w:val="left"/>
            </w:pPr>
            <w:r>
              <w:rPr>
                <w:rStyle w:val="VerbatimChar"/>
              </w:rPr>
              <w:t xml:space="preserve">word_sums()</w:t>
            </w:r>
            <w:r>
              <w:t xml:space="preserve">,</w:t>
            </w:r>
            <w:r>
              <w:t xml:space="preserve"> </w:t>
            </w:r>
            <w:r>
              <w:rPr>
                <w:rStyle w:val="VerbatimChar"/>
              </w:rPr>
              <w:t xml:space="preserve">letter_values</w:t>
            </w:r>
          </w:p>
        </w:tc>
        <w:tc>
          <w:tcPr/>
          <w:p>
            <w:pPr>
              <w:pStyle w:val="Compact"/>
              <w:jc w:val="left"/>
            </w:pPr>
            <w:r>
              <w:t xml:space="preserve">pp. 22–25</w:t>
            </w:r>
          </w:p>
        </w:tc>
        <w:tc>
          <w:tcPr/>
          <w:p>
            <w:pPr>
              <w:pStyle w:val="Compact"/>
              <w:jc w:val="left"/>
            </w:pPr>
            <w:r>
              <w:t xml:space="preserve">Letter to number (A = 1 … Z = 23, I = J, U = V, no W); one sum per word</w:t>
            </w:r>
          </w:p>
        </w:tc>
      </w:tr>
      <w:tr>
        <w:tc>
          <w:tcPr/>
          <w:p>
            <w:pPr>
              <w:pStyle w:val="Compact"/>
              <w:jc w:val="left"/>
            </w:pPr>
            <w:r>
              <w:t xml:space="preserve">3</w:t>
            </w:r>
          </w:p>
        </w:tc>
        <w:tc>
          <w:tcPr/>
          <w:p>
            <w:pPr>
              <w:pStyle w:val="Compact"/>
              <w:jc w:val="left"/>
            </w:pPr>
            <w:r>
              <w:rPr>
                <w:rStyle w:val="VerbatimChar"/>
              </w:rPr>
              <w:t xml:space="preserve">mod9()</w:t>
            </w:r>
          </w:p>
        </w:tc>
        <w:tc>
          <w:tcPr/>
          <w:p>
            <w:pPr>
              <w:pStyle w:val="Compact"/>
              <w:jc w:val="left"/>
            </w:pPr>
            <w:r>
              <w:t xml:space="preserve">pp. 25–26</w:t>
            </w:r>
          </w:p>
        </w:tc>
        <w:tc>
          <w:tcPr/>
          <w:p>
            <w:pPr>
              <w:pStyle w:val="Compact"/>
              <w:jc w:val="left"/>
            </w:pPr>
            <w:r>
              <w:t xml:space="preserve">Remainder of each sum divided by 9; a remainder of 0 counts as 9</w:t>
            </w:r>
          </w:p>
        </w:tc>
      </w:tr>
      <w:tr>
        <w:tc>
          <w:tcPr/>
          <w:p>
            <w:pPr>
              <w:pStyle w:val="Compact"/>
              <w:jc w:val="left"/>
            </w:pPr>
            <w:r>
              <w:t xml:space="preserve">4</w:t>
            </w:r>
          </w:p>
        </w:tc>
        <w:tc>
          <w:tcPr/>
          <w:p>
            <w:pPr>
              <w:pStyle w:val="Compact"/>
              <w:jc w:val="left"/>
            </w:pPr>
            <w:r>
              <w:rPr>
                <w:rStyle w:val="VerbatimChar"/>
              </w:rPr>
              <w:t xml:space="preserve">mix_triangle()</w:t>
            </w:r>
          </w:p>
        </w:tc>
        <w:tc>
          <w:tcPr/>
          <w:p>
            <w:pPr>
              <w:pStyle w:val="Compact"/>
              <w:jc w:val="left"/>
            </w:pPr>
            <w:r>
              <w:t xml:space="preserve">pp. 26–30</w:t>
            </w:r>
          </w:p>
        </w:tc>
        <w:tc>
          <w:tcPr/>
          <w:p>
            <w:pPr>
              <w:pStyle w:val="Compact"/>
              <w:jc w:val="left"/>
            </w:pPr>
            <w:r>
              <w:t xml:space="preserve">Remainders of adjacent pairs, row by row, down to a single digit</w:t>
            </w:r>
          </w:p>
        </w:tc>
      </w:tr>
      <w:tr>
        <w:tc>
          <w:tcPr/>
          <w:p>
            <w:pPr>
              <w:pStyle w:val="Compact"/>
              <w:jc w:val="left"/>
            </w:pPr>
            <w:r>
              <w:t xml:space="preserve">5</w:t>
            </w:r>
          </w:p>
        </w:tc>
        <w:tc>
          <w:tcPr/>
          <w:p>
            <w:pPr>
              <w:pStyle w:val="Compact"/>
              <w:jc w:val="left"/>
            </w:pPr>
            <w:r>
              <w:rPr>
                <w:rStyle w:val="VerbatimChar"/>
              </w:rPr>
              <w:t xml:space="preserve">triangle_columns()</w:t>
            </w:r>
            <w:r>
              <w:t xml:space="preserve">,</w:t>
            </w:r>
            <w:r>
              <w:t xml:space="preserve"> </w:t>
            </w:r>
            <w:r>
              <w:rPr>
                <w:rStyle w:val="VerbatimChar"/>
              </w:rPr>
              <w:t xml:space="preserve">grid_from_triangle()</w:t>
            </w:r>
            <w:r>
              <w:t xml:space="preserve">,</w:t>
            </w:r>
            <w:r>
              <w:t xml:space="preserve"> </w:t>
            </w:r>
            <w:r>
              <w:rPr>
                <w:rStyle w:val="VerbatimChar"/>
              </w:rPr>
              <w:t xml:space="preserve">grid_numbers()</w:t>
            </w:r>
          </w:p>
        </w:tc>
        <w:tc>
          <w:tcPr/>
          <w:p>
            <w:pPr>
              <w:pStyle w:val="Compact"/>
              <w:jc w:val="left"/>
            </w:pPr>
            <w:r>
              <w:t xml:space="preserve">pp. 33–43</w:t>
            </w:r>
          </w:p>
        </w:tc>
        <w:tc>
          <w:tcPr/>
          <w:p>
            <w:pPr>
              <w:pStyle w:val="Compact"/>
              <w:jc w:val="left"/>
            </w:pPr>
            <w:r>
              <w:t xml:space="preserve">Read the triangle in columns, lay it out in six lines by seven columns, turn each digit into a number</w:t>
            </w:r>
          </w:p>
        </w:tc>
      </w:tr>
      <w:tr>
        <w:tc>
          <w:tcPr/>
          <w:p>
            <w:pPr>
              <w:pStyle w:val="Compact"/>
              <w:jc w:val="left"/>
            </w:pPr>
            <w:r>
              <w:t xml:space="preserve">6</w:t>
            </w:r>
          </w:p>
        </w:tc>
        <w:tc>
          <w:tcPr/>
          <w:p>
            <w:pPr>
              <w:pStyle w:val="Compact"/>
              <w:jc w:val="left"/>
            </w:pPr>
            <w:r>
              <w:rPr>
                <w:rStyle w:val="VerbatimChar"/>
              </w:rPr>
              <w:t xml:space="preserve">look_up()</w:t>
            </w:r>
            <w:r>
              <w:t xml:space="preserve">,</w:t>
            </w:r>
            <w:r>
              <w:t xml:space="preserve"> </w:t>
            </w:r>
            <w:r>
              <w:rPr>
                <w:rStyle w:val="VerbatimChar"/>
              </w:rPr>
              <w:t xml:space="preserve">tabula_prima</w:t>
            </w:r>
            <w:r>
              <w:t xml:space="preserve">,</w:t>
            </w:r>
            <w:r>
              <w:t xml:space="preserve"> </w:t>
            </w:r>
            <w:r>
              <w:rPr>
                <w:rStyle w:val="VerbatimChar"/>
              </w:rPr>
              <w:t xml:space="preserve">tabula_secunda</w:t>
            </w:r>
          </w:p>
        </w:tc>
        <w:tc>
          <w:tcPr/>
          <w:p>
            <w:pPr>
              <w:pStyle w:val="Compact"/>
              <w:jc w:val="left"/>
            </w:pPr>
            <w:r>
              <w:t xml:space="preserve">pp. 46–52 and plate</w:t>
            </w:r>
          </w:p>
        </w:tc>
        <w:tc>
          <w:tcPr/>
          <w:p>
            <w:pPr>
              <w:pStyle w:val="Compact"/>
              <w:jc w:val="left"/>
            </w:pPr>
            <w:r>
              <w:t xml:space="preserve">Look the numbers up in the two tables, and read the letters that spell each word</w:t>
            </w:r>
          </w:p>
        </w:tc>
      </w:tr>
    </w:tbl>
    <w:p>
      <w:pPr>
        <w:pStyle w:val="Légendeillustration"/>
      </w:pPr>
      <w:r>
        <w:t xml:space="preserve">Reading note: page numbers are those printed in the pamphlet.</w:t>
      </w:r>
      <w:r>
        <w:t xml:space="preserve"> </w:t>
      </w:r>
      <w:r>
        <w:rPr>
          <w:rStyle w:val="VerbatimChar"/>
        </w:rPr>
        <w:t xml:space="preserve">Oracle()</w:t>
      </w:r>
      <w:r>
        <w:t xml:space="preserve"> </w:t>
      </w:r>
      <w:r>
        <w:t xml:space="preserve">chains the six steps;</w:t>
      </w:r>
      <w:r>
        <w:t xml:space="preserve"> </w:t>
      </w:r>
      <w:r>
        <w:rPr>
          <w:rStyle w:val="VerbatimChar"/>
        </w:rPr>
        <w:t xml:space="preserve">format_steps()</w:t>
      </w:r>
      <w:r>
        <w:t xml:space="preserve"> </w:t>
      </w:r>
      <w:r>
        <w:t xml:space="preserve">and</w:t>
      </w:r>
      <w:r>
        <w:t xml:space="preserve"> </w:t>
      </w:r>
      <w:r>
        <w:rPr>
          <w:rStyle w:val="VerbatimChar"/>
        </w:rPr>
        <w:t xml:space="preserve">print.oracle()</w:t>
      </w:r>
      <w:r>
        <w:t xml:space="preserve"> </w:t>
      </w:r>
      <w:r>
        <w:t xml:space="preserve">display them.</w:t>
      </w:r>
    </w:p>
    <w:p>
      <w:pPr>
        <w:pStyle w:val="Créditsillustration"/>
      </w:pPr>
      <w:r>
        <w:t xml:space="preserve">Credits: the author.</w:t>
      </w:r>
    </w:p>
    <w:p>
      <w:pPr>
        <w:pStyle w:val="BodyText"/>
      </w:pPr>
      <w:r>
        <w:t xml:space="preserve">Steps 3 and 4 are the shortest in the program. In R, Migneret’s remainder (zero counting as 9) and his whole triangle take four lines:</w:t>
      </w:r>
    </w:p>
    <w:p>
      <w:pPr>
        <w:pStyle w:val="SourceCode"/>
      </w:pPr>
      <w:r>
        <w:rPr>
          <w:rStyle w:val="NormalTok"/>
        </w:rPr>
        <w:t xml:space="preserve">mod9 </w:t>
      </w:r>
      <w:r>
        <w:rPr>
          <w:rStyle w:val="OtherTok"/>
        </w:rPr>
        <w:t xml:space="preserve">&lt;-</w:t>
      </w:r>
      <w:r>
        <w:rPr>
          <w:rStyle w:val="NormalTok"/>
        </w:rPr>
        <w:t xml:space="preserve"> </w:t>
      </w:r>
      <w:r>
        <w:rPr>
          <w:rStyle w:val="ControlFlowTok"/>
        </w:rPr>
        <w:t xml:space="preserve">function</w:t>
      </w:r>
      <w:r>
        <w:rPr>
          <w:rStyle w:val="NormalTok"/>
        </w:rPr>
        <w:t xml:space="preserve">(x) (x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DecValTok"/>
        </w:rPr>
        <w:t xml:space="preserve">1</w:t>
      </w:r>
      <w:r>
        <w:br/>
      </w:r>
      <w:r>
        <w:br/>
      </w:r>
      <w:r>
        <w:rPr>
          <w:rStyle w:val="NormalTok"/>
        </w:rPr>
        <w:t xml:space="preserve">mix_triangle </w:t>
      </w:r>
      <w:r>
        <w:rPr>
          <w:rStyle w:val="OtherTok"/>
        </w:rPr>
        <w:t xml:space="preserve">&lt;-</w:t>
      </w:r>
      <w:r>
        <w:rPr>
          <w:rStyle w:val="NormalTok"/>
        </w:rPr>
        <w:t xml:space="preserve"> </w:t>
      </w:r>
      <w:r>
        <w:rPr>
          <w:rStyle w:val="ControlFlowTok"/>
        </w:rPr>
        <w:t xml:space="preserve">function</w:t>
      </w:r>
      <w:r>
        <w:rPr>
          <w:rStyle w:val="NormalTok"/>
        </w:rPr>
        <w:t xml:space="preserve">(key) {</w:t>
      </w:r>
      <w:r>
        <w:br/>
      </w:r>
      <w:r>
        <w:rPr>
          <w:rStyle w:val="NormalTok"/>
        </w:rPr>
        <w:t xml:space="preserve">  </w:t>
      </w:r>
      <w:r>
        <w:rPr>
          <w:rStyle w:val="FunctionTok"/>
        </w:rPr>
        <w:t xml:space="preserve">Reduce</w:t>
      </w:r>
      <w:r>
        <w:rPr>
          <w:rStyle w:val="NormalTok"/>
        </w:rPr>
        <w:t xml:space="preserve">(</w:t>
      </w:r>
      <w:r>
        <w:rPr>
          <w:rStyle w:val="ControlFlowTok"/>
        </w:rPr>
        <w:t xml:space="preserve">function</w:t>
      </w:r>
      <w:r>
        <w:rPr>
          <w:rStyle w:val="NormalTok"/>
        </w:rPr>
        <w:t xml:space="preserve">(row, i) </w:t>
      </w:r>
      <w:r>
        <w:rPr>
          <w:rStyle w:val="FunctionTok"/>
        </w:rPr>
        <w:t xml:space="preserve">mod9</w:t>
      </w:r>
      <w:r>
        <w:rPr>
          <w:rStyle w:val="NormalTok"/>
        </w:rPr>
        <w:t xml:space="preserve">(</w:t>
      </w:r>
      <w:r>
        <w:rPr>
          <w:rStyle w:val="FunctionTok"/>
        </w:rPr>
        <w:t xml:space="preserve">head</w:t>
      </w:r>
      <w:r>
        <w:rPr>
          <w:rStyle w:val="NormalTok"/>
        </w:rPr>
        <w:t xml:space="preserve">(row,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tail</w:t>
      </w:r>
      <w:r>
        <w:rPr>
          <w:rStyle w:val="NormalTok"/>
        </w:rPr>
        <w:t xml:space="preserve">(row,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seq_len</w:t>
      </w:r>
      <w:r>
        <w:rPr>
          <w:rStyle w:val="NormalTok"/>
        </w:rPr>
        <w:t xml:space="preserve">(</w:t>
      </w:r>
      <w:r>
        <w:rPr>
          <w:rStyle w:val="FunctionTok"/>
        </w:rPr>
        <w:t xml:space="preserve">length</w:t>
      </w:r>
      <w:r>
        <w:rPr>
          <w:rStyle w:val="NormalTok"/>
        </w:rPr>
        <w:t xml:space="preserve">(key) </w:t>
      </w:r>
      <w:r>
        <w:rPr>
          <w:rStyle w:val="SpecialCharTok"/>
        </w:rPr>
        <w:t xml:space="preserve">-</w:t>
      </w:r>
      <w:r>
        <w:rPr>
          <w:rStyle w:val="NormalTok"/>
        </w:rPr>
        <w:t xml:space="preserve"> </w:t>
      </w:r>
      <w:r>
        <w:rPr>
          <w:rStyle w:val="DecValTok"/>
        </w:rPr>
        <w:t xml:space="preserve">1</w:t>
      </w:r>
      <w:r>
        <w:rPr>
          <w:rStyle w:val="NormalTok"/>
        </w:rPr>
        <w:t xml:space="preserve">), key, </w:t>
      </w:r>
      <w:r>
        <w:rPr>
          <w:rStyle w:val="AttributeTok"/>
        </w:rPr>
        <w:t xml:space="preserve">accumulate =</w:t>
      </w:r>
      <w:r>
        <w:rPr>
          <w:rStyle w:val="NormalTok"/>
        </w:rPr>
        <w:t xml:space="preserve"> </w:t>
      </w:r>
      <w:r>
        <w:rPr>
          <w:rStyle w:val="ConstantTok"/>
        </w:rPr>
        <w:t xml:space="preserve">TRUE</w:t>
      </w:r>
      <w:r>
        <w:rPr>
          <w:rStyle w:val="NormalTok"/>
        </w:rPr>
        <w:t xml:space="preserve">)</w:t>
      </w:r>
      <w:r>
        <w:br/>
      </w:r>
      <w:r>
        <w:rPr>
          <w:rStyle w:val="NormalTok"/>
        </w:rPr>
        <w:t xml:space="preserve">}</w:t>
      </w:r>
    </w:p>
    <w:bookmarkEnd w:id="22"/>
    <w:bookmarkStart w:id="23" w:name="what-the-oracle-can-say"/>
    <w:p>
      <w:pPr>
        <w:pStyle w:val="Heading2"/>
      </w:pPr>
      <w:r>
        <w:t xml:space="preserve">What the Oracle can say</w:t>
      </w:r>
    </w:p>
    <w:p>
      <w:pPr>
        <w:pStyle w:val="FirstParagraph"/>
      </w:pPr>
      <w:r>
        <w:t xml:space="preserve">Implementing Step 5 showed something the pamphlet does not say. Every digit of the grid except those of column A is used only to compute numbers, and those numbers lead to the same part of the tables whatever the digit was. The proof is by construction: below, the digits of columns B to G are all set to 1, and only the band (the digit of column A) is varied. The program then spells, for each of the six lines of the verse and each of the nine bands, the word that the tables give.</w:t>
      </w:r>
    </w:p>
    <w:p>
      <w:pPr>
        <w:pStyle w:val="SourceCode"/>
      </w:pPr>
      <w:r>
        <w:rPr>
          <w:rStyle w:val="NormalTok"/>
        </w:rPr>
        <w:t xml:space="preserve">roman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w:t>
      </w:r>
      <w:r>
        <w:rPr>
          <w:rStyle w:val="NormalTok"/>
        </w:rPr>
        <w:t xml:space="preserve">, </w:t>
      </w:r>
      <w:r>
        <w:rPr>
          <w:rStyle w:val="StringTok"/>
        </w:rPr>
        <w:t xml:space="preserve">"II"</w:t>
      </w:r>
      <w:r>
        <w:rPr>
          <w:rStyle w:val="NormalTok"/>
        </w:rPr>
        <w:t xml:space="preserve">, </w:t>
      </w:r>
      <w:r>
        <w:rPr>
          <w:rStyle w:val="StringTok"/>
        </w:rPr>
        <w:t xml:space="preserve">"III"</w:t>
      </w:r>
      <w:r>
        <w:rPr>
          <w:rStyle w:val="NormalTok"/>
        </w:rPr>
        <w:t xml:space="preserve">, </w:t>
      </w:r>
      <w:r>
        <w:rPr>
          <w:rStyle w:val="StringTok"/>
        </w:rPr>
        <w:t xml:space="preserve">"IV"</w:t>
      </w:r>
      <w:r>
        <w:rPr>
          <w:rStyle w:val="NormalTok"/>
        </w:rPr>
        <w:t xml:space="preserve">, </w:t>
      </w:r>
      <w:r>
        <w:rPr>
          <w:rStyle w:val="StringTok"/>
        </w:rPr>
        <w:t xml:space="preserve">"V"</w:t>
      </w:r>
      <w:r>
        <w:rPr>
          <w:rStyle w:val="NormalTok"/>
        </w:rPr>
        <w:t xml:space="preserve">, </w:t>
      </w:r>
      <w:r>
        <w:rPr>
          <w:rStyle w:val="StringTok"/>
        </w:rPr>
        <w:t xml:space="preserve">"VI"</w:t>
      </w:r>
      <w:r>
        <w:rPr>
          <w:rStyle w:val="NormalTok"/>
        </w:rPr>
        <w:t xml:space="preserve">)</w:t>
      </w:r>
      <w:r>
        <w:br/>
      </w:r>
      <w:r>
        <w:rPr>
          <w:rStyle w:val="NormalTok"/>
        </w:rPr>
        <w:t xml:space="preserve">dummy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(roman, LETTERS[</w:t>
      </w:r>
      <w:r>
        <w:rPr>
          <w:rStyle w:val="DecValTok"/>
        </w:rPr>
        <w:t xml:space="preserve">1</w:t>
      </w:r>
      <w:r>
        <w:rPr>
          <w:rStyle w:val="SpecialCharTok"/>
        </w:rPr>
        <w:t xml:space="preserve">:</w:t>
      </w:r>
      <w:r>
        <w:rPr>
          <w:rStyle w:val="DecValTok"/>
        </w:rPr>
        <w:t xml:space="preserve">7</w:t>
      </w:r>
      <w:r>
        <w:rPr>
          <w:rStyle w:val="NormalTok"/>
        </w:rPr>
        <w:t xml:space="preserve">]))</w:t>
      </w:r>
      <w:r>
        <w:br/>
      </w:r>
      <w:r>
        <w:rPr>
          <w:rStyle w:val="NormalTok"/>
        </w:rPr>
        <w:t xml:space="preserve">word_for </w:t>
      </w:r>
      <w:r>
        <w:rPr>
          <w:rStyle w:val="OtherTok"/>
        </w:rPr>
        <w:t xml:space="preserve">&lt;-</w:t>
      </w:r>
      <w:r>
        <w:rPr>
          <w:rStyle w:val="NormalTok"/>
        </w:rPr>
        <w:t xml:space="preserve"> </w:t>
      </w:r>
      <w:r>
        <w:rPr>
          <w:rStyle w:val="ControlFlowTok"/>
        </w:rPr>
        <w:t xml:space="preserve">function</w:t>
      </w:r>
      <w:r>
        <w:rPr>
          <w:rStyle w:val="NormalTok"/>
        </w:rPr>
        <w:t xml:space="preserve">(band, line) {</w:t>
      </w:r>
      <w:r>
        <w:br/>
      </w:r>
      <w:r>
        <w:rPr>
          <w:rStyle w:val="NormalTok"/>
        </w:rPr>
        <w:t xml:space="preserve">  g </w:t>
      </w:r>
      <w:r>
        <w:rPr>
          <w:rStyle w:val="OtherTok"/>
        </w:rPr>
        <w:t xml:space="preserve">&lt;-</w:t>
      </w:r>
      <w:r>
        <w:rPr>
          <w:rStyle w:val="NormalTok"/>
        </w:rPr>
        <w:t xml:space="preserve"> dummy</w:t>
      </w:r>
      <w:r>
        <w:br/>
      </w:r>
      <w:r>
        <w:rPr>
          <w:rStyle w:val="NormalTok"/>
        </w:rPr>
        <w:t xml:space="preserve">  g[, </w:t>
      </w:r>
      <w:r>
        <w:rPr>
          <w:rStyle w:val="StringTok"/>
        </w:rPr>
        <w:t xml:space="preserve">"A"</w:t>
      </w:r>
      <w:r>
        <w:rPr>
          <w:rStyle w:val="NormalTok"/>
        </w:rPr>
        <w:t xml:space="preserve">] </w:t>
      </w:r>
      <w:r>
        <w:rPr>
          <w:rStyle w:val="OtherTok"/>
        </w:rPr>
        <w:t xml:space="preserve">&lt;-</w:t>
      </w:r>
      <w:r>
        <w:rPr>
          <w:rStyle w:val="NormalTok"/>
        </w:rPr>
        <w:t xml:space="preserve"> band              </w:t>
      </w:r>
      <w:r>
        <w:rPr>
          <w:rStyle w:val="CommentTok"/>
        </w:rPr>
        <w:t xml:space="preserve"># only the band varies</w:t>
      </w:r>
      <w:r>
        <w:br/>
      </w:r>
      <w:r>
        <w:rPr>
          <w:rStyle w:val="NormalTok"/>
        </w:rPr>
        <w:t xml:space="preserve">  </w:t>
      </w:r>
      <w:r>
        <w:rPr>
          <w:rStyle w:val="FunctionTok"/>
        </w:rPr>
        <w:t xml:space="preserve">look_up</w:t>
      </w:r>
      <w:r>
        <w:rPr>
          <w:rStyle w:val="NormalTok"/>
        </w:rPr>
        <w:t xml:space="preserve">(g, </w:t>
      </w:r>
      <w:r>
        <w:rPr>
          <w:rStyle w:val="FunctionTok"/>
        </w:rPr>
        <w:t xml:space="preserve">grid_numbers</w:t>
      </w:r>
      <w:r>
        <w:rPr>
          <w:rStyle w:val="NormalTok"/>
        </w:rPr>
        <w:t xml:space="preserve">(g))</w:t>
      </w:r>
      <w:r>
        <w:rPr>
          <w:rStyle w:val="SpecialCharTok"/>
        </w:rPr>
        <w:t xml:space="preserve">$</w:t>
      </w:r>
      <w:r>
        <w:rPr>
          <w:rStyle w:val="NormalTok"/>
        </w:rPr>
        <w:t xml:space="preserve">verse[line]</w:t>
      </w:r>
      <w:r>
        <w:br/>
      </w:r>
      <w:r>
        <w:rPr>
          <w:rStyle w:val="NormalTok"/>
        </w:rPr>
        <w:t xml:space="preserve">}</w:t>
      </w:r>
      <w:r>
        <w:br/>
      </w:r>
      <w:r>
        <w:rPr>
          <w:rStyle w:val="NormalTok"/>
        </w:rPr>
        <w:t xml:space="preserve">words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9</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FunctionTok"/>
        </w:rPr>
        <w:t xml:space="preserve">Vectorize</w:t>
      </w:r>
      <w:r>
        <w:rPr>
          <w:rStyle w:val="NormalTok"/>
        </w:rPr>
        <w:t xml:space="preserve">(word_for))</w:t>
      </w:r>
    </w:p>
    <w:p>
      <w:pPr>
        <w:pStyle w:val="Titreillustration"/>
      </w:pPr>
      <w:r>
        <w:t xml:space="preserve">Table A2: The 54 words the Oracle can say</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Band</w:t>
            </w:r>
          </w:p>
        </w:tc>
        <w:tc>
          <w:tcPr/>
          <w:p>
            <w:pPr>
              <w:pStyle w:val="Compact"/>
              <w:jc w:val="left"/>
            </w:pPr>
            <w:r>
              <w:t xml:space="preserve">I</w:t>
            </w:r>
          </w:p>
        </w:tc>
        <w:tc>
          <w:tcPr/>
          <w:p>
            <w:pPr>
              <w:pStyle w:val="Compact"/>
              <w:jc w:val="left"/>
            </w:pPr>
            <w:r>
              <w:t xml:space="preserve">II</w:t>
            </w:r>
          </w:p>
        </w:tc>
        <w:tc>
          <w:tcPr/>
          <w:p>
            <w:pPr>
              <w:pStyle w:val="Compact"/>
              <w:jc w:val="left"/>
            </w:pPr>
            <w:r>
              <w:t xml:space="preserve">III</w:t>
            </w:r>
          </w:p>
        </w:tc>
        <w:tc>
          <w:tcPr/>
          <w:p>
            <w:pPr>
              <w:pStyle w:val="Compact"/>
              <w:jc w:val="left"/>
            </w:pPr>
            <w:r>
              <w:t xml:space="preserve">IV</w:t>
            </w:r>
          </w:p>
        </w:tc>
        <w:tc>
          <w:tcPr/>
          <w:p>
            <w:pPr>
              <w:pStyle w:val="Compact"/>
              <w:jc w:val="left"/>
            </w:pPr>
            <w:r>
              <w:t xml:space="preserve">V</w:t>
            </w:r>
          </w:p>
        </w:tc>
        <w:tc>
          <w:tcPr/>
          <w:p>
            <w:pPr>
              <w:pStyle w:val="Compact"/>
              <w:jc w:val="left"/>
            </w:pPr>
            <w:r>
              <w:t xml:space="preserve">VI</w:t>
            </w:r>
          </w:p>
        </w:tc>
      </w:tr>
      <w:tr>
        <w:tc>
          <w:tcPr/>
          <w:p>
            <w:pPr>
              <w:pStyle w:val="Compact"/>
              <w:jc w:val="left"/>
            </w:pPr>
            <w:r>
              <w:t xml:space="preserve">1</w:t>
            </w:r>
          </w:p>
        </w:tc>
        <w:tc>
          <w:tcPr/>
          <w:p>
            <w:pPr>
              <w:pStyle w:val="Compact"/>
              <w:jc w:val="left"/>
            </w:pPr>
            <w:r>
              <w:t xml:space="preserve">dico</w:t>
            </w:r>
          </w:p>
        </w:tc>
        <w:tc>
          <w:tcPr/>
          <w:p>
            <w:pPr>
              <w:pStyle w:val="Compact"/>
              <w:jc w:val="left"/>
            </w:pPr>
            <w:r>
              <w:t xml:space="preserve">etensm</w:t>
            </w:r>
          </w:p>
        </w:tc>
        <w:tc>
          <w:tcPr/>
          <w:p>
            <w:pPr>
              <w:pStyle w:val="Compact"/>
              <w:jc w:val="left"/>
            </w:pPr>
            <w:r>
              <w:t xml:space="preserve">fausto</w:t>
            </w:r>
          </w:p>
        </w:tc>
        <w:tc>
          <w:tcPr/>
          <w:p>
            <w:pPr>
              <w:pStyle w:val="Compact"/>
              <w:jc w:val="left"/>
            </w:pPr>
            <w:r>
              <w:t xml:space="preserve">rumpet-tibi</w:t>
            </w:r>
          </w:p>
        </w:tc>
        <w:tc>
          <w:tcPr/>
          <w:p>
            <w:pPr>
              <w:pStyle w:val="Compact"/>
              <w:jc w:val="left"/>
            </w:pPr>
            <w:r>
              <w:t xml:space="preserve">fœdera</w:t>
            </w:r>
          </w:p>
        </w:tc>
        <w:tc>
          <w:tcPr/>
          <w:p>
            <w:pPr>
              <w:pStyle w:val="Compact"/>
              <w:jc w:val="left"/>
            </w:pPr>
            <w:r>
              <w:t xml:space="preserve">fatum</w:t>
            </w:r>
          </w:p>
        </w:tc>
      </w:tr>
      <w:tr>
        <w:tc>
          <w:tcPr/>
          <w:p>
            <w:pPr>
              <w:pStyle w:val="Compact"/>
              <w:jc w:val="left"/>
            </w:pPr>
            <w:r>
              <w:t xml:space="preserve">2</w:t>
            </w:r>
          </w:p>
        </w:tc>
        <w:tc>
          <w:tcPr/>
          <w:p>
            <w:pPr>
              <w:pStyle w:val="Compact"/>
              <w:jc w:val="left"/>
            </w:pPr>
            <w:r>
              <w:t xml:space="preserve">ista</w:t>
            </w:r>
          </w:p>
        </w:tc>
        <w:tc>
          <w:tcPr/>
          <w:p>
            <w:pPr>
              <w:pStyle w:val="Compact"/>
              <w:jc w:val="left"/>
            </w:pPr>
            <w:r>
              <w:t xml:space="preserve">petis</w:t>
            </w:r>
          </w:p>
        </w:tc>
        <w:tc>
          <w:tcPr/>
          <w:p>
            <w:pPr>
              <w:pStyle w:val="Compact"/>
              <w:jc w:val="left"/>
            </w:pPr>
            <w:r>
              <w:t xml:space="preserve">cupido</w:t>
            </w:r>
          </w:p>
        </w:tc>
        <w:tc>
          <w:tcPr/>
          <w:p>
            <w:pPr>
              <w:pStyle w:val="Compact"/>
              <w:jc w:val="left"/>
            </w:pPr>
            <w:r>
              <w:t xml:space="preserve">complebit</w:t>
            </w:r>
          </w:p>
        </w:tc>
        <w:tc>
          <w:tcPr/>
          <w:p>
            <w:pPr>
              <w:pStyle w:val="Compact"/>
              <w:jc w:val="left"/>
            </w:pPr>
            <w:r>
              <w:t xml:space="preserve">talia</w:t>
            </w:r>
          </w:p>
        </w:tc>
        <w:tc>
          <w:tcPr/>
          <w:p>
            <w:pPr>
              <w:pStyle w:val="Compact"/>
              <w:jc w:val="left"/>
            </w:pPr>
            <w:r>
              <w:t xml:space="preserve">casus</w:t>
            </w:r>
          </w:p>
        </w:tc>
      </w:tr>
      <w:tr>
        <w:tc>
          <w:tcPr/>
          <w:p>
            <w:pPr>
              <w:pStyle w:val="Compact"/>
              <w:jc w:val="left"/>
            </w:pPr>
            <w:r>
              <w:t xml:space="preserve">3</w:t>
            </w:r>
          </w:p>
        </w:tc>
        <w:tc>
          <w:tcPr/>
          <w:p>
            <w:pPr>
              <w:pStyle w:val="Compact"/>
              <w:jc w:val="left"/>
            </w:pPr>
            <w:r>
              <w:t xml:space="preserve">ecce</w:t>
            </w:r>
          </w:p>
        </w:tc>
        <w:tc>
          <w:tcPr/>
          <w:p>
            <w:pPr>
              <w:pStyle w:val="Compact"/>
              <w:jc w:val="left"/>
            </w:pPr>
            <w:r>
              <w:t xml:space="preserve">scias</w:t>
            </w:r>
          </w:p>
        </w:tc>
        <w:tc>
          <w:tcPr/>
          <w:p>
            <w:pPr>
              <w:pStyle w:val="Compact"/>
              <w:jc w:val="left"/>
            </w:pPr>
            <w:r>
              <w:t xml:space="preserve">licite</w:t>
            </w:r>
          </w:p>
        </w:tc>
        <w:tc>
          <w:tcPr/>
          <w:p>
            <w:pPr>
              <w:pStyle w:val="Compact"/>
              <w:jc w:val="left"/>
            </w:pPr>
            <w:r>
              <w:t xml:space="preserve">nonindet</w:t>
            </w:r>
          </w:p>
        </w:tc>
        <w:tc>
          <w:tcPr/>
          <w:p>
            <w:pPr>
              <w:pStyle w:val="Compact"/>
              <w:jc w:val="left"/>
            </w:pPr>
            <w:r>
              <w:t xml:space="preserve">prospera</w:t>
            </w:r>
          </w:p>
        </w:tc>
        <w:tc>
          <w:tcPr/>
          <w:p>
            <w:pPr>
              <w:pStyle w:val="Compact"/>
              <w:jc w:val="left"/>
            </w:pPr>
            <w:r>
              <w:t xml:space="preserve">numen</w:t>
            </w:r>
          </w:p>
        </w:tc>
      </w:tr>
      <w:tr>
        <w:tc>
          <w:tcPr/>
          <w:p>
            <w:pPr>
              <w:pStyle w:val="Compact"/>
              <w:jc w:val="left"/>
            </w:pPr>
            <w:r>
              <w:t xml:space="preserve">4</w:t>
            </w:r>
          </w:p>
        </w:tc>
        <w:tc>
          <w:tcPr/>
          <w:p>
            <w:pPr>
              <w:pStyle w:val="Compact"/>
              <w:jc w:val="left"/>
            </w:pPr>
            <w:r>
              <w:t xml:space="preserve">tanta</w:t>
            </w:r>
          </w:p>
        </w:tc>
        <w:tc>
          <w:tcPr/>
          <w:p>
            <w:pPr>
              <w:pStyle w:val="Compact"/>
              <w:jc w:val="left"/>
            </w:pPr>
            <w:r>
              <w:t xml:space="preserve">nimis</w:t>
            </w:r>
          </w:p>
        </w:tc>
        <w:tc>
          <w:tcPr/>
          <w:p>
            <w:pPr>
              <w:pStyle w:val="Compact"/>
              <w:jc w:val="left"/>
            </w:pPr>
            <w:r>
              <w:t xml:space="preserve">dubie</w:t>
            </w:r>
          </w:p>
        </w:tc>
        <w:tc>
          <w:tcPr/>
          <w:p>
            <w:pPr>
              <w:pStyle w:val="Compact"/>
              <w:jc w:val="left"/>
            </w:pPr>
            <w:r>
              <w:t xml:space="preserve">solvet-tibi</w:t>
            </w:r>
          </w:p>
        </w:tc>
        <w:tc>
          <w:tcPr/>
          <w:p>
            <w:pPr>
              <w:pStyle w:val="Compact"/>
              <w:jc w:val="left"/>
            </w:pPr>
            <w:r>
              <w:t xml:space="preserve">commoda</w:t>
            </w:r>
          </w:p>
        </w:tc>
        <w:tc>
          <w:tcPr/>
          <w:p>
            <w:pPr>
              <w:pStyle w:val="Compact"/>
              <w:jc w:val="left"/>
            </w:pPr>
            <w:r>
              <w:t xml:space="preserve">sydus</w:t>
            </w:r>
          </w:p>
        </w:tc>
      </w:tr>
      <w:tr>
        <w:tc>
          <w:tcPr/>
          <w:p>
            <w:pPr>
              <w:pStyle w:val="Compact"/>
              <w:jc w:val="left"/>
            </w:pPr>
            <w:r>
              <w:t xml:space="preserve">5</w:t>
            </w:r>
          </w:p>
        </w:tc>
        <w:tc>
          <w:tcPr/>
          <w:p>
            <w:pPr>
              <w:pStyle w:val="Compact"/>
              <w:jc w:val="left"/>
            </w:pPr>
            <w:r>
              <w:t xml:space="preserve">forte</w:t>
            </w:r>
          </w:p>
        </w:tc>
        <w:tc>
          <w:tcPr/>
          <w:p>
            <w:pPr>
              <w:pStyle w:val="Compact"/>
              <w:jc w:val="left"/>
            </w:pPr>
            <w:r>
              <w:t xml:space="preserve">lubens</w:t>
            </w:r>
          </w:p>
        </w:tc>
        <w:tc>
          <w:tcPr/>
          <w:p>
            <w:pPr>
              <w:pStyle w:val="Compact"/>
              <w:jc w:val="left"/>
            </w:pPr>
            <w:r>
              <w:t xml:space="preserve">uotis</w:t>
            </w:r>
          </w:p>
        </w:tc>
        <w:tc>
          <w:tcPr/>
          <w:p>
            <w:pPr>
              <w:pStyle w:val="Compact"/>
              <w:jc w:val="left"/>
            </w:pPr>
            <w:r>
              <w:t xml:space="preserve">promittit</w:t>
            </w:r>
          </w:p>
        </w:tc>
        <w:tc>
          <w:tcPr/>
          <w:p>
            <w:pPr>
              <w:pStyle w:val="Compact"/>
              <w:jc w:val="left"/>
            </w:pPr>
            <w:r>
              <w:t xml:space="preserve">gaudia</w:t>
            </w:r>
          </w:p>
        </w:tc>
        <w:tc>
          <w:tcPr/>
          <w:p>
            <w:pPr>
              <w:pStyle w:val="Compact"/>
              <w:jc w:val="left"/>
            </w:pPr>
            <w:r>
              <w:t xml:space="preserve">hic-annus</w:t>
            </w:r>
          </w:p>
        </w:tc>
      </w:tr>
      <w:tr>
        <w:tc>
          <w:tcPr/>
          <w:p>
            <w:pPr>
              <w:pStyle w:val="Compact"/>
              <w:jc w:val="left"/>
            </w:pPr>
            <w:r>
              <w:t xml:space="preserve">6</w:t>
            </w:r>
          </w:p>
        </w:tc>
        <w:tc>
          <w:tcPr/>
          <w:p>
            <w:pPr>
              <w:pStyle w:val="Compact"/>
              <w:jc w:val="left"/>
            </w:pPr>
            <w:r>
              <w:t xml:space="preserve">iure</w:t>
            </w:r>
          </w:p>
        </w:tc>
        <w:tc>
          <w:tcPr/>
          <w:p>
            <w:pPr>
              <w:pStyle w:val="Compact"/>
              <w:jc w:val="left"/>
            </w:pPr>
            <w:r>
              <w:t xml:space="preserve">satis</w:t>
            </w:r>
          </w:p>
        </w:tc>
        <w:tc>
          <w:tcPr/>
          <w:p>
            <w:pPr>
              <w:pStyle w:val="Compact"/>
              <w:jc w:val="left"/>
            </w:pPr>
            <w:r>
              <w:t xml:space="preserve">certo</w:t>
            </w:r>
          </w:p>
        </w:tc>
        <w:tc>
          <w:tcPr/>
          <w:p>
            <w:pPr>
              <w:pStyle w:val="Compact"/>
              <w:jc w:val="left"/>
            </w:pPr>
            <w:r>
              <w:t xml:space="preserve">prædicit</w:t>
            </w:r>
          </w:p>
        </w:tc>
        <w:tc>
          <w:tcPr/>
          <w:p>
            <w:pPr>
              <w:pStyle w:val="Compact"/>
              <w:jc w:val="left"/>
            </w:pPr>
            <w:r>
              <w:t xml:space="preserve">iubila</w:t>
            </w:r>
          </w:p>
        </w:tc>
        <w:tc>
          <w:tcPr/>
          <w:p>
            <w:pPr>
              <w:pStyle w:val="Compact"/>
              <w:jc w:val="left"/>
            </w:pPr>
            <w:r>
              <w:t xml:space="preserve">thema</w:t>
            </w:r>
          </w:p>
        </w:tc>
      </w:tr>
      <w:tr>
        <w:tc>
          <w:tcPr/>
          <w:p>
            <w:pPr>
              <w:pStyle w:val="Compact"/>
              <w:jc w:val="left"/>
            </w:pPr>
            <w:r>
              <w:t xml:space="preserve">7</w:t>
            </w:r>
          </w:p>
        </w:tc>
        <w:tc>
          <w:tcPr/>
          <w:p>
            <w:pPr>
              <w:pStyle w:val="Compact"/>
              <w:jc w:val="left"/>
            </w:pPr>
            <w:r>
              <w:t xml:space="preserve">mille</w:t>
            </w:r>
          </w:p>
        </w:tc>
        <w:tc>
          <w:tcPr/>
          <w:p>
            <w:pPr>
              <w:pStyle w:val="Compact"/>
              <w:jc w:val="left"/>
            </w:pPr>
            <w:r>
              <w:t xml:space="preserve">magis</w:t>
            </w:r>
          </w:p>
        </w:tc>
        <w:tc>
          <w:tcPr/>
          <w:p>
            <w:pPr>
              <w:pStyle w:val="Compact"/>
              <w:jc w:val="left"/>
            </w:pPr>
            <w:r>
              <w:t xml:space="preserve">dominans</w:t>
            </w:r>
          </w:p>
        </w:tc>
        <w:tc>
          <w:tcPr/>
          <w:p>
            <w:pPr>
              <w:pStyle w:val="Compact"/>
              <w:jc w:val="left"/>
            </w:pPr>
            <w:r>
              <w:t xml:space="preserve">uovet-tibi</w:t>
            </w:r>
          </w:p>
        </w:tc>
        <w:tc>
          <w:tcPr/>
          <w:p>
            <w:pPr>
              <w:pStyle w:val="Compact"/>
              <w:jc w:val="left"/>
            </w:pPr>
            <w:r>
              <w:t xml:space="preserve">sœcula</w:t>
            </w:r>
          </w:p>
        </w:tc>
        <w:tc>
          <w:tcPr/>
          <w:p>
            <w:pPr>
              <w:pStyle w:val="Compact"/>
              <w:jc w:val="left"/>
            </w:pPr>
            <w:r>
              <w:t xml:space="preserve">carmen</w:t>
            </w:r>
          </w:p>
        </w:tc>
      </w:tr>
      <w:tr>
        <w:tc>
          <w:tcPr/>
          <w:p>
            <w:pPr>
              <w:pStyle w:val="Compact"/>
              <w:jc w:val="left"/>
            </w:pPr>
            <w:r>
              <w:t xml:space="preserve">8</w:t>
            </w:r>
          </w:p>
        </w:tc>
        <w:tc>
          <w:tcPr/>
          <w:p>
            <w:pPr>
              <w:pStyle w:val="Compact"/>
              <w:jc w:val="left"/>
            </w:pPr>
            <w:r>
              <w:t xml:space="preserve">nonne</w:t>
            </w:r>
          </w:p>
        </w:tc>
        <w:tc>
          <w:tcPr/>
          <w:p>
            <w:pPr>
              <w:pStyle w:val="Compact"/>
              <w:jc w:val="left"/>
            </w:pPr>
            <w:r>
              <w:t xml:space="preserve">optas</w:t>
            </w:r>
          </w:p>
        </w:tc>
        <w:tc>
          <w:tcPr/>
          <w:p>
            <w:pPr>
              <w:pStyle w:val="Compact"/>
              <w:jc w:val="left"/>
            </w:pPr>
            <w:r>
              <w:t xml:space="preserve">iuste</w:t>
            </w:r>
          </w:p>
        </w:tc>
        <w:tc>
          <w:tcPr/>
          <w:p>
            <w:pPr>
              <w:pStyle w:val="Compact"/>
              <w:jc w:val="left"/>
            </w:pPr>
            <w:r>
              <w:t xml:space="preserve">non-reddet</w:t>
            </w:r>
          </w:p>
        </w:tc>
        <w:tc>
          <w:tcPr/>
          <w:p>
            <w:pPr>
              <w:pStyle w:val="Compact"/>
              <w:jc w:val="left"/>
            </w:pPr>
            <w:r>
              <w:t xml:space="preserve">prœmia</w:t>
            </w:r>
          </w:p>
        </w:tc>
        <w:tc>
          <w:tcPr/>
          <w:p>
            <w:pPr>
              <w:pStyle w:val="Compact"/>
              <w:jc w:val="left"/>
            </w:pPr>
            <w:r>
              <w:t xml:space="preserve">tempus</w:t>
            </w:r>
          </w:p>
        </w:tc>
      </w:tr>
      <w:tr>
        <w:tc>
          <w:tcPr/>
          <w:p>
            <w:pPr>
              <w:pStyle w:val="Compact"/>
              <w:jc w:val="left"/>
            </w:pPr>
            <w:r>
              <w:t xml:space="preserve">9</w:t>
            </w:r>
          </w:p>
        </w:tc>
        <w:tc>
          <w:tcPr/>
          <w:p>
            <w:pPr>
              <w:pStyle w:val="Compact"/>
              <w:jc w:val="left"/>
            </w:pPr>
            <w:r>
              <w:t xml:space="preserve">credo</w:t>
            </w:r>
          </w:p>
        </w:tc>
        <w:tc>
          <w:tcPr/>
          <w:p>
            <w:pPr>
              <w:pStyle w:val="Compact"/>
              <w:jc w:val="left"/>
            </w:pPr>
            <w:r>
              <w:t xml:space="preserve">equidem</w:t>
            </w:r>
          </w:p>
        </w:tc>
        <w:tc>
          <w:tcPr/>
          <w:p>
            <w:pPr>
              <w:pStyle w:val="Compact"/>
              <w:jc w:val="left"/>
            </w:pPr>
            <w:r>
              <w:t xml:space="preserve">merito</w:t>
            </w:r>
          </w:p>
        </w:tc>
        <w:tc>
          <w:tcPr/>
          <w:p>
            <w:pPr>
              <w:pStyle w:val="Compact"/>
              <w:jc w:val="left"/>
            </w:pPr>
            <w:r>
              <w:t xml:space="preserve">donabit</w:t>
            </w:r>
          </w:p>
        </w:tc>
        <w:tc>
          <w:tcPr/>
          <w:p>
            <w:pPr>
              <w:pStyle w:val="Compact"/>
              <w:jc w:val="left"/>
            </w:pPr>
            <w:r>
              <w:t xml:space="preserve">debita</w:t>
            </w:r>
          </w:p>
        </w:tc>
        <w:tc>
          <w:tcPr/>
          <w:p>
            <w:pPr>
              <w:pStyle w:val="Compact"/>
              <w:jc w:val="left"/>
            </w:pPr>
            <w:r>
              <w:t xml:space="preserve">cœlum</w:t>
            </w:r>
          </w:p>
        </w:tc>
      </w:tr>
    </w:tbl>
    <w:p>
      <w:pPr>
        <w:pStyle w:val="Légendeillustration"/>
      </w:pPr>
      <w:r>
        <w:t xml:space="preserve">Reading note: the word at position</w:t>
      </w:r>
      <w:r>
        <w:t xml:space="preserve"> </w:t>
      </w:r>
      <m:oMath>
        <m:r>
          <m:t>i</m:t>
        </m:r>
      </m:oMath>
      <w:r>
        <w:t xml:space="preserve"> </w:t>
      </w:r>
      <w:r>
        <w:t xml:space="preserve">of the verse (the column headed by the roman numeral for</w:t>
      </w:r>
      <w:r>
        <w:t xml:space="preserve"> </w:t>
      </w:r>
      <m:oMath>
        <m:r>
          <m:t>i</m:t>
        </m:r>
      </m:oMath>
      <w:r>
        <w:t xml:space="preserve">) is the one in the row for band</w:t>
      </w:r>
      <w:r>
        <w:t xml:space="preserve"> </w:t>
      </w:r>
      <m:oMath>
        <m:r>
          <m:t>j</m:t>
        </m:r>
      </m:oMath>
      <w:r>
        <w:t xml:space="preserve"> </w:t>
      </w:r>
      <w:r>
        <w:t xml:space="preserve">(the digit of column A). The words are spelled as the tables give them:</w:t>
      </w:r>
      <w:r>
        <w:t xml:space="preserve"> </w:t>
      </w:r>
      <w:r>
        <w:rPr>
          <w:i/>
          <w:iCs/>
        </w:rPr>
        <w:t xml:space="preserve">u</w:t>
      </w:r>
      <w:r>
        <w:t xml:space="preserve"> </w:t>
      </w:r>
      <w:r>
        <w:t xml:space="preserve">for</w:t>
      </w:r>
      <w:r>
        <w:t xml:space="preserve"> </w:t>
      </w:r>
      <w:r>
        <w:rPr>
          <w:i/>
          <w:iCs/>
        </w:rPr>
        <w:t xml:space="preserve">v</w:t>
      </w:r>
      <w:r>
        <w:t xml:space="preserve">,</w:t>
      </w:r>
      <w:r>
        <w:t xml:space="preserve"> </w:t>
      </w:r>
      <w:r>
        <w:rPr>
          <w:i/>
          <w:iCs/>
        </w:rPr>
        <w:t xml:space="preserve">i</w:t>
      </w:r>
      <w:r>
        <w:t xml:space="preserve"> </w:t>
      </w:r>
      <w:r>
        <w:t xml:space="preserve">for the</w:t>
      </w:r>
      <w:r>
        <w:t xml:space="preserve"> </w:t>
      </w:r>
      <w:r>
        <w:rPr>
          <w:i/>
          <w:iCs/>
        </w:rPr>
        <w:t xml:space="preserve">j</w:t>
      </w:r>
      <w:r>
        <w:t xml:space="preserve"> </w:t>
      </w:r>
      <w:r>
        <w:t xml:space="preserve">of the plate, the ligatures as Migneret prints them. Five cells are two Latin words run together, since the tables have no way to mark a space; the hyphen shows that reading:</w:t>
      </w:r>
      <w:r>
        <w:t xml:space="preserve"> </w:t>
      </w:r>
      <w:r>
        <w:rPr>
          <w:i/>
          <w:iCs/>
        </w:rPr>
        <w:t xml:space="preserve">rumpet-tibi</w:t>
      </w:r>
      <w:r>
        <w:t xml:space="preserve">,</w:t>
      </w:r>
      <w:r>
        <w:t xml:space="preserve"> </w:t>
      </w:r>
      <w:r>
        <w:rPr>
          <w:i/>
          <w:iCs/>
        </w:rPr>
        <w:t xml:space="preserve">solvet-tibi</w:t>
      </w:r>
      <w:r>
        <w:t xml:space="preserve">,</w:t>
      </w:r>
      <w:r>
        <w:t xml:space="preserve"> </w:t>
      </w:r>
      <w:r>
        <w:rPr>
          <w:i/>
          <w:iCs/>
        </w:rPr>
        <w:t xml:space="preserve">uovet-tibi</w:t>
      </w:r>
      <w:r>
        <w:t xml:space="preserve">,</w:t>
      </w:r>
      <w:r>
        <w:t xml:space="preserve"> </w:t>
      </w:r>
      <w:r>
        <w:rPr>
          <w:i/>
          <w:iCs/>
        </w:rPr>
        <w:t xml:space="preserve">non-reddet</w:t>
      </w:r>
      <w:r>
        <w:t xml:space="preserve"> </w:t>
      </w:r>
      <w:r>
        <w:t xml:space="preserve">and</w:t>
      </w:r>
      <w:r>
        <w:t xml:space="preserve"> </w:t>
      </w:r>
      <w:r>
        <w:rPr>
          <w:i/>
          <w:iCs/>
        </w:rPr>
        <w:t xml:space="preserve">hic-annus</w:t>
      </w:r>
      <w:r>
        <w:t xml:space="preserve">.</w:t>
      </w:r>
      <w:r>
        <w:t xml:space="preserve"> </w:t>
      </w:r>
      <w:r>
        <w:rPr>
          <w:i/>
          <w:iCs/>
        </w:rPr>
        <w:t xml:space="preserve">Etensm</w:t>
      </w:r>
      <w:r>
        <w:t xml:space="preserve"> </w:t>
      </w:r>
      <w:r>
        <w:t xml:space="preserve">(position II, band 1) is probably a misprint for</w:t>
      </w:r>
      <w:r>
        <w:t xml:space="preserve"> </w:t>
      </w:r>
      <w:r>
        <w:rPr>
          <w:i/>
          <w:iCs/>
        </w:rPr>
        <w:t xml:space="preserve">etenim</w:t>
      </w:r>
      <w:r>
        <w:t xml:space="preserve">;</w:t>
      </w:r>
      <w:r>
        <w:t xml:space="preserve"> </w:t>
      </w:r>
      <w:r>
        <w:rPr>
          <w:i/>
          <w:iCs/>
        </w:rPr>
        <w:t xml:space="preserve">nonindet</w:t>
      </w:r>
      <w:r>
        <w:t xml:space="preserve"> </w:t>
      </w:r>
      <w:r>
        <w:t xml:space="preserve">(position IV, band 3) looks like a similar compound beginning</w:t>
      </w:r>
      <w:r>
        <w:t xml:space="preserve"> </w:t>
      </w:r>
      <w:r>
        <w:rPr>
          <w:i/>
          <w:iCs/>
        </w:rPr>
        <w:t xml:space="preserve">non-</w:t>
      </w:r>
      <w:r>
        <w:t xml:space="preserve">, but the second word is unclear, so no split is shown.</w:t>
      </w:r>
    </w:p>
    <w:p>
      <w:pPr>
        <w:pStyle w:val="Créditsillustration"/>
      </w:pPr>
      <w:r>
        <w:t xml:space="preserve">Credits: computed by</w:t>
      </w:r>
      <w:r>
        <w:t xml:space="preserve"> </w:t>
      </w:r>
      <w:r>
        <w:rPr>
          <w:rStyle w:val="VerbatimChar"/>
        </w:rPr>
        <w:t xml:space="preserve">oracle.R</w:t>
      </w:r>
      <w:r>
        <w:t xml:space="preserve"> </w:t>
      </w:r>
      <w:r>
        <w:t xml:space="preserve">from the tables of the pamphlet (Migneret, 1759, plate between pp. 54 and 55).</w:t>
      </w:r>
    </w:p>
    <w:p>
      <w:pPr>
        <w:pStyle w:val="BodyText"/>
      </w:pPr>
      <w:r>
        <w:t xml:space="preserve">There are nine words at each of six positions, and nothing else: the Oracle can say exactly</w:t>
      </w:r>
      <w:r>
        <w:t xml:space="preserve"> </w:t>
      </w:r>
      <m:oMath>
        <m:sSup>
          <m:e>
            <m:r>
              <m:t>9</m:t>
            </m:r>
          </m:e>
          <m:sup>
            <m:r>
              <m:t>6</m:t>
            </m:r>
          </m:sup>
        </m:sSup>
      </m:oMath>
      <w:r>
        <w:t xml:space="preserve"> </w:t>
      </w:r>
      <w:r>
        <w:t xml:space="preserve">= 531,441 verses, whatever the question, and every one of them differs from the others. That the digits other than the six bands do not matter can also be checked on random keys: replacing the digits of columns B to G by random digits never changes the verse.</w:t>
      </w:r>
    </w:p>
    <w:p>
      <w:pPr>
        <w:pStyle w:val="SourceCode"/>
      </w:pPr>
      <w:r>
        <w:rPr>
          <w:rStyle w:val="FunctionTok"/>
        </w:rPr>
        <w:t xml:space="preserve">set.seed</w:t>
      </w:r>
      <w:r>
        <w:rPr>
          <w:rStyle w:val="NormalTok"/>
        </w:rPr>
        <w:t xml:space="preserve">(</w:t>
      </w:r>
      <w:r>
        <w:rPr>
          <w:rStyle w:val="DecValTok"/>
        </w:rPr>
        <w:t xml:space="preserve">1759</w:t>
      </w:r>
      <w:r>
        <w:rPr>
          <w:rStyle w:val="NormalTok"/>
        </w:rPr>
        <w:t xml:space="preserve">)</w:t>
      </w:r>
      <w:r>
        <w:br/>
      </w:r>
      <w:r>
        <w:rPr>
          <w:rStyle w:val="NormalTok"/>
        </w:rPr>
        <w:t xml:space="preserve">same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w:t>
      </w:r>
      <w:r>
        <w:rPr>
          <w:rStyle w:val="NormalTok"/>
        </w:rPr>
        <w:t xml:space="preserve">, {</w:t>
      </w:r>
      <w:r>
        <w:br/>
      </w:r>
      <w:r>
        <w:rPr>
          <w:rStyle w:val="NormalTok"/>
        </w:rPr>
        <w:t xml:space="preserve">  key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9</w:t>
      </w:r>
      <w:r>
        <w:rPr>
          <w:rStyle w:val="NormalTok"/>
        </w:rPr>
        <w:t xml:space="preserve">, </w:t>
      </w:r>
      <w:r>
        <w:rPr>
          <w:rStyle w:val="DecValTok"/>
        </w:rPr>
        <w:t xml:space="preserve">9</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g </w:t>
      </w:r>
      <w:r>
        <w:rPr>
          <w:rStyle w:val="OtherTok"/>
        </w:rPr>
        <w:t xml:space="preserve">&lt;-</w:t>
      </w:r>
      <w:r>
        <w:rPr>
          <w:rStyle w:val="NormalTok"/>
        </w:rPr>
        <w:t xml:space="preserve"> </w:t>
      </w:r>
      <w:r>
        <w:rPr>
          <w:rStyle w:val="FunctionTok"/>
        </w:rPr>
        <w:t xml:space="preserve">grid_from_triangle</w:t>
      </w:r>
      <w:r>
        <w:rPr>
          <w:rStyle w:val="NormalTok"/>
        </w:rPr>
        <w:t xml:space="preserve">(</w:t>
      </w:r>
      <w:r>
        <w:rPr>
          <w:rStyle w:val="FunctionTok"/>
        </w:rPr>
        <w:t xml:space="preserve">mix_triangle</w:t>
      </w:r>
      <w:r>
        <w:rPr>
          <w:rStyle w:val="NormalTok"/>
        </w:rPr>
        <w:t xml:space="preserve">(key))</w:t>
      </w:r>
      <w:r>
        <w:br/>
      </w:r>
      <w:r>
        <w:rPr>
          <w:rStyle w:val="NormalTok"/>
        </w:rPr>
        <w:t xml:space="preserve">  g2 </w:t>
      </w:r>
      <w:r>
        <w:rPr>
          <w:rStyle w:val="OtherTok"/>
        </w:rPr>
        <w:t xml:space="preserve">&lt;-</w:t>
      </w:r>
      <w:r>
        <w:rPr>
          <w:rStyle w:val="NormalTok"/>
        </w:rPr>
        <w:t xml:space="preserve"> g</w:t>
      </w:r>
      <w:r>
        <w:br/>
      </w:r>
      <w:r>
        <w:rPr>
          <w:rStyle w:val="NormalTok"/>
        </w:rPr>
        <w:t xml:space="preserve">  </w:t>
      </w:r>
      <w:r>
        <w:rPr>
          <w:rStyle w:val="CommentTok"/>
        </w:rPr>
        <w:t xml:space="preserve"># scramble columns B to G</w:t>
      </w:r>
      <w:r>
        <w:br/>
      </w:r>
      <w:r>
        <w:rPr>
          <w:rStyle w:val="NormalTok"/>
        </w:rPr>
        <w:t xml:space="preserve">  g2[, </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9</w:t>
      </w:r>
      <w:r>
        <w:rPr>
          <w:rStyle w:val="NormalTok"/>
        </w:rPr>
        <w:t xml:space="preserve">, </w:t>
      </w:r>
      <w:r>
        <w:rPr>
          <w:rStyle w:val="DecValTok"/>
        </w:rPr>
        <w:t xml:space="preserve">36</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identical</w:t>
      </w:r>
      <w:r>
        <w:rPr>
          <w:rStyle w:val="NormalTok"/>
        </w:rPr>
        <w:t xml:space="preserve">(</w:t>
      </w:r>
      <w:r>
        <w:rPr>
          <w:rStyle w:val="FunctionTok"/>
        </w:rPr>
        <w:t xml:space="preserve">look_up</w:t>
      </w:r>
      <w:r>
        <w:rPr>
          <w:rStyle w:val="NormalTok"/>
        </w:rPr>
        <w:t xml:space="preserve">(g, </w:t>
      </w:r>
      <w:r>
        <w:rPr>
          <w:rStyle w:val="FunctionTok"/>
        </w:rPr>
        <w:t xml:space="preserve">grid_numbers</w:t>
      </w:r>
      <w:r>
        <w:rPr>
          <w:rStyle w:val="NormalTok"/>
        </w:rPr>
        <w:t xml:space="preserve">(g))</w:t>
      </w:r>
      <w:r>
        <w:rPr>
          <w:rStyle w:val="SpecialCharTok"/>
        </w:rPr>
        <w:t xml:space="preserve">$</w:t>
      </w:r>
      <w:r>
        <w:rPr>
          <w:rStyle w:val="NormalTok"/>
        </w:rPr>
        <w:t xml:space="preserve">verse,</w:t>
      </w:r>
      <w:r>
        <w:br/>
      </w:r>
      <w:r>
        <w:rPr>
          <w:rStyle w:val="NormalTok"/>
        </w:rPr>
        <w:t xml:space="preserve">            </w:t>
      </w:r>
      <w:r>
        <w:rPr>
          <w:rStyle w:val="FunctionTok"/>
        </w:rPr>
        <w:t xml:space="preserve">look_up</w:t>
      </w:r>
      <w:r>
        <w:rPr>
          <w:rStyle w:val="NormalTok"/>
        </w:rPr>
        <w:t xml:space="preserve">(g2, </w:t>
      </w:r>
      <w:r>
        <w:rPr>
          <w:rStyle w:val="FunctionTok"/>
        </w:rPr>
        <w:t xml:space="preserve">grid_numbers</w:t>
      </w:r>
      <w:r>
        <w:rPr>
          <w:rStyle w:val="NormalTok"/>
        </w:rPr>
        <w:t xml:space="preserve">(g2))</w:t>
      </w:r>
      <w:r>
        <w:rPr>
          <w:rStyle w:val="SpecialCharTok"/>
        </w:rPr>
        <w:t xml:space="preserve">$</w:t>
      </w:r>
      <w:r>
        <w:rPr>
          <w:rStyle w:val="NormalTok"/>
        </w:rPr>
        <w:t xml:space="preserve">verse)</w:t>
      </w:r>
      <w:r>
        <w:br/>
      </w:r>
      <w:r>
        <w:rPr>
          <w:rStyle w:val="NormalTok"/>
        </w:rPr>
        <w:t xml:space="preserve">})</w:t>
      </w:r>
      <w:r>
        <w:br/>
      </w:r>
      <w:r>
        <w:rPr>
          <w:rStyle w:val="FunctionTok"/>
        </w:rPr>
        <w:t xml:space="preserve">all</w:t>
      </w:r>
      <w:r>
        <w:rPr>
          <w:rStyle w:val="NormalTok"/>
        </w:rPr>
        <w:t xml:space="preserve">(same)</w:t>
      </w:r>
    </w:p>
    <w:p>
      <w:pPr>
        <w:pStyle w:val="SourceCode"/>
      </w:pPr>
      <w:r>
        <w:rPr>
          <w:rStyle w:val="VerbatimChar"/>
        </w:rPr>
        <w:t xml:space="preserve">[1] TRUE</w:t>
      </w:r>
    </w:p>
    <w:p>
      <w:pPr>
        <w:pStyle w:val="FirstParagraph"/>
      </w:pPr>
      <w:r>
        <w:t xml:space="preserve">The six bands are the right-hand edge of the triangle, and the last entry of row</w:t>
      </w:r>
      <w:r>
        <w:t xml:space="preserve"> </w:t>
      </w:r>
      <w:r>
        <w:rPr>
          <w:i/>
          <w:iCs/>
        </w:rPr>
        <w:t xml:space="preserve">r</w:t>
      </w:r>
      <w:r>
        <w:t xml:space="preserve"> </w:t>
      </w:r>
      <w:r>
        <w:t xml:space="preserve">of the triangle depends only on the last</w:t>
      </w:r>
      <w:r>
        <w:t xml:space="preserve"> </w:t>
      </w:r>
      <w:r>
        <w:rPr>
          <w:i/>
          <w:iCs/>
        </w:rPr>
        <w:t xml:space="preserve">r</w:t>
      </w:r>
      <w:r>
        <w:t xml:space="preserve"> </w:t>
      </w:r>
      <w:r>
        <w:t xml:space="preserve">digits of the key. So the words of the question do not count equally. The first word can alter only the first word of the verse:</w:t>
      </w:r>
    </w:p>
    <w:p>
      <w:pPr>
        <w:pStyle w:val="SourceCode"/>
      </w:pPr>
      <w:r>
        <w:rPr>
          <w:rStyle w:val="NormalTok"/>
        </w:rPr>
        <w:t xml:space="preserve">q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"celui"</w:t>
      </w:r>
      <w:r>
        <w:rPr>
          <w:rStyle w:val="NormalTok"/>
        </w:rPr>
        <w:t xml:space="preserve">, </w:t>
      </w:r>
      <w:r>
        <w:rPr>
          <w:rStyle w:val="StringTok"/>
        </w:rPr>
        <w:t xml:space="preserve">"que"</w:t>
      </w:r>
      <w:r>
        <w:rPr>
          <w:rStyle w:val="NormalTok"/>
        </w:rPr>
        <w:t xml:space="preserve">, </w:t>
      </w:r>
      <w:r>
        <w:rPr>
          <w:rStyle w:val="StringTok"/>
        </w:rPr>
        <w:t xml:space="preserve">"j'aime"</w:t>
      </w:r>
      <w:r>
        <w:rPr>
          <w:rStyle w:val="NormalTok"/>
        </w:rPr>
        <w:t xml:space="preserve">, </w:t>
      </w:r>
      <w:r>
        <w:rPr>
          <w:rStyle w:val="StringTok"/>
        </w:rPr>
        <w:t xml:space="preserve">"deviendra-t"</w:t>
      </w:r>
      <w:r>
        <w:rPr>
          <w:rStyle w:val="NormalTok"/>
        </w:rPr>
        <w:t xml:space="preserve">, </w:t>
      </w:r>
      <w:r>
        <w:rPr>
          <w:rStyle w:val="StringTok"/>
        </w:rPr>
        <w:t xml:space="preserve">"il"</w:t>
      </w:r>
      <w:r>
        <w:rPr>
          <w:rStyle w:val="NormalTok"/>
        </w:rPr>
        <w:t xml:space="preserve">,</w:t>
      </w:r>
      <w:r>
        <w:br/>
      </w:r>
      <w:r>
        <w:rPr>
          <w:rStyle w:val="NormalTok"/>
        </w:rPr>
        <w:t xml:space="preserve">       </w:t>
      </w:r>
      <w:r>
        <w:rPr>
          <w:rStyle w:val="StringTok"/>
        </w:rPr>
        <w:t xml:space="preserve">"cette"</w:t>
      </w:r>
      <w:r>
        <w:rPr>
          <w:rStyle w:val="NormalTok"/>
        </w:rPr>
        <w:t xml:space="preserve">, </w:t>
      </w:r>
      <w:r>
        <w:rPr>
          <w:rStyle w:val="StringTok"/>
        </w:rPr>
        <w:t xml:space="preserve">"année"</w:t>
      </w:r>
      <w:r>
        <w:rPr>
          <w:rStyle w:val="NormalTok"/>
        </w:rPr>
        <w:t xml:space="preserve">, </w:t>
      </w:r>
      <w:r>
        <w:rPr>
          <w:rStyle w:val="StringTok"/>
        </w:rPr>
        <w:t xml:space="preserve">"mon"</w:t>
      </w:r>
      <w:r>
        <w:rPr>
          <w:rStyle w:val="NormalTok"/>
        </w:rPr>
        <w:t xml:space="preserve">, </w:t>
      </w:r>
      <w:r>
        <w:rPr>
          <w:rStyle w:val="StringTok"/>
        </w:rPr>
        <w:t xml:space="preserve">"époux"</w:t>
      </w:r>
      <w:r>
        <w:rPr>
          <w:rStyle w:val="NormalTok"/>
        </w:rPr>
        <w:t xml:space="preserve">)</w:t>
      </w:r>
      <w:r>
        <w:br/>
      </w:r>
      <w:r>
        <w:rPr>
          <w:rStyle w:val="FunctionTok"/>
        </w:rPr>
        <w:t xml:space="preserve">Oracle</w:t>
      </w:r>
      <w:r>
        <w:rPr>
          <w:rStyle w:val="NormalTok"/>
        </w:rPr>
        <w:t xml:space="preserve">(q)</w:t>
      </w:r>
    </w:p>
    <w:p>
      <w:pPr>
        <w:pStyle w:val="SourceCode"/>
      </w:pPr>
      <w:r>
        <w:rPr>
          <w:rStyle w:val="VerbatimChar"/>
        </w:rPr>
        <w:t xml:space="preserve">Ecce equidem licite prædicit talia numen.</w:t>
      </w:r>
    </w:p>
    <w:p>
      <w:pPr>
        <w:pStyle w:val="SourceCode"/>
      </w:pPr>
      <w:r>
        <w:rPr>
          <w:rStyle w:val="FunctionTok"/>
        </w:rPr>
        <w:t xml:space="preserve">Oracle</w:t>
      </w:r>
      <w:r>
        <w:rPr>
          <w:rStyle w:val="NormalTok"/>
        </w:rPr>
        <w:t xml:space="preserve">(</w:t>
      </w:r>
      <w:r>
        <w:rPr>
          <w:rStyle w:val="FunctionTok"/>
        </w:rPr>
        <w:t xml:space="preserve">replace</w:t>
      </w:r>
      <w:r>
        <w:rPr>
          <w:rStyle w:val="NormalTok"/>
        </w:rPr>
        <w:t xml:space="preserve">(q, </w:t>
      </w:r>
      <w:r>
        <w:rPr>
          <w:rStyle w:val="DecValTok"/>
        </w:rPr>
        <w:t xml:space="preserve">1</w:t>
      </w:r>
      <w:r>
        <w:rPr>
          <w:rStyle w:val="NormalTok"/>
        </w:rPr>
        <w:t xml:space="preserve">, </w:t>
      </w:r>
      <w:r>
        <w:rPr>
          <w:rStyle w:val="StringTok"/>
        </w:rPr>
        <w:t xml:space="preserve">"ce"</w:t>
      </w:r>
      <w:r>
        <w:rPr>
          <w:rStyle w:val="NormalTok"/>
        </w:rPr>
        <w:t xml:space="preserve">))</w:t>
      </w:r>
    </w:p>
    <w:p>
      <w:pPr>
        <w:pStyle w:val="SourceCode"/>
      </w:pPr>
      <w:r>
        <w:rPr>
          <w:rStyle w:val="VerbatimChar"/>
        </w:rPr>
        <w:t xml:space="preserve">Nonne equidem licite prædicit talia numen.</w:t>
      </w:r>
    </w:p>
    <w:p>
      <w:pPr>
        <w:pStyle w:val="FirstParagraph"/>
      </w:pPr>
      <w:r>
        <w:t xml:space="preserve">while the last word can alter all six:</w:t>
      </w:r>
    </w:p>
    <w:p>
      <w:pPr>
        <w:pStyle w:val="SourceCode"/>
      </w:pPr>
      <w:r>
        <w:rPr>
          <w:rStyle w:val="FunctionTok"/>
        </w:rPr>
        <w:t xml:space="preserve">Oracle</w:t>
      </w:r>
      <w:r>
        <w:rPr>
          <w:rStyle w:val="NormalTok"/>
        </w:rPr>
        <w:t xml:space="preserve">(</w:t>
      </w:r>
      <w:r>
        <w:rPr>
          <w:rStyle w:val="FunctionTok"/>
        </w:rPr>
        <w:t xml:space="preserve">replace</w:t>
      </w:r>
      <w:r>
        <w:rPr>
          <w:rStyle w:val="NormalTok"/>
        </w:rPr>
        <w:t xml:space="preserve">(q, </w:t>
      </w:r>
      <w:r>
        <w:rPr>
          <w:rStyle w:val="DecValTok"/>
        </w:rPr>
        <w:t xml:space="preserve">9</w:t>
      </w:r>
      <w:r>
        <w:rPr>
          <w:rStyle w:val="NormalTok"/>
        </w:rPr>
        <w:t xml:space="preserve">, </w:t>
      </w:r>
      <w:r>
        <w:rPr>
          <w:rStyle w:val="StringTok"/>
        </w:rPr>
        <w:t xml:space="preserve">"ami"</w:t>
      </w:r>
      <w:r>
        <w:rPr>
          <w:rStyle w:val="NormalTok"/>
        </w:rPr>
        <w:t xml:space="preserve">))</w:t>
      </w:r>
    </w:p>
    <w:p>
      <w:pPr>
        <w:pStyle w:val="SourceCode"/>
      </w:pPr>
      <w:r>
        <w:rPr>
          <w:rStyle w:val="VerbatimChar"/>
        </w:rPr>
        <w:t xml:space="preserve">Tanta etensm dubie uovettibi prospera sydus.</w:t>
      </w:r>
    </w:p>
    <w:p>
      <w:pPr>
        <w:pStyle w:val="FirstParagraph"/>
      </w:pPr>
      <w:r>
        <w:t xml:space="preserve">The Oracle sees a word only through its letter sum modulo 9.</w:t>
      </w:r>
      <w:r>
        <w:t xml:space="preserve"> </w:t>
      </w:r>
      <w:r>
        <w:rPr>
          <w:i/>
          <w:iCs/>
        </w:rPr>
        <w:t xml:space="preserve">Époux</w:t>
      </w:r>
      <w:r>
        <w:t xml:space="preserve"> </w:t>
      </w:r>
      <w:r>
        <w:t xml:space="preserve">(75) and</w:t>
      </w:r>
      <w:r>
        <w:t xml:space="preserve"> </w:t>
      </w:r>
      <w:r>
        <w:rPr>
          <w:i/>
          <w:iCs/>
        </w:rPr>
        <w:t xml:space="preserve">mari</w:t>
      </w:r>
      <w:r>
        <w:t xml:space="preserve"> </w:t>
      </w:r>
      <w:r>
        <w:t xml:space="preserve">(39) both leave a remainder of 3, so the two questions get the same answer, word for word:</w:t>
      </w:r>
    </w:p>
    <w:p>
      <w:pPr>
        <w:pStyle w:val="SourceCode"/>
      </w:pPr>
      <w:r>
        <w:rPr>
          <w:rStyle w:val="FunctionTok"/>
        </w:rPr>
        <w:t xml:space="preserve">Oracle</w:t>
      </w:r>
      <w:r>
        <w:rPr>
          <w:rStyle w:val="NormalTok"/>
        </w:rPr>
        <w:t xml:space="preserve">(</w:t>
      </w:r>
      <w:r>
        <w:rPr>
          <w:rStyle w:val="FunctionTok"/>
        </w:rPr>
        <w:t xml:space="preserve">replace</w:t>
      </w:r>
      <w:r>
        <w:rPr>
          <w:rStyle w:val="NormalTok"/>
        </w:rPr>
        <w:t xml:space="preserve">(q, </w:t>
      </w:r>
      <w:r>
        <w:rPr>
          <w:rStyle w:val="DecValTok"/>
        </w:rPr>
        <w:t xml:space="preserve">9</w:t>
      </w:r>
      <w:r>
        <w:rPr>
          <w:rStyle w:val="NormalTok"/>
        </w:rPr>
        <w:t xml:space="preserve">, </w:t>
      </w:r>
      <w:r>
        <w:rPr>
          <w:rStyle w:val="StringTok"/>
        </w:rPr>
        <w:t xml:space="preserve">"mari"</w:t>
      </w:r>
      <w:r>
        <w:rPr>
          <w:rStyle w:val="NormalTok"/>
        </w:rPr>
        <w:t xml:space="preserve">))</w:t>
      </w:r>
    </w:p>
    <w:p>
      <w:pPr>
        <w:pStyle w:val="SourceCode"/>
      </w:pPr>
      <w:r>
        <w:rPr>
          <w:rStyle w:val="VerbatimChar"/>
        </w:rPr>
        <w:t xml:space="preserve">Ecce equidem licite prædicit talia numen.</w:t>
      </w:r>
    </w:p>
    <w:bookmarkEnd w:id="23"/>
    <w:bookmarkStart w:id="24" w:name="checks"/>
    <w:p>
      <w:pPr>
        <w:pStyle w:val="Heading2"/>
      </w:pPr>
      <w:r>
        <w:t xml:space="preserve">Checks</w:t>
      </w:r>
    </w:p>
    <w:p>
      <w:pPr>
        <w:pStyle w:val="FirstParagraph"/>
      </w:pPr>
      <w:r>
        <w:rPr>
          <w:rStyle w:val="VerbatimChar"/>
        </w:rPr>
        <w:t xml:space="preserve">oracle-tests.R</w:t>
      </w:r>
      <w:r>
        <w:t xml:space="preserve"> </w:t>
      </w:r>
      <w:r>
        <w:t xml:space="preserve">(run with</w:t>
      </w:r>
      <w:r>
        <w:t xml:space="preserve"> </w:t>
      </w:r>
      <w:r>
        <w:rPr>
          <w:rStyle w:val="VerbatimChar"/>
        </w:rPr>
        <w:t xml:space="preserve">Rscript R/oracle-tests.R</w:t>
      </w:r>
      <w:r>
        <w:t xml:space="preserve"> </w:t>
      </w:r>
      <w:r>
        <w:t xml:space="preserve">from the repo root) makes 40 checks. The expected values come from the pamphlet, not from the program: the four questions of pp. 20–21 (nine words each), the sums, key and triangle of the worked examples (pp. 25 and 53), the grid, numbers, parts and cells of the first example (pp. 36, 44 and 49–52), and the two verses printed on pp. 52 and 55. Further checks concern the transcribed tables: the 162 numbers of the first table all follow the pattern the arithmetic dictates, and every cell of the second is a letter, a syllable or a “+”.</w:t>
      </w:r>
    </w:p>
    <w:p>
      <w:pPr>
        <w:pStyle w:val="BodyText"/>
      </w:pPr>
      <w:r>
        <w:t xml:space="preserve">The two printed examples confirm directly 60 of the 324 cells of the second table. The others rest on a careful reading of the plate, and on the fact that all but two of the 54 words they spell read as Latin (Table A2). A misreading of a cell would be likely to show up as a non-word in that table.</w:t>
      </w:r>
    </w:p>
    <w:bookmarkEnd w:id="24"/>
    <w:bookmarkStart w:id="25" w:name="conventions-of-the-transcription"/>
    <w:p>
      <w:pPr>
        <w:pStyle w:val="Heading2"/>
      </w:pPr>
      <w:r>
        <w:t xml:space="preserve">Conventions of the transcription</w:t>
      </w:r>
    </w:p>
    <w:p>
      <w:pPr>
        <w:pStyle w:val="FirstParagraph"/>
      </w:pPr>
      <w:r>
        <w:t xml:space="preserve">The plate prints the long</w:t>
      </w:r>
      <w:r>
        <w:t xml:space="preserve"> </w:t>
      </w:r>
      <w:r>
        <w:rPr>
          <w:i/>
          <w:iCs/>
        </w:rPr>
        <w:t xml:space="preserve">s</w:t>
      </w:r>
      <w:r>
        <w:t xml:space="preserve"> </w:t>
      </w:r>
      <w:r>
        <w:t xml:space="preserve">(ſ), which is transcribed as</w:t>
      </w:r>
      <w:r>
        <w:t xml:space="preserve"> </w:t>
      </w:r>
      <w:r>
        <w:rPr>
          <w:i/>
          <w:iCs/>
        </w:rPr>
        <w:t xml:space="preserve">s</w:t>
      </w:r>
      <w:r>
        <w:t xml:space="preserve">, and a</w:t>
      </w:r>
      <w:r>
        <w:t xml:space="preserve"> </w:t>
      </w:r>
      <w:r>
        <w:rPr>
          <w:i/>
          <w:iCs/>
        </w:rPr>
        <w:t xml:space="preserve">j</w:t>
      </w:r>
      <w:r>
        <w:t xml:space="preserve"> </w:t>
      </w:r>
      <w:r>
        <w:t xml:space="preserve">where the verses print an</w:t>
      </w:r>
      <w:r>
        <w:t xml:space="preserve"> </w:t>
      </w:r>
      <w:r>
        <w:rPr>
          <w:i/>
          <w:iCs/>
        </w:rPr>
        <w:t xml:space="preserve">i</w:t>
      </w:r>
      <w:r>
        <w:t xml:space="preserve">; the program converts one to the other in its output. The pamphlet sets</w:t>
      </w:r>
      <w:r>
        <w:t xml:space="preserve"> </w:t>
      </w:r>
      <w:r>
        <w:rPr>
          <w:i/>
          <w:iCs/>
        </w:rPr>
        <w:t xml:space="preserve">ae</w:t>
      </w:r>
      <w:r>
        <w:t xml:space="preserve"> </w:t>
      </w:r>
      <w:r>
        <w:t xml:space="preserve">and</w:t>
      </w:r>
      <w:r>
        <w:t xml:space="preserve"> </w:t>
      </w:r>
      <w:r>
        <w:rPr>
          <w:i/>
          <w:iCs/>
        </w:rPr>
        <w:t xml:space="preserve">oe</w:t>
      </w:r>
      <w:r>
        <w:t xml:space="preserve"> </w:t>
      </w:r>
      <w:r>
        <w:t xml:space="preserve">as ligatures (</w:t>
      </w:r>
      <w:r>
        <w:rPr>
          <w:i/>
          <w:iCs/>
        </w:rPr>
        <w:t xml:space="preserve">prædicit</w:t>
      </w:r>
      <w:r>
        <w:t xml:space="preserve">,</w:t>
      </w:r>
      <w:r>
        <w:t xml:space="preserve"> </w:t>
      </w:r>
      <w:r>
        <w:rPr>
          <w:i/>
          <w:iCs/>
        </w:rPr>
        <w:t xml:space="preserve">fœdera</w:t>
      </w:r>
      <w:r>
        <w:t xml:space="preserve">);</w:t>
      </w:r>
      <w:r>
        <w:t xml:space="preserve"> </w:t>
      </w:r>
      <w:r>
        <w:rPr>
          <w:rStyle w:val="VerbatimChar"/>
        </w:rPr>
        <w:t xml:space="preserve">typeset_latin()</w:t>
      </w:r>
      <w:r>
        <w:t xml:space="preserve"> </w:t>
      </w:r>
      <w:r>
        <w:t xml:space="preserve">does the same when a verse is printed. The verses printed on pp. 52 and 55 read</w:t>
      </w:r>
      <w:r>
        <w:t xml:space="preserve"> </w:t>
      </w:r>
      <w:r>
        <w:rPr>
          <w:i/>
          <w:iCs/>
        </w:rPr>
        <w:t xml:space="preserve">licitè</w:t>
      </w:r>
      <w:r>
        <w:t xml:space="preserve">, with a grave accent, where the tables spell</w:t>
      </w:r>
      <w:r>
        <w:t xml:space="preserve"> </w:t>
      </w:r>
      <w:r>
        <w:rPr>
          <w:i/>
          <w:iCs/>
        </w:rPr>
        <w:t xml:space="preserve">licite</w:t>
      </w:r>
      <w:r>
        <w:t xml:space="preserve">; the program returns the latter.</w:t>
      </w:r>
    </w:p>
    <w:bookmarkEnd w:id="25"/>
    <w:bookmarkStart w:id="29" w:name="bibliography"/>
    <w:p>
      <w:pPr>
        <w:pStyle w:val="Heading2"/>
      </w:pPr>
      <w:r>
        <w:t xml:space="preserve">Bibliography</w:t>
      </w:r>
    </w:p>
    <w:bookmarkStart w:id="28" w:name="refs"/>
    <w:bookmarkStart w:id="27" w:name="ref-Migneret1759"/>
    <w:p>
      <w:pPr>
        <w:pStyle w:val="Bibliography"/>
      </w:pPr>
      <w:r>
        <w:t xml:space="preserve">Migneret, P.-J. (1759).</w:t>
      </w:r>
      <w:r>
        <w:t xml:space="preserve"> </w:t>
      </w:r>
      <w:r>
        <w:rPr>
          <w:i/>
          <w:iCs/>
        </w:rPr>
        <w:t xml:space="preserve">Invention d’une manufacture et fabrique de vers, au petit métier, ou l’art de versifier par les seules règles du calcul numérique</w:t>
      </w:r>
      <w:r>
        <w:t xml:space="preserve">. Arkstée &amp; Merkus.</w:t>
      </w:r>
      <w:r>
        <w:t xml:space="preserve"> </w:t>
      </w:r>
      <w:hyperlink r:id="rId26">
        <w:r>
          <w:rPr>
            <w:rStyle w:val="Hyperlink"/>
          </w:rPr>
          <w:t xml:space="preserve">https://friendly.github.io/papers/Migneret1759.pdf</w:t>
        </w:r>
      </w:hyperlink>
    </w:p>
    <w:bookmarkEnd w:id="27"/>
    <w:bookmarkEnd w:id="28"/>
    <w:bookmarkEnd w:id="29"/>
    <w:sectPr>
      <w:footerReference r:id="rId9" w:type="default"/>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before="240" w:line="288" w:lineRule="auto"/>
      <w:jc w:val="both"/>
    </w:pPr>
    <w:rPr>
      <w:rFonts w:ascii="Times New Roman" w:cs="Times New Roman" w:eastAsia="Times New Roman" w:hAnsi="Times New Roman"/>
      <w:b w:val="0"/>
      <w:i w:val="0"/>
      <w:color w:val="000000"/>
      <w:sz w:val="24"/>
    </w:rPr>
  </w:style>
  <w:style w:styleId="BodyText" w:type="paragraph">
    <w:name w:val="Body Text"/>
    <w:basedOn w:val="Normal"/>
    <w:link w:val="BodyTextChar"/>
    <w:qFormat/>
    <w:pPr>
      <w:spacing w:after="240" w:before="240" w:line="288" w:lineRule="auto"/>
      <w:jc w:val="both"/>
    </w:pPr>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spacing w:after="240" w:before="240" w:line="288" w:lineRule="auto"/>
      <w:jc w:val="both"/>
    </w:pPr>
    <w:rPr>
      <w:rFonts w:ascii="Times New Roman" w:cs="Times New Roman" w:eastAsia="Times New Roman" w:hAnsi="Times New Roman"/>
      <w:b w:val="0"/>
      <w:i w:val="0"/>
      <w:color w:val="000000"/>
      <w:sz w:val="24"/>
    </w:rPr>
  </w:style>
  <w:style w:customStyle="1" w:styleId="Compact" w:type="paragraph">
    <w:name w:val="Compact"/>
    <w:basedOn w:val="BodyText"/>
    <w:qFormat/>
    <w:pPr>
      <w:spacing w:after="40" w:before="40" w:line="240" w:lineRule="auto"/>
      <w:jc w:val="left"/>
    </w:pPr>
    <w:rPr>
      <w:rFonts w:ascii="Times New Roman" w:cs="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240" w:before="0" w:line="288" w:lineRule="auto"/>
      <w:ind w:hanging="567" w:left="567"/>
      <w:jc w:val="both"/>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240" w:before="240" w:line="288" w:lineRule="auto"/>
      <w:jc w:val="left"/>
      <w:outlineLvl w:val="0"/>
    </w:pPr>
    <w:rPr>
      <w:rFonts w:ascii="Times New Roman" w:cs="Times New Roman" w:eastAsia="Times New Roman" w:hAnsi="Times New Roman"/>
      <w:b w:val="0"/>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240" w:before="240" w:line="288" w:lineRule="auto"/>
      <w:jc w:val="left"/>
      <w:outlineLvl w:val="1"/>
    </w:pPr>
    <w:rPr>
      <w:rFonts w:ascii="Times New Roman" w:cs="Times New Roman" w:eastAsia="Times New Roman" w:hAnsi="Times New Roman"/>
      <w:b w:val="0"/>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240" w:before="240" w:line="288" w:lineRule="auto"/>
      <w:jc w:val="left"/>
      <w:outlineLvl w:val="2"/>
    </w:pPr>
    <w:rPr>
      <w:rFonts w:ascii="Times New Roman" w:cs="Times New Roman" w:eastAsia="Times New Roman" w:hAnsi="Times New Roman"/>
      <w:b w:val="0"/>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firstLine="0" w:left="567" w:right="567"/>
      <w:jc w:val="both"/>
    </w:pPr>
    <w:rPr>
      <w:rFonts w:ascii="Times New Roman" w:cs="Times New Roman" w:eastAsia="Times New Roman" w:hAnsi="Times New Roman"/>
      <w:i w:val="0"/>
      <w:color w:val="000000"/>
      <w:sz w:val="22"/>
    </w:rPr>
  </w:style>
  <w:style w:styleId="FootnoteText" w:type="paragraph">
    <w:name w:val="Footnote Text"/>
    <w:basedOn w:val="Normal"/>
    <w:next w:val="FootnoteText"/>
    <w:uiPriority w:val="9"/>
    <w:unhideWhenUsed/>
    <w:qFormat/>
    <w:pPr>
      <w:spacing w:after="60" w:before="0" w:line="240" w:lineRule="auto"/>
      <w:jc w:val="both"/>
    </w:pPr>
    <w:rPr>
      <w:rFonts w:ascii="Times New Roman" w:cs="Times New Roman" w:eastAsia="Times New Roman" w:hAnsi="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240" w:line="240" w:lineRule="auto"/>
      <w:ind w:left="567"/>
      <w:jc w:val="left"/>
    </w:pPr>
    <w:rPr>
      <w:rFonts w:ascii="Arial" w:cs="Arial" w:eastAsia="Arial" w:hAnsi="Arial"/>
      <w:i w:val="0"/>
      <w:color w:val="7F7F7F"/>
      <w:sz w:val="22"/>
    </w:rPr>
  </w:style>
  <w:style w:customStyle="1" w:styleId="ImageCaption" w:type="paragraph">
    <w:name w:val="Image Caption"/>
    <w:basedOn w:val="Caption"/>
    <w:pPr>
      <w:spacing w:after="120" w:before="240" w:line="240" w:lineRule="auto"/>
      <w:ind w:left="567"/>
      <w:jc w:val="left"/>
    </w:pPr>
    <w:rPr>
      <w:rFonts w:ascii="Arial" w:cs="Arial" w:eastAsia="Arial" w:hAnsi="Arial"/>
      <w:i w:val="0"/>
      <w:color w:val="7F7F7F"/>
      <w:sz w:val="22"/>
    </w:rPr>
  </w:style>
  <w:style w:customStyle="1" w:styleId="Figure" w:type="paragraph">
    <w:name w:val="Figure"/>
    <w:basedOn w:val="Normal"/>
    <w:pPr>
      <w:keepNext/>
      <w:spacing w:after="120" w:before="120" w:line="240" w:lineRule="auto"/>
      <w:jc w:val="center"/>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120" w:line="240" w:lineRule="auto"/>
      <w:jc w:val="center"/>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E99"/>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120" w:line="240" w:lineRule="auto"/>
      <w:ind w:left="567"/>
      <w:jc w:val="left"/>
    </w:pPr>
    <w:rPr>
      <w:rFonts w:ascii="Courier New" w:cs="Courier New" w:eastAsia="Courier New" w:hAnsi="Courier New"/>
      <w:color w:val="000000"/>
      <w:sz w:val="19"/>
    </w:rPr>
  </w:style>
  <w:style w:customStyle="1" w:styleId="Titreillustration" w:type="paragraph">
    <w:name w:val="Titre illustration"/>
    <w:basedOn w:val="Normal"/>
    <w:pPr>
      <w:keepNext/>
      <w:spacing w:after="120" w:before="240" w:line="240" w:lineRule="auto"/>
      <w:ind w:left="567"/>
      <w:jc w:val="left"/>
    </w:pPr>
    <w:rPr>
      <w:rFonts w:ascii="Arial" w:cs="Arial" w:eastAsia="Arial" w:hAnsi="Arial"/>
      <w:color w:val="7F7F7F"/>
      <w:sz w:val="22"/>
    </w:rPr>
  </w:style>
  <w:style w:customStyle="1" w:styleId="Légendeillustration" w:type="paragraph">
    <w:name w:val="Légende illustration"/>
    <w:basedOn w:val="Normal"/>
    <w:pPr>
      <w:keepNext/>
      <w:spacing w:after="60" w:before="60" w:line="240" w:lineRule="auto"/>
      <w:ind w:left="567"/>
      <w:jc w:val="left"/>
    </w:pPr>
    <w:rPr>
      <w:rFonts w:ascii="Arial" w:cs="Arial" w:eastAsia="Arial" w:hAnsi="Arial"/>
      <w:color w:val="7F7F7F"/>
      <w:sz w:val="18"/>
    </w:rPr>
  </w:style>
  <w:style w:customStyle="1" w:styleId="Créditsillustration" w:type="paragraph">
    <w:name w:val="Crédits illustration"/>
    <w:basedOn w:val="Normal"/>
    <w:pPr>
      <w:spacing w:after="240" w:before="60" w:line="240" w:lineRule="auto"/>
      <w:ind w:left="567"/>
      <w:jc w:val="left"/>
    </w:pPr>
    <w:rPr>
      <w:rFonts w:ascii="Arial" w:cs="Arial" w:eastAsia="Arial" w:hAnsi="Arial"/>
      <w:color w:val="7F7F7F"/>
      <w:sz w:val="18"/>
    </w:rPr>
  </w:style>
  <w:style w:customStyle="1" w:styleId="Titrearticle" w:type="paragraph">
    <w:name w:val="Titre article"/>
    <w:basedOn w:val="Normal"/>
    <w:pPr>
      <w:spacing w:after="120" w:before="0" w:line="240" w:lineRule="auto"/>
      <w:jc w:val="left"/>
    </w:pPr>
    <w:rPr>
      <w:rFonts w:ascii="Calibri Light" w:cs="Calibri Light" w:eastAsia="Calibri Light" w:hAnsi="Calibri Light"/>
      <w:color w:val="000000"/>
      <w:sz w:val="56"/>
    </w:rPr>
  </w:style>
  <w:style w:customStyle="1" w:styleId="Sous-titrearticle" w:type="paragraph">
    <w:name w:val="Sous-titre article"/>
    <w:basedOn w:val="Normal"/>
    <w:pPr>
      <w:spacing w:after="240" w:before="120" w:line="240" w:lineRule="auto"/>
      <w:jc w:val="left"/>
    </w:pPr>
    <w:rPr>
      <w:rFonts w:ascii="Calibri" w:cs="Calibri" w:eastAsia="Calibri" w:hAnsi="Calibri"/>
      <w:color w:val="5A5A5A"/>
      <w:sz w:val="22"/>
    </w:rPr>
  </w:style>
  <w:style w:customStyle="1" w:styleId="Auteur" w:type="paragraph">
    <w:name w:val="Auteur"/>
    <w:basedOn w:val="Normal"/>
    <w:pPr>
      <w:spacing w:after="0" w:before="120" w:line="240" w:lineRule="auto"/>
      <w:jc w:val="left"/>
    </w:pPr>
    <w:rPr>
      <w:rFonts w:ascii="Calibri" w:cs="Calibri" w:eastAsia="Calibri" w:hAnsi="Calibri"/>
      <w:color w:val="000000"/>
      <w:sz w:val="22"/>
    </w:rPr>
  </w:style>
  <w:style w:customStyle="1" w:styleId="Frontmatter" w:type="paragraph">
    <w:name w:val="Front matter"/>
    <w:basedOn w:val="Normal"/>
    <w:pPr>
      <w:spacing w:after="120" w:before="120" w:line="240" w:lineRule="auto"/>
      <w:ind w:left="567" w:right="567"/>
      <w:jc w:val="both"/>
    </w:pPr>
    <w:rPr>
      <w:rFonts w:ascii="Courier New" w:cs="Courier New" w:eastAsia="Courier New" w:hAnsi="Courier New"/>
      <w:color w:val="000080"/>
      <w:sz w:val="20"/>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6" Type="http://schemas.openxmlformats.org/officeDocument/2006/relationships/hyperlink" Target="https://friendly.github.io/papers/Migneret1759.pdf" TargetMode="External"/><Relationship Id="rId18" Type="http://schemas.openxmlformats.org/officeDocument/2006/relationships/hyperlink" Target="https://github.com/friendly/chatgpt-1759"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friendly.github.io/papers/Migneret1759.pdf" TargetMode="External"/><Relationship Id="rId18" Type="http://schemas.openxmlformats.org/officeDocument/2006/relationships/hyperlink" Target="https://github.com/friendly/chatgpt-1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2026-10-03T19:24:44Z</dcterms:created>
  <dcterms:modified xsi:type="dcterms:W3CDTF">2026-10-03T19:24:44Z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references.yaml</vt:lpwstr>
  </property>
  <property fmtid="{D5CDD505-2E9C-101B-9397-08002B2CF9AE}" pid="4" name="csl">
    <vt:lpwstr>assets/apa7.csl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False</vt:lpwstr>
  </property>
  <property fmtid="{D5CDD505-2E9C-101B-9397-08002B2CF9AE}" pid="12" name="toc-title">
    <vt:lpwstr>Table of contents</vt:lpwstr>
  </property>
</Properties>
</file>