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15.jpg" ContentType="image/jpeg"/>
  <Override PartName="/word/media/rId62.jpg" ContentType="image/jpeg"/>
  <Override PartName="/word/media/rId10.jpg" ContentType="image/jpeg"/>
  <Override PartName="/word/media/rId45.png" ContentType="image/png"/>
  <Override PartName="/word/media/rId21.jpg" ContentType="image/jpe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w:t>
      </w:r>
      <w:r>
        <w:t xml:space="preserve">Friendly and les Chevaliers</w:t>
      </w:r>
      <w:r>
        <w:t xml:space="preserve"> </w:t>
      </w:r>
      <w:r>
        <w:t xml:space="preserve">2020)</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7"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containing a small graph. Was I interested? I was indeed! Graduate students at my university were on strike, so I had plenty of time for a new historical hero.</w:t>
      </w:r>
    </w:p>
    <w:p>
      <w:pPr>
        <w:pStyle w:val="BodyText"/>
      </w:pPr>
      <w:r>
        <w:t xml:space="preserve">The graph showed seven names on a scale of degrees: a scatter of estimates of the difference in longitude between Toledo and Rome. It looked very much like the famous 1644 diagram in Michael Florent van Langren’s</w:t>
      </w:r>
      <w:r>
        <w:t xml:space="preserve"> </w:t>
      </w:r>
      <w:hyperlink r:id="rId9">
        <w:r>
          <w:rPr>
            <w:rStyle w:val="Hyperlink"/>
            <w:i/>
            <w:iCs/>
          </w:rPr>
          <w:t xml:space="preserve">La Verdadera Longitud por Mar y Tierra</w:t>
        </w:r>
      </w:hyperlink>
      <w:r>
        <w:t xml:space="preserve">—except this letter predated that publication by at least sixteen years.</w:t>
      </w:r>
    </w:p>
    <w:tbl>
      <w:tblPr>
        <w:tblStyle w:val="Table"/>
        <w:tblW w:type="pct" w:w="5000"/>
        <w:tblLayout w:type="fixed"/>
        <w:tblLook w:firstRow="0" w:lastRow="0" w:firstColumn="0" w:lastColumn="0" w:noHBand="0" w:noVBand="0" w:val="0000"/>
      </w:tblPr>
      <w:tblGrid>
        <w:gridCol w:w="7920"/>
      </w:tblGrid>
      <w:tr>
        <w:tc>
          <w:tcPr/>
          <w:bookmarkStart w:id="13" w:name="fig-1628-letter"/>
          <w:p>
            <w:pPr>
              <w:pStyle w:val="Compact"/>
              <w:jc w:val="center"/>
            </w:pPr>
            <w:r>
              <w:drawing>
                <wp:inline>
                  <wp:extent cx="5334000" cy="1656129"/>
                  <wp:effectExtent b="0" l="0" r="0" t="0"/>
                  <wp:docPr descr="" title="" id="11" name="Picture"/>
                  <a:graphic>
                    <a:graphicData uri="http://schemas.openxmlformats.org/drawingml/2006/picture">
                      <pic:pic>
                        <pic:nvPicPr>
                          <pic:cNvPr descr="images/vanLangren1628-graph.jpg" id="12" name="Picture"/>
                          <pic:cNvPicPr>
                            <a:picLocks noChangeArrowheads="1" noChangeAspect="1"/>
                          </pic:cNvPicPr>
                        </pic:nvPicPr>
                        <pic:blipFill>
                          <a:blip r:embed="rId10"/>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p>
          <w:bookmarkEnd w:id="13"/>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(Friendly et al. 2010)</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in the table anyone else at the time would have used. We always ask:</w:t>
      </w:r>
    </w:p>
    <w:p>
      <w:pPr>
        <w:pStyle w:val="BlockText"/>
      </w:pPr>
      <w:r>
        <w:rPr>
          <w:b/>
          <w:bCs/>
        </w:rPr>
        <w:t xml:space="preserve">What was he thinking?</w:t>
      </w:r>
    </w:p>
    <w:p>
      <w:pPr>
        <w:pStyle w:val="FirstParagraph"/>
      </w:pPr>
      <w:r>
        <w:t xml:space="preserve">Our answer was that only a dot plot would let the King</w:t>
      </w:r>
      <w:r>
        <w:t xml:space="preserve"> </w:t>
      </w:r>
      <w:r>
        <w:rPr>
          <w:b/>
          <w:bCs/>
        </w:rPr>
        <w:t xml:space="preserve">see</w:t>
      </w:r>
      <w:r>
        <w:t xml:space="preserve"> </w:t>
      </w:r>
      <w:r>
        <w:t xml:space="preserve">what van Langren wanted him to see:</w:t>
      </w:r>
      <w:r>
        <w:t xml:space="preserve"> </w:t>
      </w:r>
      <w:r>
        <w:t xml:space="preserve">all previous methods</w:t>
      </w:r>
      <w:r>
        <w:rPr>
          <w:rStyle w:val="FootnoteReference"/>
        </w:rPr>
        <w:footnoteReference w:id="14"/>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30</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644-overlay"/>
          <w:p>
            <w:pPr>
              <w:pStyle w:val="Compact"/>
              <w:jc w:val="center"/>
            </w:pPr>
            <w:r>
              <w:drawing>
                <wp:inline>
                  <wp:extent cx="5334000" cy="1067954"/>
                  <wp:effectExtent b="0" l="0" r="0" t="0"/>
                  <wp:docPr descr="" title="" id="16" name="Picture"/>
                  <a:graphic>
                    <a:graphicData uri="http://schemas.openxmlformats.org/drawingml/2006/picture">
                      <pic:pic>
                        <pic:nvPicPr>
                          <pic:cNvPr descr="images/Langren1644-overlay.jpg" id="17" name="Picture"/>
                          <pic:cNvPicPr>
                            <a:picLocks noChangeArrowheads="1" noChangeAspect="1"/>
                          </pic:cNvPicPr>
                        </pic:nvPicPr>
                        <pic:blipFill>
                          <a:blip r:embed="rId15"/>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p>
          <w:bookmarkEnd w:id="18"/>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fix was. On page 8 of</w:t>
      </w:r>
      <w:r>
        <w:t xml:space="preserve"> </w:t>
      </w:r>
      <w:r>
        <w:rPr>
          <w:i/>
          <w:iCs/>
        </w:rPr>
        <w:t xml:space="preserve">La Verdadera</w:t>
      </w:r>
      <w:r>
        <w:t xml:space="preserve"> </w:t>
      </w:r>
      <w:r>
        <w:t xml:space="preserve">he printed it anyway—but in cipher, promising to reveal the plaintext after suitable compensation. Except for the puzzle, the</w:t>
      </w:r>
      <w:r>
        <w:t xml:space="preserve"> </w:t>
      </w:r>
      <w:hyperlink r:id="rId19">
        <w:r>
          <w:rPr>
            <w:rStyle w:val="Hyperlink"/>
          </w:rPr>
          <w:t xml:space="preserve">text of</w:t>
        </w:r>
        <w:r>
          <w:rPr>
            <w:rStyle w:val="Hyperlink"/>
          </w:rPr>
          <w:t xml:space="preserve"> </w:t>
        </w:r>
        <w:r>
          <w:rPr>
            <w:rStyle w:val="Hyperlink"/>
            <w:i/>
            <w:iCs/>
          </w:rPr>
          <w:t xml:space="preserve">La Verdadera</w:t>
        </w:r>
      </w:hyperlink>
      <w:r>
        <w:t xml:space="preserve"> </w:t>
      </w:r>
      <w:r>
        <w:t xml:space="preserve">reads like a modern grant application.</w:t>
      </w:r>
      <w:r>
        <w:t xml:space="preserve"> </w:t>
      </w:r>
      <w:r>
        <w:t xml:space="preserve">We reproduced the ciphertext in</w:t>
      </w:r>
      <w:r>
        <w:t xml:space="preserve"> </w:t>
      </w:r>
      <w:hyperlink r:id="rId20">
        <w:r>
          <w:rPr>
            <w:rStyle w:val="Hyperlink"/>
          </w:rPr>
          <w:t xml:space="preserve">our supplementary materials</w:t>
        </w:r>
      </w:hyperlink>
      <w:r>
        <w:t xml:space="preserve">, posed a few questions about what kind of cipher it might be, and moved on.</w:t>
      </w:r>
    </w:p>
    <w:p>
      <w:pPr>
        <w:pStyle w:val="BodyText"/>
      </w:pPr>
      <w:r>
        <w:t xml:space="preserve">Not quite right away. In 2009 and 2010 I tracked down a handful of codebreakers—a few retired from the CIA, a couple from NASA—who I thought might enjoy a historical puzzle. A few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4" w:name="fig-cipher-page"/>
          <w:p>
            <w:pPr>
              <w:pStyle w:val="Compact"/>
              <w:jc w:val="center"/>
            </w:pPr>
            <w:r>
              <w:drawing>
                <wp:inline>
                  <wp:extent cx="4267200" cy="2120302"/>
                  <wp:effectExtent b="0" l="0" r="0" t="0"/>
                  <wp:docPr descr="" title="" id="22" name="Picture"/>
                  <a:graphic>
                    <a:graphicData uri="http://schemas.openxmlformats.org/drawingml/2006/picture">
                      <pic:pic>
                        <pic:nvPicPr>
                          <pic:cNvPr descr="images/verdadera-cipher.jpg" id="23" name="Picture"/>
                          <pic:cNvPicPr>
                            <a:picLocks noChangeArrowheads="1" noChangeAspect="1"/>
                          </pic:cNvPicPr>
                        </pic:nvPicPr>
                        <pic:blipFill>
                          <a:blip r:embed="rId21"/>
                          <a:stretch>
                            <a:fillRect/>
                          </a:stretch>
                        </pic:blipFill>
                        <pic:spPr bwMode="auto">
                          <a:xfrm>
                            <a:off x="0" y="0"/>
                            <a:ext cx="4267200" cy="212030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Page 8 of</w:t>
            </w:r>
            <w:r>
              <w:t xml:space="preserve"> </w:t>
            </w:r>
            <w:r>
              <w:rPr>
                <w:i/>
                <w:iCs/>
              </w:rPr>
              <w:t xml:space="preserve">La Verdadera Longitud por Mar y Tierra</w:t>
            </w:r>
            <w:r>
              <w:t xml:space="preserve"> </w:t>
            </w:r>
            <w:r>
              <w:t xml:space="preserve">(1644): the printed cipher, exactly as van Langren’s readers first saw it.</w:t>
            </w:r>
          </w:p>
          <w:bookmarkEnd w:id="24"/>
        </w:tc>
      </w:tr>
    </w:tbl>
    <w:p>
      <w:pPr>
        <w:pStyle w:val="BodyText"/>
      </w:pPr>
      <w:r>
        <w:t xml:space="preserve">Here are the first six lines,</w:t>
      </w:r>
      <w:r>
        <w:t xml:space="preserve"> </w:t>
      </w:r>
      <w:hyperlink r:id="rId25">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It contains 204 of those space-separated groups, nearly all of them four to eight characters long, no group repeating often enough to be a common word in any language. 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actually remembered for:</w:t>
      </w:r>
      <w:r>
        <w:t xml:space="preserve"> </w:t>
      </w:r>
      <w:hyperlink r:id="rId26">
        <w:r>
          <w:rPr>
            <w:rStyle w:val="Hyperlink"/>
          </w:rPr>
          <w:t xml:space="preserve">his 1645 lunar map</w:t>
        </w:r>
      </w:hyperlink>
      <w:r>
        <w:t xml:space="preserve">, the first comprehensive survey of the moon’s craters and mountains, and the method he built around it—using the sunrise and sunset lines crossing named lunar peaks as a celestial clock, visible wherever the moon was. It was a reasonable guess, and it made a good (his)story. It was also wrong.</w:t>
      </w:r>
    </w:p>
    <w:bookmarkEnd w:id="27"/>
    <w:bookmarkStart w:id="28"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w:t>
      </w:r>
      <w:r>
        <w:t xml:space="preserve"> </w:t>
      </w:r>
      <w:r>
        <w:t xml:space="preserve">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t>
      </w:r>
      <w:r>
        <w:t xml:space="preserve">of the 16–17</w:t>
      </w:r>
      <m:oMath>
        <m:sSup>
          <m:e>
            <m:r>
              <m:t>​</m:t>
            </m:r>
          </m:e>
          <m:sup>
            <m:r>
              <m:t>t</m:t>
            </m:r>
            <m:r>
              <m:t>h</m:t>
            </m:r>
          </m:sup>
        </m:sSup>
      </m:oMath>
      <w:r>
        <w:t xml:space="preserve"> </w:t>
      </w:r>
      <w:r>
        <w:t xml:space="preserve">centuries,</w:t>
      </w:r>
      <w:r>
        <w:t xml:space="preserve"> </w:t>
      </w:r>
      <w:r>
        <w:t xml:space="preserve">when European kings sent ships across the world to find new trading routes, treasure, and lands.</w:t>
      </w:r>
    </w:p>
    <w:p>
      <w:pPr>
        <w:pStyle w:val="BodyText"/>
      </w:pPr>
      <w:r>
        <w:rPr>
          <w:b/>
          <w:bCs/>
        </w:rPr>
        <w:t xml:space="preserve">Latitude</w:t>
      </w:r>
      <w:r>
        <w:t xml:space="preserve"> </w:t>
      </w:r>
      <w:r>
        <w:t xml:space="preserve">is easy: the elevation of the sun, moon, or stars above the horizon tells</w:t>
      </w:r>
      <w:r>
        <w:t xml:space="preserve"> </w:t>
      </w:r>
      <w:r>
        <w:t xml:space="preserve">you directly how far north or south of the equator you are. Nature provides the reference</w:t>
      </w:r>
      <w:r>
        <w:t xml:space="preserve"> </w:t>
      </w:r>
      <w:r>
        <w:t xml:space="preserve">frame.</w:t>
      </w:r>
    </w:p>
    <w:p>
      <w:pPr>
        <w:pStyle w:val="BodyText"/>
      </w:pPr>
      <w:r>
        <w:rPr>
          <w:b/>
          <w:bCs/>
        </w:rPr>
        <w:t xml:space="preserve">Longitude</w:t>
      </w:r>
      <w:r>
        <w:t xml:space="preserve"> </w:t>
      </w:r>
      <w:r>
        <w:t xml:space="preserve">offers no such anchor. There is no natural zero line, and the distance</w:t>
      </w:r>
      <w:r>
        <w:t xml:space="preserve"> </w:t>
      </w:r>
      <w:r>
        <w:t xml:space="preserve">corresponding to one degree of longitude shrinks from 111 km at the equator to zero at</w:t>
      </w:r>
      <w:r>
        <w:t xml:space="preserve"> </w:t>
      </w:r>
      <w:r>
        <w:t xml:space="preserve">the poles. What</w:t>
      </w:r>
      <w:r>
        <w:t xml:space="preserve"> </w:t>
      </w:r>
      <w:r>
        <w:rPr>
          <w:i/>
          <w:iCs/>
        </w:rPr>
        <w:t xml:space="preserve">is</w:t>
      </w:r>
      <w:r>
        <w:t xml:space="preserve"> </w:t>
      </w:r>
      <w:r>
        <w:t xml:space="preserve">fixed is the relationship between longitude and time: Earth rotates</w:t>
      </w:r>
      <w:r>
        <w:t xml:space="preserve"> </w:t>
      </w:r>
      <w:r>
        <w:t xml:space="preserve">360° in 24 hours, or 15° per hour, so a difference in longitude translates directly into</w:t>
      </w:r>
      <w:r>
        <w:t xml:space="preserve"> </w:t>
      </w:r>
      <w:r>
        <w:t xml:space="preserve">a difference in local time:</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oMath>
      </m:oMathPara>
    </w:p>
    <w:p>
      <w:pPr>
        <w:pStyle w:val="FirstParagraph"/>
      </w:pPr>
      <w:r>
        <w:t xml:space="preserve">This means the general solution requires</w:t>
      </w:r>
      <w:r>
        <w:t xml:space="preserve"> </w:t>
      </w:r>
      <w:r>
        <w:rPr>
          <w:b/>
          <w:bCs/>
        </w:rPr>
        <w:t xml:space="preserve">two clocks</w:t>
      </w:r>
      <w:r>
        <w:t xml:space="preserve">: one tracking local time (reset</w:t>
      </w:r>
      <w:r>
        <w:t xml:space="preserve"> </w:t>
      </w:r>
      <w:r>
        <w:t xml:space="preserve">each day by observing solar noon), the other keeping the time at a reference location set</w:t>
      </w:r>
      <w:r>
        <w:t xml:space="preserve"> </w:t>
      </w:r>
      <w:r>
        <w:t xml:space="preserve">before departure and never touched again:</w:t>
      </w:r>
    </w:p>
    <w:p>
      <w:pPr>
        <w:pStyle w:val="BodyText"/>
      </w:pPr>
      <m:oMathPara>
        <m:oMathParaPr>
          <m:jc m:val="center"/>
        </m:oMathParaPr>
        <m:oMath>
          <m:r>
            <m:rPr>
              <m:sty m:val="p"/>
            </m:rPr>
            <m:t>Δ</m:t>
          </m:r>
          <m:r>
            <m:rPr>
              <m:nor/>
              <m:sty m:val="p"/>
            </m:rPr>
            <m:t>time</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oMath>
      </m:oMathPara>
    </w:p>
    <w:p>
      <w:pPr>
        <w:pStyle w:val="FirstParagraph"/>
      </w:pPr>
      <w:r>
        <w:t xml:space="preserve">The difficulty was that no mechanical clock of the era was accurate enough to serve as</w:t>
      </w:r>
      <w:r>
        <w:t xml:space="preserve"> </w:t>
      </w:r>
      <w:r>
        <w:t xml:space="preserve">the</w:t>
      </w:r>
      <w:r>
        <w:t xml:space="preserve"> </w:t>
      </w:r>
      <w:r>
        <w:rPr>
          <w:i/>
          <w:iCs/>
        </w:rPr>
        <w:t xml:space="preserve">reference</w:t>
      </w:r>
      <w:r>
        <w:t xml:space="preserve"> </w:t>
      </w:r>
      <w:r>
        <w:t xml:space="preserve">clock aboard a ship for weeks. The alternative—an</w:t>
      </w:r>
      <w:r>
        <w:t xml:space="preserve"> </w:t>
      </w:r>
      <w:r>
        <w:rPr>
          <w:i/>
          <w:iCs/>
        </w:rPr>
        <w:t xml:space="preserve">astronomical</w:t>
      </w:r>
      <w:r>
        <w:t xml:space="preserve"> </w:t>
      </w:r>
      <w:r>
        <w:t xml:space="preserve">solution—was to use a predictable celestial event (a lunar eclipse, an occultation of</w:t>
      </w:r>
      <w:r>
        <w:t xml:space="preserve"> </w:t>
      </w:r>
      <w:r>
        <w:t xml:space="preserve">a star by the moon, the moons of Jupiter) as a surrogate reference clock: time the event</w:t>
      </w:r>
      <w:r>
        <w:t xml:space="preserve"> </w:t>
      </w:r>
      <w:r>
        <w:t xml:space="preserve">locally, look up when it was predicted to occur at the reference meridian, subtract.</w:t>
      </w:r>
    </w:p>
    <w:p>
      <w:pPr>
        <w:pStyle w:val="BodyText"/>
      </w:pPr>
      <w:r>
        <w:t xml:space="preserve">Van Langren had spent years perfecting one such method, using (as we thought) the</w:t>
      </w:r>
      <w:r>
        <w:t xml:space="preserve"> </w:t>
      </w:r>
      <w:r>
        <w:t xml:space="preserve">positions of sunrise and sunset lines crossing named peaks on the lunar surface—which</w:t>
      </w:r>
      <w:r>
        <w:t xml:space="preserve"> </w:t>
      </w:r>
      <w:r>
        <w:t xml:space="preserve">is why his cipher was so unexpected. What he had chosen to hide was neither the lunar</w:t>
      </w:r>
      <w:r>
        <w:t xml:space="preserve"> </w:t>
      </w:r>
      <w:r>
        <w:t xml:space="preserve">method nor a mechanical clock. It was a water clock.</w:t>
      </w:r>
    </w:p>
    <w:bookmarkEnd w:id="28"/>
    <w:bookmarkStart w:id="44"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who loved a good puzzle.</w:t>
      </w:r>
    </w:p>
    <w:p>
      <w:pPr>
        <w:pStyle w:val="BodyText"/>
      </w:pPr>
      <w:r>
        <w:t xml:space="preserve">The cipher had been kept alive by other amateurs: the cryptology blogger Klaus Schmeh flagged it in 2015 as a neglected historical puzzle, and the mathematician</w:t>
      </w:r>
      <w:r>
        <w:t xml:space="preserve"> </w:t>
      </w:r>
      <w:hyperlink r:id="rId29">
        <w:r>
          <w:rPr>
            <w:rStyle w:val="Hyperlink"/>
          </w:rPr>
          <w:t xml:space="preserve">Dirk Huylebrouck</w:t>
        </w:r>
      </w:hyperlink>
      <w:r>
        <w:t xml:space="preserve"> </w:t>
      </w:r>
      <w:r>
        <w:t xml:space="preserve">spent years shopping it around online forums, without success. Then, in December 2020, a trio of codebreakers—David Oranchak, Sam Blake, and Jarl Van Eycke—cracked the</w:t>
      </w:r>
      <w:r>
        <w:t xml:space="preserve"> </w:t>
      </w:r>
      <w:hyperlink r:id="rId30">
        <w:r>
          <w:rPr>
            <w:rStyle w:val="Hyperlink"/>
          </w:rPr>
          <w:t xml:space="preserve">Zodiac Killer’s notorious Z340 cipher</w:t>
        </w:r>
      </w:hyperlink>
      <w:r>
        <w:t xml:space="preserve">,</w:t>
      </w:r>
      <w:r>
        <w:rPr>
          <w:rStyle w:val="FootnoteReference"/>
        </w:rPr>
        <w:footnoteReference w:id="31"/>
      </w:r>
      <w:r>
        <w:t xml:space="preserve"> </w:t>
      </w:r>
      <w:r>
        <w:t xml:space="preserve">unsolved for 51 years. Huylebrouck read the news, tracked down Van Eycke, and handed him the</w:t>
      </w:r>
      <w:r>
        <w:t xml:space="preserve"> </w:t>
      </w:r>
      <w:r>
        <w:rPr>
          <w:i/>
          <w:iCs/>
        </w:rPr>
        <w:t xml:space="preserve">van Langren Code</w:t>
      </w:r>
      <w:r>
        <w:t xml:space="preserve">.</w:t>
      </w:r>
    </w:p>
    <w:p>
      <w:pPr>
        <w:pStyle w:val="BodyText"/>
      </w:pPr>
      <w:r>
        <w:t xml:space="preserve">Van Eycke solved it in about a week!</w:t>
      </w:r>
    </w:p>
    <w:p>
      <w:pPr>
        <w:pStyle w:val="BodyText"/>
      </w:pPr>
      <w:r>
        <w:t xml:space="preserve">Van Eycke never published his own account of the break; what follows retraces his steps as</w:t>
      </w:r>
      <w:r>
        <w:t xml:space="preserve"> </w:t>
      </w:r>
      <w:hyperlink r:id="rId32">
        <w:r>
          <w:rPr>
            <w:rStyle w:val="Hyperlink"/>
          </w:rPr>
          <w:t xml:space="preserve">Klaus Schmeh reported them</w:t>
        </w:r>
      </w:hyperlink>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33"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33"/>
    <w:bookmarkStart w:id="37" w:name="step-2-strip-spaces-and-decoy-capitals"/>
    <w:p>
      <w:pPr>
        <w:pStyle w:val="Heading3"/>
      </w:pPr>
      <w:r>
        <w:t xml:space="preserve">Step 2: strip spaces and decoy capitals</w:t>
      </w:r>
    </w:p>
    <w:p>
      <w:pPr>
        <w:pStyle w:val="FirstParagraph"/>
      </w:pPr>
      <w:r>
        <w:t xml:space="preserve">With the spaces gone, Van Eycke first tested for</w:t>
      </w:r>
      <w:r>
        <w:t xml:space="preserve"> </w:t>
      </w:r>
      <w:hyperlink r:id="rId34">
        <w:r>
          <w:rPr>
            <w:rStyle w:val="Hyperlink"/>
          </w:rPr>
          <w:t xml:space="preserve">periodic transposition</w:t>
        </w:r>
      </w:hyperlink>
      <w:r>
        <w:t xml:space="preserve">—letters simply reordered rather than substituted. Nothing. He then tried removing different classes of symbols to see what improved the letter-trigram statistics.</w:t>
      </w:r>
      <w:r>
        <w:rPr>
          <w:rStyle w:val="FootnoteReference"/>
        </w:rPr>
        <w:footnoteReference w:id="35"/>
      </w:r>
      <w:r>
        <w:t xml:space="preserve"> </w:t>
      </w:r>
      <w:r>
        <w:t xml:space="preserve">The capital letters sprinkled through the text turned out to be pure noise, meant to further deceive any rival who might try to steal van Langren’s thunder.</w:t>
      </w:r>
      <w:r>
        <w:rPr>
          <w:rStyle w:val="FootnoteReference"/>
        </w:rPr>
        <w:footnoteReference w:id="36"/>
      </w:r>
      <w:r>
        <w:t xml:space="preserve"> </w:t>
      </w:r>
      <w:r>
        <w:t xml:space="preserve">Deleting them leaves a single unbroken run of 987 lowercase letters, long-s (ſ) characters, and digits.</w:t>
      </w:r>
    </w:p>
    <w:bookmarkEnd w:id="37"/>
    <w:bookmarkStart w:id="38"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8"/>
    <w:bookmarkStart w:id="43"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in</w:t>
      </w:r>
      <w:r>
        <w:t xml:space="preserve"> </w:t>
      </w:r>
      <w:hyperlink r:id="rId39">
        <w:r>
          <w:rPr>
            <w:rStyle w:val="VerbatimChar"/>
          </w:rPr>
          <w:t xml:space="preserve">R/decode-cipher.R</w:t>
        </w:r>
      </w:hyperlink>
      <w:r>
        <w:t xml:space="preserve">.</w:t>
      </w:r>
      <w:r>
        <w:rPr>
          <w:rStyle w:val="FootnoteReference"/>
        </w:rPr>
        <w:footnoteReference w:id="40"/>
      </w:r>
    </w:p>
    <w:bookmarkEnd w:id="43"/>
    <w:bookmarkEnd w:id="44"/>
    <w:bookmarkStart w:id="57" w:name="what-van-langren-was-hiding"/>
    <w:p>
      <w:pPr>
        <w:pStyle w:val="Heading2"/>
      </w:pPr>
      <w:r>
        <w:t xml:space="preserve">What van Langren Was Hiding</w:t>
      </w:r>
    </w:p>
    <w:p>
      <w:pPr>
        <w:pStyle w:val="FirstParagraph"/>
      </w:pPr>
      <w:r>
        <w:t xml:space="preserve">The plaintext describes not a lunar method at all, but a</w:t>
      </w:r>
      <w:r>
        <w:t xml:space="preserve"> </w:t>
      </w:r>
      <w:r>
        <w:rPr>
          <w:b/>
          <w:bCs/>
        </w:rPr>
        <w:t xml:space="preserve">24-hour water clock</w:t>
      </w:r>
      <w:r>
        <w:t xml:space="preserve"> </w:t>
      </w:r>
      <w:r>
        <w:t xml:space="preserve">(</w:t>
      </w:r>
      <w:hyperlink w:anchor="fig-waterclock">
        <w:r>
          <w:rPr>
            <w:rStyle w:val="Hyperlink"/>
          </w:rPr>
          <w:t xml:space="preserve">Figure 4</w:t>
        </w:r>
      </w:hyperlink>
      <w:r>
        <w:t xml:space="preserve">). In paraphrase:</w:t>
      </w:r>
    </w:p>
    <w:p>
      <w:pPr>
        <w:pStyle w:val="BlockText"/>
      </w:pPr>
      <w:r>
        <w:t xml:space="preserve">Make two cylindrical copper vessels of equal capacity, each ending in a cone with a small hole at its point, and fill them with seawater. At departure, start the first draining while noting which known star sits on the meridian; it will run empty in exactly 24 hours of sidereal time, when that star returns to the meridian. Then start the second, and so on, every day of the voyage. Each time a vessel empties, the reference star’s distance from the meridian gives the degrees of longitude traveled from port. A small cork float marks the moment of emptying.</w:t>
      </w:r>
    </w:p>
    <w:p>
      <w:pPr>
        <w:pStyle w:val="FirstParagraph"/>
      </w:pPr>
      <w:r>
        <w:t xml:space="preserve">It’s a genuinely clever idea: the water clock carries the time of the home port, and the stars supply the local time to compare it with—exactly the two clocks the longitude problem requires. But it is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tbl>
      <w:tblPr>
        <w:tblStyle w:val="Table"/>
        <w:tblW w:type="pct" w:w="5000"/>
        <w:tblLayout w:type="fixed"/>
        <w:tblLook w:firstRow="0" w:lastRow="0" w:firstColumn="0" w:lastColumn="0" w:noHBand="0" w:noVBand="0" w:val="0000"/>
      </w:tblPr>
      <w:tblGrid>
        <w:gridCol w:w="7920"/>
      </w:tblGrid>
      <w:tr>
        <w:tc>
          <w:tcPr/>
          <w:bookmarkStart w:id="48" w:name="fig-waterclock"/>
          <w:p>
            <w:pPr>
              <w:pStyle w:val="Compact"/>
              <w:jc w:val="center"/>
            </w:pPr>
            <w:r>
              <w:drawing>
                <wp:inline>
                  <wp:extent cx="4267200" cy="2726266"/>
                  <wp:effectExtent b="0" l="0" r="0" t="0"/>
                  <wp:docPr descr="" title="" id="46" name="Picture"/>
                  <a:graphic>
                    <a:graphicData uri="http://schemas.openxmlformats.org/drawingml/2006/picture">
                      <pic:pic>
                        <pic:nvPicPr>
                          <pic:cNvPr descr="images/vanlangren-waterclock.png" id="47" name="Picture"/>
                          <pic:cNvPicPr>
                            <a:picLocks noChangeArrowheads="1" noChangeAspect="1"/>
                          </pic:cNvPicPr>
                        </pic:nvPicPr>
                        <pic:blipFill>
                          <a:blip r:embed="rId45"/>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8"/>
        </w:tc>
      </w:tr>
    </w:tbl>
    <w:tbl>
      <w:tblPr>
        <w:tblStyle w:val="Table"/>
        <w:tblW w:type="pct" w:w="5000"/>
        <w:tblLayout w:type="fixed"/>
        <w:tblLook w:firstRow="0" w:lastRow="0" w:firstColumn="0" w:lastColumn="0" w:noHBand="0" w:noVBand="0" w:val="0000"/>
      </w:tblPr>
      <w:tblGrid>
        <w:gridCol w:w="7920"/>
      </w:tblGrid>
      <w:tr>
        <w:tc>
          <w:tcPr/>
          <w:bookmarkStart w:id="53" w:name="fig-harrison"/>
          <w:p>
            <w:pPr>
              <w:pStyle w:val="Compact"/>
              <w:jc w:val="center"/>
            </w:pPr>
            <w:r>
              <w:drawing>
                <wp:inline>
                  <wp:extent cx="1270000" cy="1493520"/>
                  <wp:effectExtent b="0" l="0" r="0" t="0"/>
                  <wp:docPr descr="" title="" id="50" name="Picture"/>
                  <a:graphic>
                    <a:graphicData uri="http://schemas.openxmlformats.org/drawingml/2006/picture">
                      <pic:pic>
                        <pic:nvPicPr>
                          <pic:cNvPr descr="images/Harrison-H1_low_250.jpg" id="51" name="Picture"/>
                          <pic:cNvPicPr>
                            <a:picLocks noChangeArrowheads="1" noChangeAspect="1"/>
                          </pic:cNvPicPr>
                        </pic:nvPicPr>
                        <pic:blipFill>
                          <a:blip r:embed="rId49"/>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 By Phantom Photographer,</w:t>
            </w:r>
            <w:r>
              <w:t xml:space="preserve"> </w:t>
            </w:r>
            <w:hyperlink r:id="rId52">
              <w:r>
                <w:rPr>
                  <w:rStyle w:val="Hyperlink"/>
                </w:rPr>
                <w:t xml:space="preserve">CC BY-SA 3.0</w:t>
              </w:r>
            </w:hyperlink>
            <w:r>
              <w:t xml:space="preserve">.</w:t>
            </w:r>
          </w:p>
          <w:bookmarkEnd w:id="53"/>
        </w:tc>
      </w:tr>
    </w:tbl>
    <w:p>
      <w:pPr>
        <w:pStyle w:val="BodyText"/>
      </w:pPr>
      <w:r>
        <w:t xml:space="preserve">The</w:t>
      </w:r>
      <w:r>
        <w:t xml:space="preserve"> </w:t>
      </w:r>
      <w:hyperlink r:id="rId54">
        <w:r>
          <w:rPr>
            <w:rStyle w:val="Hyperlink"/>
          </w:rPr>
          <w:t xml:space="preserve">clepsydra</w:t>
        </w:r>
      </w:hyperlink>
      <w:r>
        <w:t xml:space="preserve"> </w:t>
      </w:r>
      <w:r>
        <w:t xml:space="preserve">is one of humanity’s oldest timekeeping instruments, and its flaw was ancient too: water’s flow rate shifts with temperature, as the Han-dynasty astronomer</w:t>
      </w:r>
      <w:r>
        <w:t xml:space="preserve"> </w:t>
      </w:r>
      <w:hyperlink r:id="rId55">
        <w:r>
          <w:rPr>
            <w:rStyle w:val="Hyperlink"/>
          </w:rPr>
          <w:t xml:space="preserve">Huan Tan</w:t>
        </w:r>
      </w:hyperlink>
      <w:r>
        <w:t xml:space="preserve"> </w:t>
      </w:r>
      <w:r>
        <w:t xml:space="preserve">noted two thousand years before van Langren. At sea, pitching decks and swinging temperatures would have thrown his copper cones out of sync within days, and the tolerance was brutal: four minutes of drift is one degree of longitude—about 68 km at the latitude of Amsterdam.</w:t>
      </w:r>
    </w:p>
    <w:p>
      <w:pPr>
        <w:pStyle w:val="BodyText"/>
      </w:pPr>
      <w:r>
        <w:t xml:space="preserve">Van Langren wrote his cipher in the early 1640s. The pendulum clock was still some fifteen years off; an accurate</w:t>
      </w:r>
      <w:r>
        <w:t xml:space="preserve"> </w:t>
      </w:r>
      <w:hyperlink r:id="rId56">
        <w:r>
          <w:rPr>
            <w:rStyle w:val="Hyperlink"/>
          </w:rPr>
          <w:t xml:space="preserve">marine chronometer</w:t>
        </w:r>
      </w:hyperlink>
      <w:r>
        <w:t xml:space="preserve"> </w:t>
      </w:r>
      <w:r>
        <w:t xml:space="preserve">(</w:t>
      </w:r>
      <w:hyperlink w:anchor="fig-harrison">
        <w:r>
          <w:rPr>
            <w:rStyle w:val="Hyperlink"/>
          </w:rPr>
          <w:t xml:space="preserve">Figure 5</w:t>
        </w:r>
      </w:hyperlink>
      <w:r>
        <w:t xml:space="preserve">), more than a century. He was reaching for the best tool of his moment to solve a problem no tool of his era could actually solve.</w:t>
      </w:r>
    </w:p>
    <w:bookmarkEnd w:id="57"/>
    <w:bookmarkStart w:id="73"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hyperlink r:id="rId58">
        <w:r>
          <w:rPr>
            <w:rStyle w:val="Hyperlink"/>
          </w:rPr>
          <w:t xml:space="preserve">“A Brief History of Data Visualization”</w:t>
        </w:r>
      </w:hyperlink>
      <w:r>
        <w:t xml:space="preserve"> </w:t>
      </w:r>
      <w:r>
        <w:t xml:space="preserve">(Friendly 2007)</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intellectual and</w:t>
      </w:r>
      <w:r>
        <w:t xml:space="preserve"> </w:t>
      </w:r>
      <w:r>
        <w:t xml:space="preserve">graphical constraints of the time. The method can reveal hidden insights, help</w:t>
      </w:r>
      <w:r>
        <w:t xml:space="preserve"> </w:t>
      </w:r>
      <w:r>
        <w:t xml:space="preserve">to appreciate the historical ingenuity and sheer brilliance of hand-drawn graphics and reveal design flaws, such as distorted scales.</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 a</w:t>
      </w:r>
      <w:r>
        <w:t xml:space="preserve"> </w:t>
      </w:r>
      <w:r>
        <w:t xml:space="preserve">column of numbers, however sorted, tells you nothing at a glance about their spread.</w:t>
      </w:r>
    </w:p>
    <w:p>
      <w:pPr>
        <w:pStyle w:val="BodyText"/>
      </w:pPr>
      <w:r>
        <w:t xml:space="preserve">Only when you place them on a common scale does the argument become visible—the estimates</w:t>
      </w:r>
      <w:r>
        <w:t xml:space="preserve"> </w:t>
      </w:r>
      <w:r>
        <w:t xml:space="preserve">are scattered across nearly the entire plausible range, and</w:t>
      </w:r>
      <w:r>
        <w:t xml:space="preserve"> </w:t>
      </w:r>
      <w:r>
        <w:rPr>
          <w:i/>
          <w:iCs/>
        </w:rPr>
        <w:t xml:space="preserve">that</w:t>
      </w:r>
      <w:r>
        <w:t xml:space="preserve"> </w:t>
      </w:r>
      <w:r>
        <w:t xml:space="preserve">is precisely van Langren’s case to</w:t>
      </w:r>
      <w:r>
        <w:t xml:space="preserve"> </w:t>
      </w:r>
      <w:r>
        <w:t xml:space="preserve">the King.</w:t>
      </w:r>
    </w:p>
    <w:p>
      <w:pPr>
        <w:pStyle w:val="BodyText"/>
      </w:pPr>
      <w:r>
        <w:t xml:space="preserve">My first goal was to reproduce something like</w:t>
      </w:r>
      <w:r>
        <w:t xml:space="preserve"> </w:t>
      </w:r>
      <w:hyperlink w:anchor="fig-1644-overlay">
        <w:r>
          <w:rPr>
            <w:rStyle w:val="Hyperlink"/>
          </w:rPr>
          <w:t xml:space="preserve">Figure 2</w:t>
        </w:r>
      </w:hyperlink>
      <w:r>
        <w:t xml:space="preserve">: van Langren’s estimates overlaid on a modern map. The data are in</w:t>
      </w:r>
      <w:r>
        <w:t xml:space="preserve"> </w:t>
      </w:r>
      <w:r>
        <w:rPr>
          <w:rStyle w:val="VerbatimChar"/>
        </w:rPr>
        <w:t xml:space="preserve">HistData::Langren1644</w:t>
      </w:r>
      <w:r>
        <w:t xml:space="preserve">, which also provides the Google map image used as a backdrop. Rebuilding it takes three layers, each written as its own function: (1) the map itself; (2) city markers for Toledo and Rome; and (3) the dot plot on top—the same trick I use elsewhere in</w:t>
      </w:r>
      <w:r>
        <w:t xml:space="preserve"> </w:t>
      </w:r>
      <w:r>
        <w:rPr>
          <w:rStyle w:val="VerbatimChar"/>
        </w:rPr>
        <w:t xml:space="preserve">HistData</w:t>
      </w:r>
      <w:r>
        <w:t xml:space="preserve"> </w:t>
      </w:r>
      <w:r>
        <w:t xml:space="preserve">to re-vision</w:t>
      </w:r>
      <w:r>
        <w:t xml:space="preserve"> </w:t>
      </w:r>
      <w:hyperlink r:id="rId59">
        <w:r>
          <w:rPr>
            <w:rStyle w:val="Hyperlink"/>
          </w:rPr>
          <w:t xml:space="preserve">John Snow’s Cholera dot plot</w:t>
        </w:r>
      </w:hyperlink>
      <w:r>
        <w:t xml:space="preserve"> </w:t>
      </w:r>
      <w:r>
        <w:t xml:space="preserve">and</w:t>
      </w:r>
      <w:r>
        <w:t xml:space="preserve"> </w:t>
      </w:r>
      <w:hyperlink r:id="rId60">
        <w:r>
          <w:rPr>
            <w:rStyle w:val="Hyperlink"/>
          </w:rPr>
          <w:t xml:space="preserve">Minard’s March on Moscow graphic</w:t>
        </w:r>
      </w:hyperlink>
      <w:r>
        <w:t xml:space="preserve">.</w:t>
      </w:r>
      <w:r>
        <w:t xml:space="preserve"> </w:t>
      </w:r>
      <w:r>
        <w:t xml:space="preserve">The script is</w:t>
      </w:r>
      <w:r>
        <w:t xml:space="preserve"> </w:t>
      </w:r>
      <w:hyperlink r:id="rId61">
        <w:r>
          <w:rPr>
            <w:rStyle w:val="VerbatimChar"/>
          </w:rPr>
          <w:t xml:space="preserve">R/reproduce-langren-overlay.R</w:t>
        </w:r>
      </w:hyperlink>
      <w:r>
        <w:t xml:space="preserve">.</w:t>
      </w:r>
    </w:p>
    <w:bookmarkStart w:id="72" w:name="i-did-that-better-by-hand"/>
    <w:p>
      <w:pPr>
        <w:pStyle w:val="Heading3"/>
      </w:pPr>
      <w:r>
        <w:t xml:space="preserve">“I did that better by hand!”</w:t>
      </w:r>
    </w:p>
    <w:p>
      <w:pPr>
        <w:pStyle w:val="FirstParagraph"/>
      </w:pPr>
      <w:r>
        <w:t xml:space="preserve">A map overlay 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65" w:name="fig-1644-original"/>
          <w:p>
            <w:pPr>
              <w:pStyle w:val="Compact"/>
              <w:jc w:val="center"/>
            </w:pPr>
            <w:r>
              <w:drawing>
                <wp:inline>
                  <wp:extent cx="5334000" cy="1349828"/>
                  <wp:effectExtent b="0" l="0" r="0" t="0"/>
                  <wp:docPr descr="" title="" id="63" name="Picture"/>
                  <a:graphic>
                    <a:graphicData uri="http://schemas.openxmlformats.org/drawingml/2006/picture">
                      <pic:pic>
                        <pic:nvPicPr>
                          <pic:cNvPr descr="images/Langren1644.jpg" id="64" name="Picture"/>
                          <pic:cNvPicPr>
                            <a:picLocks noChangeArrowheads="1" noChangeAspect="1"/>
                          </pic:cNvPicPr>
                        </pic:nvPicPr>
                        <pic:blipFill>
                          <a:blip r:embed="rId62"/>
                          <a:stretch>
                            <a:fillRect/>
                          </a:stretch>
                        </pic:blipFill>
                        <pic:spPr bwMode="auto">
                          <a:xfrm>
                            <a:off x="0" y="0"/>
                            <a:ext cx="5334000" cy="134982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original 1644 graph</w:t>
            </w:r>
          </w:p>
          <w:bookmarkEnd w:id="65"/>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 the</w:t>
      </w:r>
      <w:r>
        <w:t xml:space="preserve"> </w:t>
      </w:r>
      <w:r>
        <w:rPr>
          <w:rStyle w:val="VerbatimChar"/>
        </w:rPr>
        <w:t xml:space="preserve">showtext</w:t>
      </w:r>
      <w:r>
        <w:t xml:space="preserve"> </w:t>
      </w:r>
      <w:r>
        <w:t xml:space="preserve">package loads</w:t>
      </w:r>
      <w:r>
        <w:t xml:space="preserve"> </w:t>
      </w:r>
      <w:r>
        <w:rPr>
          <w:i/>
          <w:iCs/>
        </w:rPr>
        <w:t xml:space="preserve">IM Fell English</w:t>
      </w:r>
      <w:r>
        <w:t xml:space="preserve"> </w:t>
      </w:r>
      <w:r>
        <w:t xml:space="preserve">from Google Fonts,</w:t>
      </w:r>
      <w:r>
        <w:t xml:space="preserve"> </w:t>
      </w:r>
      <w:r>
        <w:t xml:space="preserve">a typeface digitised from the Fell collection donated to Oxford University Press in</w:t>
      </w:r>
      <w:r>
        <w:t xml:space="preserve"> </w:t>
      </w:r>
      <w:r>
        <w:t xml:space="preserve">1686—forty-two years after</w:t>
      </w:r>
      <w:r>
        <w:t xml:space="preserve"> </w:t>
      </w:r>
      <w:r>
        <w:rPr>
          <w:i/>
          <w:iCs/>
        </w:rPr>
        <w:t xml:space="preserve">La Verdadera</w:t>
      </w:r>
      <w:r>
        <w:t xml:space="preserve"> </w:t>
      </w:r>
      <w:r>
        <w:t xml:space="preserve">was printed, but as close in spirit as</w:t>
      </w:r>
      <w:r>
        <w:t xml:space="preserve"> </w:t>
      </w:r>
      <w:r>
        <w:t xml:space="preserve">a free font gets.</w:t>
      </w:r>
    </w:p>
    <w:p>
      <w:pPr>
        <w:numPr>
          <w:ilvl w:val="0"/>
          <w:numId w:val="1001"/>
        </w:numPr>
      </w:pPr>
      <w:r>
        <w:rPr>
          <w:b/>
          <w:bCs/>
        </w:rPr>
        <w:t xml:space="preserve">Arbitrary geometry via</w:t>
      </w:r>
      <w:r>
        <w:rPr>
          <w:b/>
          <w:bCs/>
        </w:rPr>
        <w:t xml:space="preserve"> </w:t>
      </w:r>
      <w:r>
        <w:rPr>
          <w:rStyle w:val="VerbatimChar"/>
          <w:b/>
          <w:bCs/>
        </w:rPr>
        <w:t xml:space="preserve">annotate()</w:t>
      </w:r>
      <w:r>
        <w:t xml:space="preserve">: the axis line, minor tick marks, and major</w:t>
      </w:r>
      <w:r>
        <w:t xml:space="preserve"> </w:t>
      </w:r>
      <w:r>
        <w:t xml:space="preserve">ticks are plain</w:t>
      </w:r>
      <w:r>
        <w:t xml:space="preserve"> </w:t>
      </w:r>
      <w:r>
        <w:rPr>
          <w:rStyle w:val="VerbatimChar"/>
        </w:rPr>
        <w:t xml:space="preserve">"segment"</w:t>
      </w:r>
      <w:r>
        <w:t xml:space="preserve"> </w:t>
      </w:r>
      <w:r>
        <w:t xml:space="preserve">annotations rather than the usual ggplot2 axis machinery,</w:t>
      </w:r>
      <w:r>
        <w:t xml:space="preserve"> </w:t>
      </w:r>
      <w:r>
        <w:t xml:space="preserve">which gives exact control over length and position. Fixed text labels—</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—are placed the same way, with</w:t>
      </w:r>
      <w:r>
        <w:t xml:space="preserve"> </w:t>
      </w:r>
      <w:r>
        <w:rPr>
          <w:rStyle w:val="VerbatimChar"/>
        </w:rPr>
        <w:t xml:space="preserve">hjust</w:t>
      </w:r>
      <w:r>
        <w:t xml:space="preserve">,</w:t>
      </w:r>
      <w:r>
        <w:t xml:space="preserve"> </w:t>
      </w:r>
      <w:r>
        <w:rPr>
          <w:rStyle w:val="VerbatimChar"/>
        </w:rPr>
        <w:t xml:space="preserve">vjust</w:t>
      </w:r>
      <w:r>
        <w:t xml:space="preserve">,</w:t>
      </w:r>
      <w:r>
        <w:t xml:space="preserve"> </w:t>
      </w:r>
      <w:r>
        <w:t xml:space="preserve">and</w:t>
      </w:r>
      <w:r>
        <w:t xml:space="preserve"> </w:t>
      </w:r>
      <w:r>
        <w:rPr>
          <w:rStyle w:val="VerbatimChar"/>
        </w:rPr>
        <w:t xml:space="preserve">angle</w:t>
      </w:r>
      <w:r>
        <w:t xml:space="preserve"> </w:t>
      </w:r>
      <w:r>
        <w:t xml:space="preserve">set individually.</w:t>
      </w:r>
    </w:p>
    <w:p>
      <w:pPr>
        <w:numPr>
          <w:ilvl w:val="0"/>
          <w:numId w:val="1001"/>
        </w:numPr>
      </w:pPr>
      <w:r>
        <w:rPr>
          <w:b/>
          <w:bCs/>
        </w:rPr>
        <w:t xml:space="preserve">Snowman markers</w:t>
      </w:r>
      <w:r>
        <w:t xml:space="preserve">: van Langren’s figure-8 data symbols are approximated by two</w:t>
      </w:r>
      <w:r>
        <w:t xml:space="preserve"> </w:t>
      </w:r>
      <w:r>
        <w:t xml:space="preserve">stacked</w:t>
      </w:r>
      <w:r>
        <w:t xml:space="preserve"> </w:t>
      </w:r>
      <w:r>
        <w:rPr>
          <w:rStyle w:val="VerbatimChar"/>
        </w:rPr>
        <w:t xml:space="preserve">geom_point()</w:t>
      </w:r>
      <w:r>
        <w:t xml:space="preserve"> </w:t>
      </w:r>
      <w:r>
        <w:t xml:space="preserve">calls, one per astronomer—a filled body circle sitting on</w:t>
      </w:r>
      <w:r>
        <w:t xml:space="preserve"> </w:t>
      </w:r>
      <w:r>
        <w:t xml:space="preserve">the axis and a smaller hollow head circle above it.</w:t>
      </w:r>
      <w:r>
        <w:t xml:space="preserve"> </w:t>
      </w:r>
      <w:r>
        <w:rPr>
          <w:rStyle w:val="VerbatimChar"/>
        </w:rPr>
        <w:t xml:space="preserve">coord_fixed(ratio = 1)</w:t>
      </w:r>
      <w:r>
        <w:t xml:space="preserve"> </w:t>
      </w:r>
      <w:r>
        <w:t xml:space="preserve">locks</w:t>
      </w:r>
      <w:r>
        <w:t xml:space="preserve"> </w:t>
      </w:r>
      <w:r>
        <w:t xml:space="preserve">the x and y scales to the same physical size so the circles stay round and the</w:t>
      </w:r>
      <w:r>
        <w:t xml:space="preserve"> </w:t>
      </w:r>
      <w:r>
        <w:t xml:space="preserve">overall strip proportions match the original’s roughly 5:1 width-to-height ratio.</w:t>
      </w:r>
    </w:p>
    <w:p>
      <w:pPr>
        <w:pStyle w:val="FirstParagraph"/>
      </w:pPr>
      <w:r>
        <w:t xml:space="preserve">The full reconstruction—axis, labels, markers, and all—is about fifty lines; the</w:t>
      </w:r>
      <w:r>
        <w:t xml:space="preserve"> </w:t>
      </w:r>
      <w:r>
        <w:t xml:space="preserve">complete, runnable code is in</w:t>
      </w:r>
      <w:r>
        <w:t xml:space="preserve"> </w:t>
      </w:r>
      <w:hyperlink r:id="rId66">
        <w:r>
          <w:rPr>
            <w:rStyle w:val="VerbatimChar"/>
          </w:rPr>
          <w:t xml:space="preserve">R/reproduce-langren-graph.R</w:t>
        </w:r>
      </w:hyperlink>
      <w:r>
        <w:t xml:space="preserve">. Putting it together (</w:t>
      </w:r>
      <w:hyperlink w:anchor="fig-reconstru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fig-reconstruction"/>
          <w:p>
            <w:pPr>
              <w:pStyle w:val="Compact"/>
              <w:jc w:val="center"/>
            </w:pPr>
            <w:r>
              <w:drawing>
                <wp:inline>
                  <wp:extent cx="5334000" cy="1143000"/>
                  <wp:effectExtent b="0" l="0" r="0" t="0"/>
                  <wp:docPr descr="" title="" id="68" name="Picture"/>
                  <a:graphic>
                    <a:graphicData uri="http://schemas.openxmlformats.org/drawingml/2006/picture">
                      <pic:pic>
                        <pic:nvPicPr>
                          <pic:cNvPr descr="vanLangren-Secret_files/figure-docx/fig-reconstruction-1.png" id="69" name="Picture"/>
                          <pic:cNvPicPr>
                            <a:picLocks noChangeArrowheads="1" noChangeAspect="1"/>
                          </pic:cNvPicPr>
                        </pic:nvPicPr>
                        <pic:blipFill>
                          <a:blip r:embed="rId67"/>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ggplot2 reconstruction of van Langren’s 1644 graph.</w:t>
            </w:r>
          </w:p>
          <w:bookmarkEnd w:id="70"/>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Moreover, if I showed him the</w:t>
      </w:r>
      <w:r>
        <w:t xml:space="preserve"> </w:t>
      </w:r>
      <w:r>
        <w:rPr>
          <w:rStyle w:val="VerbatimChar"/>
        </w:rPr>
        <w:t xml:space="preserve">ggplot2</w:t>
      </w:r>
      <w:r>
        <w:t xml:space="preserve"> </w:t>
      </w:r>
      <w:r>
        <w:t xml:space="preserve">code, he might say,</w:t>
      </w:r>
      <w:r>
        <w:t xml:space="preserve"> </w:t>
      </w:r>
      <w:r>
        <w:t xml:space="preserve">“What a lot</w:t>
      </w:r>
      <w:r>
        <w:t xml:space="preserve"> </w:t>
      </w:r>
      <w:r>
        <w:t xml:space="preserve">of trouble to do what I did lovingly by hand.”</w:t>
      </w:r>
      <w:r>
        <w:t xml:space="preserve"> </w:t>
      </w:r>
      <w:r>
        <w:t xml:space="preserve">He’s got a point: the 80/20 rule (or</w:t>
      </w:r>
      <w:r>
        <w:t xml:space="preserve"> </w:t>
      </w:r>
      <w:hyperlink r:id="rId71">
        <w:r>
          <w:rPr>
            <w:rStyle w:val="Hyperlink"/>
          </w:rPr>
          <w:t xml:space="preserve">Pareto Principle</w:t>
        </w:r>
      </w:hyperlink>
      <w:r>
        <w:t xml:space="preserve">) for data graphics says</w:t>
      </w:r>
      <w:r>
        <w:t xml:space="preserve"> </w:t>
      </w:r>
      <w:r>
        <w:t xml:space="preserve">that you can achieve 80% of your graphic design with 20% of the work, but</w:t>
      </w:r>
      <w:r>
        <w:t xml:space="preserve"> </w:t>
      </w:r>
      <w:r>
        <w:t xml:space="preserve">it takes the remaining 80% of work to perfect it.</w:t>
      </w:r>
    </w:p>
    <w:p>
      <w:pPr>
        <w:pStyle w:val="BodyText"/>
      </w:pPr>
      <w:r>
        <w:t xml:space="preserve">Nevertheless the argument the graph was built to make comes through regardless: twelve</w:t>
      </w:r>
      <w:r>
        <w:t xml:space="preserve"> </w:t>
      </w:r>
      <w:r>
        <w:t xml:space="preserve">authorities, strung across more than fifteen degrees, and not one of them close to the</w:t>
      </w:r>
      <w:r>
        <w:t xml:space="preserve"> </w:t>
      </w:r>
      <w:r>
        <w:t xml:space="preserve">true answer of 16°31’.</w:t>
      </w:r>
    </w:p>
    <w:bookmarkEnd w:id="72"/>
    <w:bookmarkEnd w:id="73"/>
    <w:bookmarkStart w:id="80"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Start w:id="79" w:name="refs"/>
    <w:bookmarkStart w:id="74" w:name="ref-Friendly:2006:hbook"/>
    <w:p>
      <w:pPr>
        <w:pStyle w:val="Bibliography"/>
      </w:pPr>
      <w:r>
        <w:t xml:space="preserve">Friendly, Michael. 2007.</w:t>
      </w:r>
      <w:r>
        <w:t xml:space="preserve"> </w:t>
      </w:r>
      <w:r>
        <w:t xml:space="preserve">“A Brief History of Data Visualization.”</w:t>
      </w:r>
      <w:r>
        <w:t xml:space="preserve"> </w:t>
      </w:r>
      <w:r>
        <w:t xml:space="preserve">Chap. 1 in</w:t>
      </w:r>
      <w:r>
        <w:t xml:space="preserve"> </w:t>
      </w:r>
      <w:r>
        <w:rPr>
          <w:i/>
          <w:iCs/>
        </w:rPr>
        <w:t xml:space="preserve">Handbook of Computational Statistics: Data Visualization</w:t>
      </w:r>
      <w:r>
        <w:t xml:space="preserve">, edited by C. Chen, Wolfgang Härdle, and Antony Unwin, III. Springer-Verlag.</w:t>
      </w:r>
    </w:p>
    <w:bookmarkEnd w:id="74"/>
    <w:bookmarkStart w:id="76" w:name="ref-FriendlyChevaliers:2020"/>
    <w:p>
      <w:pPr>
        <w:pStyle w:val="Bibliography"/>
      </w:pPr>
      <w:r>
        <w:t xml:space="preserve">Friendly, Michael, and les Chevaliers</w:t>
      </w:r>
      <w:r>
        <w:t xml:space="preserve">. 2020.</w:t>
      </w:r>
      <w:r>
        <w:t xml:space="preserve"> </w:t>
      </w:r>
      <w:r>
        <w:rPr>
          <w:i/>
          <w:iCs/>
        </w:rPr>
        <w:t xml:space="preserve">Raiders of the Lost Tombs: The Search for Some Heroes of the History of Data Visualization</w:t>
      </w:r>
      <w:r>
        <w:t xml:space="preserve">. Online.</w:t>
      </w:r>
      <w:r>
        <w:t xml:space="preserve"> </w:t>
      </w:r>
      <w:hyperlink r:id="rId75">
        <w:r>
          <w:rPr>
            <w:rStyle w:val="Hyperlink"/>
          </w:rPr>
          <w:t xml:space="preserve">https://medium.com/nightingale/raiders-of-the-lost-tombs-the-search-for-some-heroes-of-the-history-of-data-visualization-c4a4b4690d24</w:t>
        </w:r>
      </w:hyperlink>
      <w:r>
        <w:t xml:space="preserve">.</w:t>
      </w:r>
    </w:p>
    <w:bookmarkEnd w:id="76"/>
    <w:bookmarkStart w:id="78" w:name="ref-Friendly:2010:langren"/>
    <w:p>
      <w:pPr>
        <w:pStyle w:val="Bibliography"/>
      </w:pPr>
      <w:r>
        <w:t xml:space="preserve">Friendly, Michael, Pedro Valero-Mora, and Joaquín Ibáñez Ulargui. 2010.</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w:t>
      </w:r>
      <w:r>
        <w:t xml:space="preserve">64 (2): 174–84.</w:t>
      </w:r>
      <w:r>
        <w:t xml:space="preserve"> </w:t>
      </w:r>
      <w:hyperlink r:id="rId77">
        <w:r>
          <w:rPr>
            <w:rStyle w:val="Hyperlink"/>
          </w:rPr>
          <w:t xml:space="preserve">https://doi.org/10.1198/tast.2010.09154</w:t>
        </w:r>
      </w:hyperlink>
      <w:r>
        <w:t xml:space="preserve">.</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31">
    <w:p>
      <w:pPr>
        <w:pStyle w:val="FootnoteText"/>
      </w:pPr>
      <w:r>
        <w:rPr>
          <w:rStyle w:val="FootnoteReference"/>
        </w:rPr>
        <w:footnoteRef/>
      </w:r>
      <w:r>
        <w:t xml:space="preserve"> </w:t>
      </w:r>
      <w:r>
        <w:t xml:space="preserve">The Zodiac Killer is one of the most infamous unsolved mysteries in American criminal history.</w:t>
      </w:r>
      <w:r>
        <w:t xml:space="preserve"> </w:t>
      </w:r>
      <w:r>
        <w:t xml:space="preserve">In the San Francisco Bay Area in 1968–1969, this unknown murderer killed at least five people.</w:t>
      </w:r>
      <w:r>
        <w:t xml:space="preserve"> </w:t>
      </w:r>
      <w:r>
        <w:t xml:space="preserve">Seeking public attention, he sent cryptic ciphers to newspapers and taunted police with letters</w:t>
      </w:r>
      <w:r>
        <w:t xml:space="preserve"> </w:t>
      </w:r>
      <w:r>
        <w:t xml:space="preserve">describing his acts. Van Eycke’s solution was hailed as a breakthrough in amateur cryptographic circles.</w:t>
      </w:r>
    </w:p>
  </w:footnote>
  <w:footnote w:id="35">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36">
    <w:p>
      <w:pPr>
        <w:pStyle w:val="FootnoteText"/>
      </w:pPr>
      <w:r>
        <w:rPr>
          <w:rStyle w:val="FootnoteReference"/>
        </w:rPr>
        <w:footnoteRef/>
      </w:r>
      <w:r>
        <w:t xml:space="preserve"> </w:t>
      </w:r>
      <w:r>
        <w:t xml:space="preserve">The practice of hiding a priority claim in a cipher was not unique to van Langren. Galileo registered his 1610 observation of Saturn’s peculiar shape as a 37-letter Latin anagram (</w:t>
      </w:r>
      <w:r>
        <w:rPr>
          <w:i/>
          <w:iCs/>
        </w:rPr>
        <w:t xml:space="preserve">Altissimum planetam tergeminum observavi</w:t>
      </w:r>
      <w:r>
        <w:t xml:space="preserve"> </w:t>
      </w:r>
      <w:r>
        <w:t xml:space="preserve">—</w:t>
      </w:r>
      <w:r>
        <w:t xml:space="preserve"> </w:t>
      </w:r>
      <w:r>
        <w:t xml:space="preserve">“I have observed the highest planet three-formed”</w:t>
      </w:r>
      <w:r>
        <w:t xml:space="preserve"> </w:t>
      </w:r>
      <w:r>
        <w:t xml:space="preserve">— what he had actually seen were the rings). Robert Hooke published his law of elasticity as the anagram</w:t>
      </w:r>
      <w:r>
        <w:t xml:space="preserve"> </w:t>
      </w:r>
      <w:r>
        <w:rPr>
          <w:i/>
          <w:iCs/>
        </w:rPr>
        <w:t xml:space="preserve">ceiiinosssttu</w:t>
      </w:r>
      <w:r>
        <w:t xml:space="preserve"> </w:t>
      </w:r>
      <w:r>
        <w:t xml:space="preserve">in 1676, decoding it two years later as</w:t>
      </w:r>
      <w:r>
        <w:t xml:space="preserve"> </w:t>
      </w:r>
      <w:r>
        <w:rPr>
          <w:i/>
          <w:iCs/>
        </w:rPr>
        <w:t xml:space="preserve">ut tensio, sic vis</w:t>
      </w:r>
      <w:r>
        <w:t xml:space="preserve"> </w:t>
      </w:r>
      <w:r>
        <w:t xml:space="preserve">(</w:t>
      </w:r>
      <w:r>
        <w:t xml:space="preserve">“as the extension, so the force”</w:t>
      </w:r>
      <w:r>
        <w:t xml:space="preserve">). In each case the goal was the same: hold the date of discovery in escrow without giving anything away.</w:t>
      </w:r>
    </w:p>
  </w:footnote>
  <w:footnote w:id="40">
    <w:p>
      <w:pPr>
        <w:pStyle w:val="FootnoteText"/>
      </w:pPr>
      <w:r>
        <w:rPr>
          <w:rStyle w:val="FootnoteReference"/>
        </w:rPr>
        <w:footnoteRef/>
      </w:r>
      <w:r>
        <w:t xml:space="preserve"> </w:t>
      </w:r>
      <w:r>
        <w:t xml:space="preserve">All the R code for this article is in its GitHub repository,</w:t>
      </w:r>
      <w:r>
        <w:t xml:space="preserve"> </w:t>
      </w:r>
      <w:hyperlink r:id="rId41">
        <w:r>
          <w:rPr>
            <w:rStyle w:val="Hyperlink"/>
          </w:rPr>
          <w:t xml:space="preserve">https://github.com/friendly/vanLangren-Secret</w:t>
        </w:r>
      </w:hyperlink>
      <w:r>
        <w:t xml:space="preserve">. More detailed descriptions of the R code used in these analyses are in the original blog post,</w:t>
      </w:r>
      <w:r>
        <w:t xml:space="preserve"> </w:t>
      </w:r>
      <w:hyperlink r:id="rId42">
        <w:r>
          <w:rPr>
            <w:rStyle w:val="Hyperlink"/>
          </w:rPr>
          <w:t xml:space="preserve">https://friendly.github.io/blog/posts/2026-07-van-langren/</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jpg" /><Relationship Type="http://schemas.openxmlformats.org/officeDocument/2006/relationships/image" Id="rId15" Target="media/rId15.jpg" /><Relationship Type="http://schemas.openxmlformats.org/officeDocument/2006/relationships/image" Id="rId62" Target="media/rId62.jpg" /><Relationship Type="http://schemas.openxmlformats.org/officeDocument/2006/relationships/image" Id="rId10" Target="media/rId10.jpg" /><Relationship Type="http://schemas.openxmlformats.org/officeDocument/2006/relationships/image" Id="rId45" Target="media/rId45.png" /><Relationship Type="http://schemas.openxmlformats.org/officeDocument/2006/relationships/image" Id="rId21" Target="media/rId21.jpg" /><Relationship Type="http://schemas.openxmlformats.org/officeDocument/2006/relationships/image" Id="rId67" Target="media/rId67.png" /><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7"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5"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30" Target="https://arxiv.org/pdf/2403.17350" TargetMode="External" /><Relationship Type="http://schemas.openxmlformats.org/officeDocument/2006/relationships/hyperlink" Id="rId52" Target="https://commons.wikimedia.org/w/index.php?curid=13817053" TargetMode="External" /><Relationship Type="http://schemas.openxmlformats.org/officeDocument/2006/relationships/hyperlink" Id="rId26" Target="https://commons.wikimedia.org/wiki/File:Langrenus_map_of_the_Moon_1645.jpg" TargetMode="External" /><Relationship Type="http://schemas.openxmlformats.org/officeDocument/2006/relationships/hyperlink" Id="rId29" Target="https://dirkhuylebrouck.be/" TargetMode="External" /><Relationship Type="http://schemas.openxmlformats.org/officeDocument/2006/relationships/hyperlink" Id="rId77" Target="https://doi.org/10.1198/tast.2010.09154" TargetMode="External" /><Relationship Type="http://schemas.openxmlformats.org/officeDocument/2006/relationships/hyperlink" Id="rId54" Target="https://en.wikipedia.org/wiki/Clepsydra" TargetMode="External" /><Relationship Type="http://schemas.openxmlformats.org/officeDocument/2006/relationships/hyperlink" Id="rId55" Target="https://en.wikipedia.org/wiki/Huan_Tan" TargetMode="External" /><Relationship Type="http://schemas.openxmlformats.org/officeDocument/2006/relationships/hyperlink" Id="rId71" Target="https://en.wikipedia.org/wiki/Pareto_principle" TargetMode="External" /><Relationship Type="http://schemas.openxmlformats.org/officeDocument/2006/relationships/hyperlink" Id="rId34" Target="https://en.wikipedia.org/wiki/Transposition_cipher" TargetMode="External" /><Relationship Type="http://schemas.openxmlformats.org/officeDocument/2006/relationships/hyperlink" Id="rId60" Target="https://friendly.github.io/HistData/reference/Minard.html" TargetMode="External" /><Relationship Type="http://schemas.openxmlformats.org/officeDocument/2006/relationships/hyperlink" Id="rId59" Target="https://friendly.github.io/HistData/reference/Snow.html" TargetMode="External" /><Relationship Type="http://schemas.openxmlformats.org/officeDocument/2006/relationships/hyperlink" Id="rId42" Target="https://friendly.github.io/blog/posts/2026-07-van-langren/" TargetMode="External" /><Relationship Type="http://schemas.openxmlformats.org/officeDocument/2006/relationships/hyperlink" Id="rId41" Target="https://github.com/friendly/vanLangren-Secret" TargetMode="External" /><Relationship Type="http://schemas.openxmlformats.org/officeDocument/2006/relationships/hyperlink" Id="rId39" Target="https://github.com/friendly/vanLangren-Secret/blob/master/R/decode-cipher.R" TargetMode="External" /><Relationship Type="http://schemas.openxmlformats.org/officeDocument/2006/relationships/hyperlink" Id="rId66" Target="https://github.com/friendly/vanLangren-Secret/blob/master/R/reproduce-langren-graph.R" TargetMode="External" /><Relationship Type="http://schemas.openxmlformats.org/officeDocument/2006/relationships/hyperlink" Id="rId61" Target="https://github.com/friendly/vanLangren-Secret/blob/master/R/reproduce-langren-overlay.R" TargetMode="External" /><Relationship Type="http://schemas.openxmlformats.org/officeDocument/2006/relationships/hyperlink" Id="rId25" Target="https://github.com/friendly/vanLangren-Secret/blob/master/cipher-transcription.txt" TargetMode="External" /><Relationship Type="http://schemas.openxmlformats.org/officeDocument/2006/relationships/hyperlink" Id="rId75" Target="https://medium.com/nightingale/raiders-of-the-lost-tombs-the-search-for-some-heroes-of-the-history-of-data-visualization-c4a4b4690d24" TargetMode="External" /><Relationship Type="http://schemas.openxmlformats.org/officeDocument/2006/relationships/hyperlink" Id="rId32" Target="https://scienceblogs.de/klausis-krypto-kolumne/jarl-van-eycke-solves-400-year-old-longitude-message/" TargetMode="External" /><Relationship Type="http://schemas.openxmlformats.org/officeDocument/2006/relationships/hyperlink" Id="rId20" Target="https://www.datavis.ca/gallery/langren/" TargetMode="External" /><Relationship Type="http://schemas.openxmlformats.org/officeDocument/2006/relationships/hyperlink" Id="rId9" Target="https://www.datavis.ca/gallery/langren/LaVerdadera.pdf" TargetMode="External" /><Relationship Type="http://schemas.openxmlformats.org/officeDocument/2006/relationships/hyperlink" Id="rId19" Target="https://www.datavis.ca/gallery/langren/verdadera.pdf" TargetMode="External" /><Relationship Type="http://schemas.openxmlformats.org/officeDocument/2006/relationships/hyperlink" Id="rId58" Target="https://www.datavis.ca/papers/hbook.pdf" TargetMode="External" /><Relationship Type="http://schemas.openxmlformats.org/officeDocument/2006/relationships/hyperlink" Id="rId56"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2026-09-23T17:01:11Z</dcterms:created>
  <dcterms:modified xsi:type="dcterms:W3CDTF">2026-09-23T17:01:11Z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nocite">
    <vt:lpwstr>@Friendly:2010:langren</vt:lpwstr>
  </property>
  <property fmtid="{D5CDD505-2E9C-101B-9397-08002B2CF9AE}" pid="13" name="subtitle">
    <vt:lpwstr>393 years after van Langren encoded it, an amateur codebreaker gave an answer I never thought to look for</vt:lpwstr>
  </property>
  <property fmtid="{D5CDD505-2E9C-101B-9397-08002B2CF9AE}" pid="14" name="toc-title">
    <vt:lpwstr>Table of contents</vt:lpwstr>
  </property>
</Properties>
</file>