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B3A5C"/>
          <w:sz w:val="40"/>
          <w:szCs w:val="40"/>
        </w:rPr>
        <w:t xml:space="preserve">VA Health and Benefits Mobile App</w:t>
      </w:r>
    </w:p>
    <w:p>
      <w:pPr>
        <w:jc w:val="center"/>
      </w:pPr>
      <w:r>
        <w:rPr>
          <w:rFonts w:ascii="Arial" w:cs="Arial" w:eastAsia="Arial" w:hAnsi="Arial"/>
          <w:color w:val="1B3A5C"/>
          <w:sz w:val="32"/>
          <w:szCs w:val="32"/>
        </w:rPr>
        <w:t xml:space="preserve">Prior Research Findings Report</w:t>
      </w:r>
    </w:p>
    <w:p>
      <w:pPr>
        <w:spacing w:before="600"/>
        <w:jc w:val="center"/>
      </w:pPr>
      <w:r>
        <w:rPr>
          <w:rFonts w:ascii="Arial" w:cs="Arial" w:eastAsia="Arial" w:hAnsi="Arial"/>
          <w:color w:val="666666"/>
          <w:sz w:val="22"/>
          <w:szCs w:val="22"/>
        </w:rPr>
        <w:t xml:space="preserve">Compiled from FY2024 Q3–Q4 Research Activities</w:t>
      </w:r>
    </w:p>
    <w:p>
      <w:pPr>
        <w:spacing w:before="200"/>
        <w:jc w:val="center"/>
      </w:pPr>
      <w:r>
        <w:rPr>
          <w:rFonts w:ascii="Arial" w:cs="Arial" w:eastAsia="Arial" w:hAnsi="Arial"/>
          <w:color w:val="666666"/>
          <w:sz w:val="22"/>
          <w:szCs w:val="22"/>
        </w:rPr>
        <w:t xml:space="preserve">VA Office of the CTO – Mobile Development Team</w:t>
      </w:r>
    </w:p>
    <w:p>
      <w:pPr>
        <w:spacing w:before="200"/>
        <w:jc w:val="center"/>
      </w:pPr>
      <w:r>
        <w:rPr>
          <w:rFonts w:ascii="Arial" w:cs="Arial" w:eastAsia="Arial" w:hAnsi="Arial"/>
          <w:color w:val="666666"/>
          <w:sz w:val="22"/>
          <w:szCs w:val="22"/>
        </w:rPr>
        <w:t xml:space="preserve">Last Updated: May 15, 2025</w:t>
      </w:r>
    </w:p>
    <w:p>
      <w:pPr>
        <w:spacing w:before="200"/>
        <w:jc w:val="center"/>
      </w:pPr>
      <w:r>
        <w:rPr>
          <w:rFonts w:ascii="Arial" w:cs="Arial" w:eastAsia="Arial" w:hAnsi="Arial"/>
          <w:i/>
          <w:iCs/>
          <w:color w:val="999999"/>
          <w:sz w:val="20"/>
          <w:szCs w:val="20"/>
        </w:rPr>
        <w:t xml:space="preserve">Classification: VA Internal – For Official Use Only</w:t>
      </w:r>
    </w:p>
    <w:p>
      <w:r>
        <w:br w:type="page"/>
      </w:r>
    </w:p>
    <w:p>
      <w:pPr>
        <w:pStyle w:val="Heading1"/>
      </w:pPr>
      <w:r>
        <w:t xml:space="preserve">Executive Summary</w:t>
      </w:r>
    </w:p>
    <w:p>
      <w:pPr>
        <w:spacing w:after="200"/>
      </w:pPr>
      <w:r>
        <w:t xml:space="preserve">This report synthesizes findings from four research activities conducted between April and November 2024 focused on the VA Health and Benefits mobile application. The research collectively engaged 47 veteran participants and identified critical navigation, information architecture, and accessibility barriers contributing to the app’s declining user satisfaction scores.</w:t>
      </w:r>
    </w:p>
    <w:p>
      <w:pPr>
        <w:spacing w:after="200"/>
      </w:pPr>
      <w:r>
        <w:t xml:space="preserve">Key finding: </w:t>
      </w:r>
      <w:r>
        <w:rPr>
          <w:b/>
          <w:bCs/>
        </w:rPr>
        <w:t xml:space="preserve">45% of veterans who begin a task in the mobile app abandon it before completion.</w:t>
      </w:r>
      <w:r>
        <w:t xml:space="preserve"> The primary drivers are (1) inability to locate features within the current navigation structure, (2) broken task flows that lose user state, and (3) accessibility barriers that make the app functionally unusable for veterans with disabilities.</w:t>
      </w:r>
    </w:p>
    <w:p>
      <w:pPr>
        <w:pStyle w:val="Heading1"/>
      </w:pPr>
      <w:r>
        <w:t xml:space="preserve">Study 1: Navigation Mental Model Assessment</w:t>
      </w:r>
    </w:p>
    <w:p>
      <w:pPr>
        <w:pStyle w:val="Heading2"/>
      </w:pPr>
      <w:r>
        <w:t xml:space="preserve">Methodology</w:t>
      </w:r>
    </w:p>
    <w:p>
      <w:pPr>
        <w:spacing w:after="120"/>
      </w:pPr>
      <w:r>
        <w:t xml:space="preserve">Open card sort conducted with 12 veteran participants (April 2024). Participants sorted 48 feature cards into self-defined categories. Sessions were 45 minutes, conducted remotely via Optimal Workshop.</w:t>
      </w:r>
    </w:p>
    <w:p>
      <w:pPr>
        <w:pStyle w:val="Heading2"/>
      </w:pPr>
      <w:r>
        <w:t xml:space="preserve">Key Findings</w:t>
      </w:r>
    </w:p>
    <w:p>
      <w:pPr>
        <w:pStyle w:val="ListParagraph"/>
        <w:numPr>
          <w:ilvl w:val="0"/>
          <w:numId w:val="2"/>
        </w:numPr>
      </w:pPr>
      <w:r>
        <w:rPr>
          <w:b/>
          <w:bCs/>
        </w:rPr>
        <w:t xml:space="preserve">Veterans do not use Health/Benefits mental model. </w:t>
      </w:r>
      <w:r>
        <w:t xml:space="preserve">Only 2 of 12 participants (17%) created groups that aligned with the app’s current Health vs. Benefits split. The majority organized by task type: “Things I check regularly,” “Things I need to do,” “My information.”</w:t>
      </w:r>
    </w:p>
    <w:p>
      <w:pPr>
        <w:pStyle w:val="ListParagraph"/>
        <w:numPr>
          <w:ilvl w:val="0"/>
          <w:numId w:val="2"/>
        </w:numPr>
      </w:pPr>
      <w:r>
        <w:rPr>
          <w:b/>
          <w:bCs/>
        </w:rPr>
        <w:t xml:space="preserve">Prescriptions and Appointments are perceived as a single category. </w:t>
      </w:r>
      <w:r>
        <w:t xml:space="preserve">9 of 12 participants grouped these together under labels like “My Healthcare” or “Doctor Stuff.” The current separation across different navigation paths contradicts veteran expectations.</w:t>
      </w:r>
    </w:p>
    <w:p>
      <w:pPr>
        <w:pStyle w:val="ListParagraph"/>
        <w:numPr>
          <w:ilvl w:val="0"/>
          <w:numId w:val="2"/>
        </w:numPr>
      </w:pPr>
      <w:r>
        <w:rPr>
          <w:b/>
          <w:bCs/>
        </w:rPr>
        <w:t xml:space="preserve">Payment-related features were scattered across 4+ participant-defined groups. </w:t>
      </w:r>
      <w:r>
        <w:t xml:space="preserve">Direct deposit, travel pay, disability compensation, and copay information were never consistently grouped, suggesting the app needs a unified “Money” or “Payments” hub.</w:t>
      </w:r>
    </w:p>
    <w:p>
      <w:pPr>
        <w:pStyle w:val="ListParagraph"/>
        <w:numPr>
          <w:ilvl w:val="0"/>
          <w:numId w:val="2"/>
        </w:numPr>
      </w:pPr>
      <w:r>
        <w:rPr>
          <w:b/>
          <w:bCs/>
        </w:rPr>
        <w:t xml:space="preserve">Profile and Settings were frequently confused. </w:t>
      </w:r>
      <w:r>
        <w:t xml:space="preserve">Veterans could not predict whether personal information, notification preferences, and contact details would be under “Profile” or “Settings.” 7 of 12 merged these into a single group.</w:t>
      </w:r>
    </w:p>
    <w:p>
      <w:pPr>
        <w:pStyle w:val="Heading3"/>
      </w:pPr>
      <w:r>
        <w:t xml:space="preserve">Similarity Matrix Highlights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Feature Pair</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Similarity Score</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Current App Placement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Rx Refill ↔ Appointments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89% (grouped together)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Same section (Health)</w:t>
            </w:r>
          </w:p>
        </w:tc>
      </w:tr>
      <w:tr>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Claims Status ↔ Disability Rating</w:t>
            </w:r>
          </w:p>
        </w:tc>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92% (grouped together)</w:t>
            </w:r>
          </w:p>
        </w:tc>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Different subsections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Secure Messages ↔ Appointments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78% (grouped together)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Same section (Health)</w:t>
            </w:r>
          </w:p>
        </w:tc>
      </w:tr>
      <w:tr>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Direct Deposit ↔ Travel Pay</w:t>
            </w:r>
          </w:p>
        </w:tc>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71% (grouped together)</w:t>
            </w:r>
          </w:p>
        </w:tc>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Different sections entirely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Letters ↔ Claims Documents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83% (grouped together)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 clear connection in nav</w:t>
            </w:r>
          </w:p>
        </w:tc>
      </w:tr>
    </w:tbl>
    <w:p>
      <w:r>
        <w:br w:type="page"/>
      </w:r>
    </w:p>
    <w:p>
      <w:pPr>
        <w:pStyle w:val="Heading1"/>
      </w:pPr>
      <w:r>
        <w:t xml:space="preserve">Study 2: Task Completion Usability Testing</w:t>
      </w:r>
    </w:p>
    <w:p>
      <w:pPr>
        <w:pStyle w:val="Heading2"/>
      </w:pPr>
      <w:r>
        <w:t xml:space="preserve">Methodology</w:t>
      </w:r>
    </w:p>
    <w:p>
      <w:pPr>
        <w:spacing w:after="120"/>
      </w:pPr>
      <w:r>
        <w:t xml:space="preserve">Moderated usability testing with 15 veteran participants (July 2024). Participants were asked to complete 6 common tasks using the production mobile app on their own devices. Sessions were 60 minutes, conducted remotely via Zoom with screen sharing.</w:t>
      </w:r>
    </w:p>
    <w:p>
      <w:pPr>
        <w:pStyle w:val="Heading2"/>
      </w:pPr>
      <w:r>
        <w:t xml:space="preserve">Task Success 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500"/>
        <w:gridCol w:w="2860"/>
      </w:tblGrid>
      <w:tr>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Success Rate</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Avg Time</w:t>
            </w:r>
          </w:p>
        </w:tc>
        <w:tc>
          <w:tcPr>
            <w:tcW w:type="dxa" w:w="2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Primary Failure Point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Refill a prescription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73%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3m 42s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Could not find Rx in nav hierarchy</w:t>
            </w:r>
          </w:p>
        </w:tc>
      </w:tr>
      <w:tr>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Check claim status</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67%</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4m 18s</w:t>
            </w:r>
          </w:p>
        </w:tc>
        <w:tc>
          <w:tcPr>
            <w:tcW w:type="dxa" w:w="2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Tapped Health instead of Benefits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Schedule an appointment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6m 55s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Multi-step flow confusion; state loss</w:t>
            </w:r>
          </w:p>
        </w:tc>
      </w:tr>
      <w:tr>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Send a secure message</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80%</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2m 30s</w:t>
            </w:r>
          </w:p>
        </w:tc>
        <w:tc>
          <w:tcPr>
            <w:tcW w:type="dxa" w:w="2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Drafts lost on app switch</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Find disability rating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5m 12s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Looked under Health; used search (failed)</w:t>
            </w:r>
          </w:p>
        </w:tc>
      </w:tr>
      <w:tr>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Update direct deposit info</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33%</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7m 40s</w:t>
            </w:r>
          </w:p>
        </w:tc>
        <w:tc>
          <w:tcPr>
            <w:tcW w:type="dxa" w:w="2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Could not locate; checked 5+ sections</w:t>
            </w:r>
          </w:p>
        </w:tc>
      </w:tr>
    </w:tbl>
    <w:p>
      <w:pPr>
        <w:pStyle w:val="Heading2"/>
        <w:spacing w:before="200" w:after="120"/>
      </w:pPr>
      <w:r>
        <w:t xml:space="preserve">Behavioral Observations</w:t>
      </w:r>
    </w:p>
    <w:p>
      <w:pPr>
        <w:pStyle w:val="ListParagraph"/>
        <w:numPr>
          <w:ilvl w:val="0"/>
          <w:numId w:val="3"/>
        </w:numPr>
      </w:pPr>
      <w:r>
        <w:rPr>
          <w:b/>
          <w:bCs/>
        </w:rPr>
        <w:t xml:space="preserve">Pogo-sticking behavior: </w:t>
      </w:r>
      <w:r>
        <w:t xml:space="preserve">11 of 15 participants exhibited rapid back-and-forth navigation between Health and Benefits sections, indicating fundamental confusion about the organizational model.</w:t>
      </w:r>
    </w:p>
    <w:p>
      <w:pPr>
        <w:pStyle w:val="ListParagraph"/>
        <w:numPr>
          <w:ilvl w:val="0"/>
          <w:numId w:val="3"/>
        </w:numPr>
      </w:pPr>
      <w:r>
        <w:rPr>
          <w:b/>
          <w:bCs/>
        </w:rPr>
        <w:t xml:space="preserve">Search as escape hatch: </w:t>
      </w:r>
      <w:r>
        <w:t xml:space="preserve">When lost, 13 of 15 participants attempted to use search. Of those, only 3 found what they needed via search due to the limited search index and exact-match requirement.</w:t>
      </w:r>
    </w:p>
    <w:p>
      <w:pPr>
        <w:pStyle w:val="ListParagraph"/>
        <w:numPr>
          <w:ilvl w:val="0"/>
          <w:numId w:val="3"/>
        </w:numPr>
      </w:pPr>
      <w:r>
        <w:rPr>
          <w:b/>
          <w:bCs/>
        </w:rPr>
        <w:t xml:space="preserve">Verbal frustration markers: </w:t>
      </w:r>
      <w:r>
        <w:t xml:space="preserve">Average of 4.2 verbal frustration expressions per session (sighs, expletives, “where is it,” “this makes no sense”). Highest during claim status and direct deposit tasks.</w:t>
      </w:r>
    </w:p>
    <w:p>
      <w:pPr>
        <w:pStyle w:val="ListParagraph"/>
        <w:numPr>
          <w:ilvl w:val="0"/>
          <w:numId w:val="3"/>
        </w:numPr>
      </w:pPr>
      <w:r>
        <w:rPr>
          <w:b/>
          <w:bCs/>
        </w:rPr>
        <w:t xml:space="preserve">Abandonment triggers: </w:t>
      </w:r>
      <w:r>
        <w:t xml:space="preserve">The most common abandonment trigger was navigating to a section, not finding the expected content, and concluding “it must not be in the app.” 6 participants gave up on tasks believing the feature didn’t exist when it did.</w:t>
      </w:r>
    </w:p>
    <w:p>
      <w:r>
        <w:br w:type="page"/>
      </w:r>
    </w:p>
    <w:p>
      <w:pPr>
        <w:pStyle w:val="Heading1"/>
      </w:pPr>
      <w:r>
        <w:t xml:space="preserve">Study 3: Accessibility Compliance Audit</w:t>
      </w:r>
    </w:p>
    <w:p>
      <w:pPr>
        <w:pStyle w:val="Heading2"/>
      </w:pPr>
      <w:r>
        <w:t xml:space="preserve">Methodology</w:t>
      </w:r>
    </w:p>
    <w:p>
      <w:pPr>
        <w:spacing w:after="120"/>
      </w:pPr>
      <w:r>
        <w:t xml:space="preserve">Combined automated and manual accessibility audit (September 2024). Automated testing with Axe and manual testing with 8 veteran participants who use assistive technologies (4 VoiceOver, 2 TalkBack, 1 Switch Control, 1 voice command).</w:t>
      </w:r>
    </w:p>
    <w:p>
      <w:pPr>
        <w:pStyle w:val="Heading2"/>
      </w:pPr>
      <w:r>
        <w:t xml:space="preserve">WCAG 2.1 AA Compliance Summary</w:t>
      </w:r>
    </w:p>
    <w:p>
      <w:pPr>
        <w:spacing w:after="120"/>
      </w:pPr>
      <w:r>
        <w:rPr>
          <w:b/>
          <w:bCs/>
        </w:rPr>
        <w:t xml:space="preserve">Overall compliance rate: 61% </w:t>
      </w:r>
      <w:r>
        <w:t xml:space="preserve">(target: 100%). The app fails 47 of 78 applicable WCAG 2.1 AA success criteria across the tested user flows.</w:t>
      </w:r>
    </w:p>
    <w:p>
      <w:pPr>
        <w:pStyle w:val="Heading3"/>
      </w:pPr>
      <w:r>
        <w:t xml:space="preserve">Critical Accessibility Failures</w:t>
      </w:r>
    </w:p>
    <w:p>
      <w:pPr>
        <w:pStyle w:val="ListParagraph"/>
        <w:numPr>
          <w:ilvl w:val="0"/>
          <w:numId w:val="2"/>
        </w:numPr>
      </w:pPr>
      <w:r>
        <w:rPr>
          <w:b/>
          <w:bCs/>
        </w:rPr>
        <w:t xml:space="preserve">Navigation order is non-sequential (WCAG 2.4.3). </w:t>
      </w:r>
      <w:r>
        <w:t xml:space="preserve">Screen readers traverse the DOM in an order that does not match visual layout. Footer content is read before main content in 4 of 6 primary screens.</w:t>
      </w:r>
    </w:p>
    <w:p>
      <w:pPr>
        <w:pStyle w:val="ListParagraph"/>
        <w:numPr>
          <w:ilvl w:val="0"/>
          <w:numId w:val="2"/>
        </w:numPr>
      </w:pPr>
      <w:r>
        <w:rPr>
          <w:b/>
          <w:bCs/>
        </w:rPr>
        <w:t xml:space="preserve">Focus management fails on route changes (WCAG 2.4.7). </w:t>
      </w:r>
      <w:r>
        <w:t xml:space="preserve">When navigating between screens, focus is not moved to the new content. Screen reader users hear nothing after a tap and must manually explore to find new content.</w:t>
      </w:r>
    </w:p>
    <w:p>
      <w:pPr>
        <w:pStyle w:val="ListParagraph"/>
        <w:numPr>
          <w:ilvl w:val="0"/>
          <w:numId w:val="2"/>
        </w:numPr>
      </w:pPr>
      <w:r>
        <w:rPr>
          <w:b/>
          <w:bCs/>
        </w:rPr>
        <w:t xml:space="preserve">Custom components lack ARIA roles (WCAG 4.1.2). </w:t>
      </w:r>
      <w:r>
        <w:t xml:space="preserve">Date picker, dropdown selectors, and accordion components are built with custom implementations that have no ARIA roles, states, or properties. They are invisible or non-interactive for assistive technology users.</w:t>
      </w:r>
    </w:p>
    <w:p>
      <w:pPr>
        <w:pStyle w:val="ListParagraph"/>
        <w:numPr>
          <w:ilvl w:val="0"/>
          <w:numId w:val="2"/>
        </w:numPr>
      </w:pPr>
      <w:r>
        <w:rPr>
          <w:b/>
          <w:bCs/>
        </w:rPr>
        <w:t xml:space="preserve">Color contrast failures on 12 UI elements (WCAG 1.4.3). </w:t>
      </w:r>
      <w:r>
        <w:t xml:space="preserve">Status badges, placeholder text, disabled buttons, and breadcrumb text all fail minimum contrast ratios. Particularly impactful for the status indicators used in Claims and Prescriptions.</w:t>
      </w:r>
    </w:p>
    <w:p>
      <w:pPr>
        <w:pStyle w:val="ListParagraph"/>
        <w:numPr>
          <w:ilvl w:val="0"/>
          <w:numId w:val="2"/>
        </w:numPr>
      </w:pPr>
      <w:r>
        <w:rPr>
          <w:b/>
          <w:bCs/>
        </w:rPr>
        <w:t xml:space="preserve">Touch targets below 44x44px (WCAG 2.5.5). </w:t>
      </w:r>
      <w:r>
        <w:t xml:space="preserve">Breadcrumb links, filter chips, and secondary action buttons measure 32x28px to 36x36px, below the minimum required target size.</w:t>
      </w:r>
    </w:p>
    <w:p>
      <w:r>
        <w:br w:type="page"/>
      </w:r>
    </w:p>
    <w:p>
      <w:pPr>
        <w:pStyle w:val="Heading1"/>
      </w:pPr>
      <w:r>
        <w:t xml:space="preserve">Study 4: Comparative Benchmarking Analysis</w:t>
      </w:r>
    </w:p>
    <w:p>
      <w:pPr>
        <w:pStyle w:val="Heading2"/>
      </w:pPr>
      <w:r>
        <w:t xml:space="preserve">Methodology</w:t>
      </w:r>
    </w:p>
    <w:p>
      <w:pPr>
        <w:spacing w:after="120"/>
      </w:pPr>
      <w:r>
        <w:t xml:space="preserve">Heuristic evaluation and competitive analysis of 5 comparable government and healthcare mobile applications (November 2024). Apps evaluated: MyChart (Epic), Medicare.gov app, UK NHS App, Australian myGov, and Social Security Mobile.</w:t>
      </w:r>
    </w:p>
    <w:p>
      <w:pPr>
        <w:pStyle w:val="Heading2"/>
      </w:pPr>
      <w:r>
        <w:t xml:space="preserve">Navigation Pattern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VA Mobile</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MyChart</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NHS App</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Medicare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Nav Style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Tab + Hamburger (hybrid)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Tab bar only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Tab + Hub page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Tab bar only</w:t>
            </w:r>
          </w:p>
        </w:tc>
      </w:tr>
      <w:tr>
        <w:tc>
          <w:tcPr>
            <w:tcW w:type="dxa" w:w="1872"/>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000000"/>
                <w:sz w:val="20"/>
                <w:szCs w:val="20"/>
              </w:rPr>
              <w:t xml:space="preserve">Max Depth</w:t>
            </w:r>
          </w:p>
        </w:tc>
        <w:tc>
          <w:tcPr>
            <w:tcW w:type="dxa" w:w="1872"/>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6 levels</w:t>
            </w:r>
          </w:p>
        </w:tc>
        <w:tc>
          <w:tcPr>
            <w:tcW w:type="dxa" w:w="1872"/>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3 levels</w:t>
            </w:r>
          </w:p>
        </w:tc>
        <w:tc>
          <w:tcPr>
            <w:tcW w:type="dxa" w:w="1872"/>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3 levels</w:t>
            </w:r>
          </w:p>
        </w:tc>
        <w:tc>
          <w:tcPr>
            <w:tcW w:type="dxa" w:w="1872"/>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2 levels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Search Quality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Exact match only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Fuzzy + suggestions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Fuzzy + categories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Basic keyword</w:t>
            </w:r>
          </w:p>
        </w:tc>
      </w:tr>
      <w:tr>
        <w:tc>
          <w:tcPr>
            <w:tcW w:type="dxa" w:w="1872"/>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000000"/>
                <w:sz w:val="20"/>
                <w:szCs w:val="20"/>
              </w:rPr>
              <w:t xml:space="preserve">Personalization</w:t>
            </w:r>
          </w:p>
        </w:tc>
        <w:tc>
          <w:tcPr>
            <w:tcW w:type="dxa" w:w="1872"/>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None</w:t>
            </w:r>
          </w:p>
        </w:tc>
        <w:tc>
          <w:tcPr>
            <w:tcW w:type="dxa" w:w="1872"/>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Customizable home</w:t>
            </w:r>
          </w:p>
        </w:tc>
        <w:tc>
          <w:tcPr>
            <w:tcW w:type="dxa" w:w="1872"/>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Usage-based ordering</w:t>
            </w:r>
          </w:p>
        </w:tc>
        <w:tc>
          <w:tcPr>
            <w:tcW w:type="dxa" w:w="1872"/>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None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Quick Actions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Yes (home screen)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Yes (hub page)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r>
      <w:tr>
        <w:tc>
          <w:tcPr>
            <w:tcW w:type="dxa" w:w="1872"/>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000000"/>
                <w:sz w:val="20"/>
                <w:szCs w:val="20"/>
              </w:rPr>
              <w:t xml:space="preserve">App Store Rating</w:t>
            </w:r>
          </w:p>
        </w:tc>
        <w:tc>
          <w:tcPr>
            <w:tcW w:type="dxa" w:w="1872"/>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2.8 ★</w:t>
            </w:r>
          </w:p>
        </w:tc>
        <w:tc>
          <w:tcPr>
            <w:tcW w:type="dxa" w:w="1872"/>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4.8 ★</w:t>
            </w:r>
          </w:p>
        </w:tc>
        <w:tc>
          <w:tcPr>
            <w:tcW w:type="dxa" w:w="1872"/>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4.6 ★</w:t>
            </w:r>
          </w:p>
        </w:tc>
        <w:tc>
          <w:tcPr>
            <w:tcW w:type="dxa" w:w="1872"/>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3.1 ★</w:t>
            </w:r>
          </w:p>
        </w:tc>
      </w:tr>
    </w:tbl>
    <w:p>
      <w:pPr>
        <w:pStyle w:val="Heading2"/>
        <w:spacing w:before="200"/>
      </w:pPr>
      <w:r>
        <w:t xml:space="preserve">Key Competitive Gaps</w:t>
      </w:r>
    </w:p>
    <w:p>
      <w:pPr>
        <w:pStyle w:val="ListParagraph"/>
        <w:numPr>
          <w:ilvl w:val="0"/>
          <w:numId w:val="3"/>
        </w:numPr>
      </w:pPr>
      <w:r>
        <w:t xml:space="preserve">VA Mobile is the only app in the comparison set that uses a hybrid tab bar + hamburger menu pattern, creating two competing navigation paradigms.</w:t>
      </w:r>
    </w:p>
    <w:p>
      <w:pPr>
        <w:pStyle w:val="ListParagraph"/>
        <w:numPr>
          <w:ilvl w:val="0"/>
          <w:numId w:val="3"/>
        </w:numPr>
      </w:pPr>
      <w:r>
        <w:t xml:space="preserve">VA Mobile has the deepest navigation hierarchy (6 levels) while comparable apps max out at 3. Research consistently shows task abandonment increases exponentially beyond 3 levels.</w:t>
      </w:r>
    </w:p>
    <w:p>
      <w:pPr>
        <w:pStyle w:val="ListParagraph"/>
        <w:numPr>
          <w:ilvl w:val="0"/>
          <w:numId w:val="3"/>
        </w:numPr>
      </w:pPr>
      <w:r>
        <w:t xml:space="preserve">VA Mobile is the only app without any personalization or customization of the home screen experience.</w:t>
      </w:r>
    </w:p>
    <w:p>
      <w:pPr>
        <w:pStyle w:val="ListParagraph"/>
        <w:numPr>
          <w:ilvl w:val="0"/>
          <w:numId w:val="3"/>
        </w:numPr>
      </w:pPr>
      <w:r>
        <w:t xml:space="preserve">MyChart and NHS App both offer fuzzy search with autocomplete, which the research literature shows reduces search abandonment by 60–70% compared to exact-match search.</w:t>
      </w:r>
    </w:p>
    <w:p>
      <w:r>
        <w:br w:type="page"/>
      </w:r>
    </w:p>
    <w:p>
      <w:pPr>
        <w:pStyle w:val="Heading1"/>
      </w:pPr>
      <w:r>
        <w:t xml:space="preserve">Consolidated Recommendations</w:t>
      </w:r>
    </w:p>
    <w:p>
      <w:pPr>
        <w:spacing w:after="200"/>
      </w:pPr>
      <w:r>
        <w:t xml:space="preserve">Based on the combined findings from all four studies, the research team recommends the following priorities for the Q1 2026 redesign cycle:</w:t>
      </w:r>
    </w:p>
    <w:p>
      <w:pPr>
        <w:pStyle w:val="Heading3"/>
      </w:pPr>
      <w:r>
        <w:t xml:space="preserve">Priority 1: Restructure Information Architecture (Critical)</w:t>
      </w:r>
    </w:p>
    <w:p>
      <w:pPr>
        <w:spacing w:after="120"/>
      </w:pPr>
      <w:r>
        <w:t xml:space="preserve">Replace Health/Benefits organizational model with task-based navigation aligned to veteran mental models. Reduce maximum navigation depth from 6 levels to 3. Eliminate the hybrid tab/hamburger pattern in favor of a single, consistent navigation model.</w:t>
      </w:r>
    </w:p>
    <w:p>
      <w:pPr>
        <w:pStyle w:val="Heading3"/>
      </w:pPr>
      <w:r>
        <w:t xml:space="preserve">Priority 2: Rebuild Search (High)</w:t>
      </w:r>
    </w:p>
    <w:p>
      <w:pPr>
        <w:spacing w:after="120"/>
      </w:pPr>
      <w:r>
        <w:t xml:space="preserve">Implement fuzzy search with autocomplete, spell correction, and synonym support. Expand search index to cover 100% of app content including secure messages and documents. Add search analytics to identify common queries and gaps.</w:t>
      </w:r>
    </w:p>
    <w:p>
      <w:pPr>
        <w:pStyle w:val="Heading3"/>
      </w:pPr>
      <w:r>
        <w:t xml:space="preserve">Priority 3: Accessibility Remediation (Critical)</w:t>
      </w:r>
    </w:p>
    <w:p>
      <w:pPr>
        <w:spacing w:after="120"/>
      </w:pPr>
      <w:r>
        <w:t xml:space="preserve">Fix screen reader navigation order across all screens. Implement proper ARIA roles on all custom components. Correct color contrast failures. Ensure all touch targets meet 44x44px minimum. Achieve WCAG 2.1 AA compliance on all primary user flows.</w:t>
      </w:r>
    </w:p>
    <w:p>
      <w:pPr>
        <w:pStyle w:val="Heading3"/>
      </w:pPr>
      <w:r>
        <w:t xml:space="preserve">Priority 4: Task Flow Resilience (High)</w:t>
      </w:r>
    </w:p>
    <w:p>
      <w:pPr>
        <w:spacing w:after="120"/>
      </w:pPr>
      <w:r>
        <w:t xml:space="preserve">Implement auto-save for all forms and drafts. Preserve application state across backgrounding and device rotation. Add clear error messaging for all failure states. Reduce multi-step flows where possible.</w:t>
      </w:r>
    </w:p>
    <w:p>
      <w:pPr>
        <w:spacing w:before="600"/>
      </w:pPr>
      <w:r>
        <w:rPr>
          <w:color w:val="CCCCCC"/>
        </w:rPr>
        <w:t xml:space="preserve">———</w:t>
      </w:r>
    </w:p>
    <w:p>
      <w:r>
        <w:rPr>
          <w:i/>
          <w:iCs/>
          <w:color w:val="666666"/>
          <w:sz w:val="20"/>
          <w:szCs w:val="20"/>
        </w:rPr>
        <w:t xml:space="preserve">Prepared by: </w:t>
      </w:r>
      <w:r>
        <w:rPr>
          <w:color w:val="666666"/>
          <w:sz w:val="20"/>
          <w:szCs w:val="20"/>
        </w:rPr>
        <w:t xml:space="preserve">VA OCTO Mobile UX Research Team</w:t>
      </w:r>
    </w:p>
    <w:p>
      <w:r>
        <w:rPr>
          <w:color w:val="666666"/>
          <w:sz w:val="20"/>
          <w:szCs w:val="20"/>
        </w:rPr>
        <w:t xml:space="preserve">Lead Researcher: Jordan Alvarez, Senior UX Researcher</w:t>
      </w:r>
    </w:p>
    <w:p>
      <w:r>
        <w:rPr>
          <w:color w:val="666666"/>
          <w:sz w:val="20"/>
          <w:szCs w:val="20"/>
        </w:rPr>
        <w:t xml:space="preserve">Reviewed by: Dr. Patricia Okonkwo, Director of User Experience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5C3A"/>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2026-02-17T18:12:57.540Z</dcterms:created>
  <dcterms:modified xsi:type="dcterms:W3CDTF">2026-02-17T18:12:57.541Z</dcterms:modified>
</cp:coreProperties>
</file>

<file path=docProps/custom.xml><?xml version="1.0" encoding="utf-8"?>
<Properties xmlns="http://schemas.openxmlformats.org/officeDocument/2006/custom-properties" xmlns:vt="http://schemas.openxmlformats.org/officeDocument/2006/docPropsVTypes"/>
</file>