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Calibri-Bold" w:hAnsi="Calibri-Bold"/>
          <w:b/>
          <w:color w:val="2F5497"/>
          <w:sz w:val="32"/>
        </w:rPr>
        <w:t>ARBITRIO PER LE CONTROVERSIE FINANZIARIE</w:t>
      </w:r>
    </w:p>
    <w:p>
      <w:pPr>
        <w:pStyle w:val="Normal"/>
        <w:bidi w:val="0"/>
        <w:jc w:val="left"/>
        <w:rPr>
          <w:rFonts w:ascii="Calibri-Bold" w:hAnsi="Calibri-Bold"/>
          <w:b/>
          <w:b/>
          <w:color w:val="2F5497"/>
          <w:sz w:val="32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Calibri" w:hAnsi="Calibri"/>
          <w:color w:val="000000"/>
          <w:sz w:val="22"/>
        </w:rPr>
        <w:t>Il Cliente può presentare ricorso all’Arbitro per le Controversie Finanziarie (ACF), istituito presso la CONSOB,</w:t>
      </w:r>
    </w:p>
    <w:p>
      <w:pPr>
        <w:pStyle w:val="Normal"/>
        <w:bidi w:val="0"/>
        <w:jc w:val="both"/>
        <w:rPr/>
      </w:pPr>
      <w:r>
        <w:rPr>
          <w:rFonts w:ascii="Calibri" w:hAnsi="Calibri"/>
          <w:color w:val="000000"/>
          <w:sz w:val="22"/>
        </w:rPr>
        <w:t>per la risoluzione extragiudiziale delle controversie tra investitori (diversi dai clienti professionali) e i consulenti finanziari autonomi e le società di consulenza finanziaria di cui, rispettivamente, agli articoli 18-bis e 18-ter del TUF, , relative alla violazione da parte di questi ultimi degli obblighi di diligenza, correttezza, informazione e trasparenza nell’esercizio dell’attività disciplinata dalla Parte II del TUF, incluse le controversie oggetto del Regolamento (UE) n. 524/2013. Non rientrano nell’ambito dell’operatività dell’Arbitro le controversie che implicano la richiesta di somme di denaro per un importo superiore a Euro cinquecentomila. Sono esclusi dalla cognizione dell’Arbitro i danni che non sono conseguenza immediata e diretta dell’inadempimento o della violazione da parte dell’intermediario degli obblighi sopra descritti e quelli che non hanno natura patrimoniale. Il diritto di ricorrere all’ACF è irrinunciabile e sempre esercitabile anche in presenza di clausole di devoluzione delle controversie ad altri organismi di risoluzione extragiudiziale contenute nel contratto.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2"/>
        </w:rPr>
        <w:t>Per maggiori informazioni fare riferimento al sito internet https://www.acf.consob.it/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-Bold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LibreOffice/7.3.7.2$Windows_X86_64 LibreOffice_project/e114eadc50a9ff8d8c8a0567d6da8f454beeb84f</Application>
  <AppVersion>15.0000</AppVersion>
  <Pages>1</Pages>
  <Words>178</Words>
  <Characters>1175</Characters>
  <CharactersWithSpaces>1349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2024-02-12T15:35:55Z</dcterms:created>
  <dc:creator/>
  <dc:description/>
  <dc:language>it-IT</dc:language>
  <cp:lastModifiedBy/>
  <dcterms:modified xsi:type="dcterms:W3CDTF">2024-02-12T15:39:19Z</dcterms:modified>
  <cp:revision>1</cp:revision>
  <dc:subject/>
  <dc:title/>
</cp:coreProperties>
</file>