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 w:line="300"/>
      </w:pPr>
      <w:r>
        <w:rPr>
          <w:rFonts w:ascii="Trebuchet MS" w:cs="Trebuchet MS" w:eastAsia="Trebuchet MS" w:hAnsi="Trebuchet MS"/>
          <w:b/>
          <w:bCs/>
          <w:color w:val="1B3A63"/>
          <w:sz w:val="38"/>
          <w:szCs w:val="38"/>
        </w:rPr>
        <w:t xml:space="preserve">Fiche de séance — Récupération de fluide sur MINIMAX-E</w:t>
      </w:r>
    </w:p>
    <w:p>
      <w:pPr>
        <w:spacing w:after="80" w:line="360"/>
        <w:jc w:val="left"/>
      </w:pPr>
      <w:r>
        <w:rPr>
          <w:rFonts w:ascii="Calibri" w:cs="Calibri" w:eastAsia="Calibri" w:hAnsi="Calibri"/>
          <w:b/>
          <w:bCs/>
          <w:color w:val="1B3A63"/>
          <w:sz w:val="28"/>
          <w:szCs w:val="28"/>
        </w:rPr>
        <w:t xml:space="preserve">Document enseignant. </w:t>
      </w:r>
      <w:r>
        <w:rPr>
          <w:rFonts w:ascii="Calibri" w:cs="Calibri" w:eastAsia="Calibri" w:hAnsi="Calibri"/>
          <w:color w:val="1B3A63"/>
          <w:sz w:val="28"/>
          <w:szCs w:val="28"/>
        </w:rPr>
        <w:t xml:space="preserve">Déroulé minute par minute, préparation, incidents prévisibles, plan B.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single" w:color="B9C2CC" w:sz="6"/>
          <w:left w:val="single" w:color="B9C2CC" w:sz="6"/>
          <w:bottom w:val="single" w:color="B9C2CC" w:sz="6"/>
          <w:right w:val="single" w:color="B9C2CC" w:sz="6"/>
          <w:insideH w:val="single" w:color="B9C2CC" w:sz="6"/>
          <w:insideV w:val="single" w:color="B9C2CC" w:sz="6"/>
        </w:tblBorders>
      </w:tblPr>
      <w:tblGrid>
        <w:gridCol w:w="2313"/>
        <w:gridCol w:w="7325"/>
      </w:tblGrid>
      <w:tr>
        <w:trPr>
          <w:cantSplit/>
        </w:trPr>
        <w:tc>
          <w:tcPr>
            <w:tcW w:type="dxa" w:w="231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Classe</w:t>
            </w:r>
          </w:p>
        </w:tc>
        <w:tc>
          <w:tcPr>
            <w:tcW w:type="dxa" w:w="732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BAC PRO MFER — 1re (adaptation CAP IFCA 2e année en fin de fiche)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Durée</w:t>
            </w:r>
          </w:p>
        </w:tc>
        <w:tc>
          <w:tcPr>
            <w:tcW w:type="dxa" w:w="732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4 h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Effectif cible</w:t>
            </w:r>
          </w:p>
        </w:tc>
        <w:tc>
          <w:tcPr>
            <w:tcW w:type="dxa" w:w="732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9 à 12 élèves — 3 trinômes ou 3 groupes de 4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Salle</w:t>
            </w:r>
          </w:p>
        </w:tc>
        <w:tc>
          <w:tcPr>
            <w:tcW w:type="dxa" w:w="732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Plateau technique froid, 3 paillasses équipées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Encadrement</w:t>
            </w:r>
          </w:p>
        </w:tc>
        <w:tc>
          <w:tcPr>
            <w:tcW w:type="dxa" w:w="732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1 enseignant. Au-delà de 12 élèves, prévoir un second adulte.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none" w:color="FFFFFF" w:sz="6"/>
          <w:left w:val="none" w:color="FFFFFF" w:sz="6"/>
          <w:bottom w:val="none" w:color="FFFFFF" w:sz="6"/>
          <w:right w:val="none" w:color="FFFFFF" w:sz="6"/>
          <w:insideH w:val="none" w:color="FFFFFF" w:sz="6"/>
          <w:insideV w:val="none" w:color="FFFFFF" w:sz="6"/>
        </w:tblBorders>
      </w:tblPr>
      <w:tblGrid>
        <w:gridCol w:w="9638"/>
      </w:tblGrid>
      <w:tr>
        <w:tc>
          <w:tcPr>
            <w:tcW w:type="dxa" w:w="9638"/>
            <w:shd w:fill="1B3A63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0"/>
                <w:szCs w:val="30"/>
              </w:rPr>
              <w:t xml:space="preserve">1 · Ce que la séance doit laisser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8"/>
          <w:szCs w:val="28"/>
        </w:rPr>
        <w:t xml:space="preserve">Une seule phrase, écrite au tableau dès la 20ᵉ minute et jamais effacée :</w:t>
      </w:r>
    </w:p>
    <w:tbl>
      <w:tblPr>
        <w:tblW w:type="dxa" w:w="9638"/>
        <w:tblBorders>
          <w:top w:val="single" w:color="FF6B35" w:sz="6"/>
          <w:left w:val="single" w:color="FF6B35" w:sz="6"/>
          <w:bottom w:val="single" w:color="FF6B35" w:sz="6"/>
          <w:right w:val="single" w:color="FF6B35" w:sz="6"/>
          <w:insideH w:val="single" w:color="FF6B35" w:sz="6"/>
          <w:insideV w:val="single" w:color="FF6B35" w:sz="6"/>
        </w:tblBorders>
      </w:tblPr>
      <w:tblGrid>
        <w:gridCol w:w="9638"/>
      </w:tblGrid>
      <w:tr>
        <w:tc>
          <w:tcPr>
            <w:tcW w:type="dxa" w:w="9638"/>
            <w:shd w:fill="FF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6"/>
                <w:szCs w:val="26"/>
              </w:rPr>
              <w:t xml:space="preserve">Récupérer, c'est déplacer une masse de fluide</w:t>
            </w:r>
          </w:p>
          <w:p>
            <w:pPr>
              <w:spacing w:line="30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6"/>
                <w:szCs w:val="26"/>
              </w:rPr>
              <w:t xml:space="preserve">— et prouver au gramme près où elle est passée.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8"/>
          <w:szCs w:val="28"/>
        </w:rPr>
        <w:t xml:space="preserve">Si en fin de séance un élève sait faire tourner la station mais ne sait pas dire combien il a récupéré ni où c'est écrit, la séance a manqué son objet.</w:t>
      </w:r>
    </w:p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none" w:color="FFFFFF" w:sz="6"/>
          <w:left w:val="none" w:color="FFFFFF" w:sz="6"/>
          <w:bottom w:val="none" w:color="FFFFFF" w:sz="6"/>
          <w:right w:val="none" w:color="FFFFFF" w:sz="6"/>
          <w:insideH w:val="none" w:color="FFFFFF" w:sz="6"/>
          <w:insideV w:val="none" w:color="FFFFFF" w:sz="6"/>
        </w:tblBorders>
      </w:tblPr>
      <w:tblGrid>
        <w:gridCol w:w="9638"/>
      </w:tblGrid>
      <w:tr>
        <w:tc>
          <w:tcPr>
            <w:tcW w:type="dxa" w:w="9638"/>
            <w:shd w:fill="1B3A63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0"/>
                <w:szCs w:val="30"/>
              </w:rPr>
              <w:t xml:space="preserve">2 · Préparation — la veille (45 min)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☐   Les 3 stations MINIMAX-E sont sous tension et démarrent. Tester le ventilateur et le bouton Démarrage à vide.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☐   Filtres d'entrée : un par station, repéré au fluide. Sans filtre, on ne lance pas le poste.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☐   Notices papier : une par poste, posées à plat. Pas de notice = pas de séance.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☐   Bouteilles de récupération repérées, dans leur date d'épreuve, tare relevée et notée sur l'étiquette avant l'arrivée des élèves.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☐   Balances : vérifier la date d'étalonnage au registre de l'outillage. Hors validité, la saisie en mode Formation est bloquée — c'est voulu, mais il faut le savoir avant.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☐   Groupes froid positif chargés, charge de plaque relevée et notée.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☐   Une bouteille laissée au repos depuis 24 h pour l'étude des incondensables (poste B). À préparer l'avant-veille.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☐   Poste informatique : inerWeb Fluide ouvert, mode Formation, comptes élèves créés, enseignant identifié comme validateur.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☐   Impression du sujet × 1 par élève. Ne pas imprimer la page corrigé.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☐   Affiches A3 des consignes de poste (une consigne par poste, gros caractères).</w:t>
      </w:r>
    </w:p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none" w:color="FFFFFF" w:sz="6"/>
          <w:left w:val="none" w:color="FFFFFF" w:sz="6"/>
          <w:bottom w:val="none" w:color="FFFFFF" w:sz="6"/>
          <w:right w:val="none" w:color="FFFFFF" w:sz="6"/>
          <w:insideH w:val="none" w:color="FFFFFF" w:sz="6"/>
          <w:insideV w:val="none" w:color="FFFFFF" w:sz="6"/>
        </w:tblBorders>
      </w:tblPr>
      <w:tblGrid>
        <w:gridCol w:w="9638"/>
      </w:tblGrid>
      <w:tr>
        <w:tc>
          <w:tcPr>
            <w:tcW w:type="dxa" w:w="9638"/>
            <w:shd w:fill="1B3A63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0"/>
                <w:szCs w:val="30"/>
              </w:rPr>
              <w:t xml:space="preserve">3 · Déroulé minute par minute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single" w:color="B9C2CC" w:sz="6"/>
          <w:left w:val="single" w:color="B9C2CC" w:sz="6"/>
          <w:bottom w:val="single" w:color="B9C2CC" w:sz="6"/>
          <w:right w:val="single" w:color="B9C2CC" w:sz="6"/>
          <w:insideH w:val="single" w:color="B9C2CC" w:sz="6"/>
          <w:insideV w:val="single" w:color="B9C2CC" w:sz="6"/>
        </w:tblBorders>
      </w:tblPr>
      <w:tblGrid>
        <w:gridCol w:w="1253"/>
        <w:gridCol w:w="1157"/>
        <w:gridCol w:w="1638"/>
        <w:gridCol w:w="2988"/>
        <w:gridCol w:w="2602"/>
      </w:tblGrid>
      <w:tr>
        <w:trPr>
          <w:cantSplit/>
          <w:tblHeader/>
        </w:trPr>
        <w:tc>
          <w:tcPr>
            <w:tcW w:type="dxa" w:w="1253"/>
            <w:shd w:fill="EEF4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Horaire</w:t>
            </w:r>
          </w:p>
        </w:tc>
        <w:tc>
          <w:tcPr>
            <w:tcW w:type="dxa" w:w="1157"/>
            <w:shd w:fill="EEF4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Durée</w:t>
            </w:r>
          </w:p>
        </w:tc>
        <w:tc>
          <w:tcPr>
            <w:tcW w:type="dxa" w:w="1638"/>
            <w:shd w:fill="EEF4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Phase</w:t>
            </w:r>
          </w:p>
        </w:tc>
        <w:tc>
          <w:tcPr>
            <w:tcW w:type="dxa" w:w="2988"/>
            <w:shd w:fill="EEF4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Ce que fait l'enseignant</w:t>
            </w:r>
          </w:p>
        </w:tc>
        <w:tc>
          <w:tcPr>
            <w:tcW w:type="dxa" w:w="2602"/>
            <w:shd w:fill="EEF4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Ce que font les élèves</w:t>
            </w:r>
          </w:p>
        </w:tc>
      </w:tr>
      <w:tr>
        <w:trPr>
          <w:cantSplit/>
          <w:trHeight w:val="380" w:hRule="atLeast"/>
        </w:trPr>
        <w:tc>
          <w:tcPr>
            <w:tcW w:type="dxa" w:w="125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0:00</w:t>
            </w:r>
          </w:p>
        </w:tc>
        <w:tc>
          <w:tcPr>
            <w:tcW w:type="dxa" w:w="11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10 min</w:t>
            </w:r>
          </w:p>
        </w:tc>
        <w:tc>
          <w:tcPr>
            <w:tcW w:type="dxa" w:w="163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Accueil, EPI</w:t>
            </w:r>
          </w:p>
        </w:tc>
        <w:tc>
          <w:tcPr>
            <w:tcW w:type="dxa" w:w="298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Vérifie lunettes / gants / chaussures. Refuse l'entrée au poste sans EPI.</w:t>
            </w:r>
          </w:p>
        </w:tc>
        <w:tc>
          <w:tcPr>
            <w:tcW w:type="dxa" w:w="2602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S'équipent, s'installent</w:t>
            </w:r>
          </w:p>
        </w:tc>
      </w:tr>
      <w:tr>
        <w:trPr>
          <w:cantSplit/>
          <w:trHeight w:val="380" w:hRule="atLeast"/>
        </w:trPr>
        <w:tc>
          <w:tcPr>
            <w:tcW w:type="dxa" w:w="125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0:10</w:t>
            </w:r>
          </w:p>
        </w:tc>
        <w:tc>
          <w:tcPr>
            <w:tcW w:type="dxa" w:w="11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20 min</w:t>
            </w:r>
          </w:p>
        </w:tc>
        <w:tc>
          <w:tcPr>
            <w:tcW w:type="dxa" w:w="163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298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Distribue les notices, ne répond à aucune question technique</w:t>
            </w:r>
          </w:p>
        </w:tc>
        <w:tc>
          <w:tcPr>
            <w:tcW w:type="dxa" w:w="2602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Écrivent leur phrase, cherchent les 4 informations</w:t>
            </w:r>
          </w:p>
        </w:tc>
      </w:tr>
      <w:tr>
        <w:trPr>
          <w:cantSplit/>
          <w:trHeight w:val="380" w:hRule="atLeast"/>
        </w:trPr>
        <w:tc>
          <w:tcPr>
            <w:tcW w:type="dxa" w:w="125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0:30</w:t>
            </w:r>
          </w:p>
        </w:tc>
        <w:tc>
          <w:tcPr>
            <w:tcW w:type="dxa" w:w="11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10 min</w:t>
            </w:r>
          </w:p>
        </w:tc>
        <w:tc>
          <w:tcPr>
            <w:tcW w:type="dxa" w:w="163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Mise en commun</w:t>
            </w:r>
          </w:p>
        </w:tc>
        <w:tc>
          <w:tcPr>
            <w:tcW w:type="dxa" w:w="298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Écrit la phrase-notion au tableau, corrige les 4 informations</w:t>
            </w:r>
          </w:p>
        </w:tc>
        <w:tc>
          <w:tcPr>
            <w:tcW w:type="dxa" w:w="2602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Notent</w:t>
            </w:r>
          </w:p>
        </w:tc>
      </w:tr>
      <w:tr>
        <w:trPr>
          <w:cantSplit/>
          <w:trHeight w:val="380" w:hRule="atLeast"/>
        </w:trPr>
        <w:tc>
          <w:tcPr>
            <w:tcW w:type="dxa" w:w="125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0:40</w:t>
            </w:r>
          </w:p>
        </w:tc>
        <w:tc>
          <w:tcPr>
            <w:tcW w:type="dxa" w:w="11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10 min</w:t>
            </w:r>
          </w:p>
        </w:tc>
        <w:tc>
          <w:tcPr>
            <w:tcW w:type="dxa" w:w="163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Lancement</w:t>
            </w:r>
          </w:p>
        </w:tc>
        <w:tc>
          <w:tcPr>
            <w:tcW w:type="dxa" w:w="298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Distribue les rôles (opérateur / sécurité-notice / scribe)</w:t>
            </w:r>
          </w:p>
        </w:tc>
        <w:tc>
          <w:tcPr>
            <w:tcW w:type="dxa" w:w="2602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Rejoignent leur poste</w:t>
            </w:r>
          </w:p>
        </w:tc>
      </w:tr>
      <w:tr>
        <w:trPr>
          <w:cantSplit/>
          <w:trHeight w:val="380" w:hRule="atLeast"/>
        </w:trPr>
        <w:tc>
          <w:tcPr>
            <w:tcW w:type="dxa" w:w="125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0:50</w:t>
            </w:r>
          </w:p>
        </w:tc>
        <w:tc>
          <w:tcPr>
            <w:tcW w:type="dxa" w:w="11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50 min</w:t>
            </w:r>
          </w:p>
        </w:tc>
        <w:tc>
          <w:tcPr>
            <w:tcW w:type="dxa" w:w="163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Rotation 1</w:t>
            </w:r>
          </w:p>
        </w:tc>
        <w:tc>
          <w:tcPr>
            <w:tcW w:type="dxa" w:w="298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Circule. Priorité au poste A, le plus risqué.</w:t>
            </w:r>
          </w:p>
        </w:tc>
        <w:tc>
          <w:tcPr>
            <w:tcW w:type="dxa" w:w="2602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Postes A · B · C</w:t>
            </w:r>
          </w:p>
        </w:tc>
      </w:tr>
      <w:tr>
        <w:trPr>
          <w:cantSplit/>
          <w:trHeight w:val="380" w:hRule="atLeast"/>
        </w:trPr>
        <w:tc>
          <w:tcPr>
            <w:tcW w:type="dxa" w:w="125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1:40</w:t>
            </w:r>
          </w:p>
        </w:tc>
        <w:tc>
          <w:tcPr>
            <w:tcW w:type="dxa" w:w="11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15 min</w:t>
            </w:r>
          </w:p>
        </w:tc>
        <w:tc>
          <w:tcPr>
            <w:tcW w:type="dxa" w:w="163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Pause</w:t>
            </w:r>
          </w:p>
        </w:tc>
        <w:tc>
          <w:tcPr>
            <w:tcW w:type="dxa" w:w="298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Postes laissés en sécurité, vannes fermées</w:t>
            </w:r>
          </w:p>
        </w:tc>
        <w:tc>
          <w:tcPr>
            <w:tcW w:type="dxa" w:w="2602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25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1:55</w:t>
            </w:r>
          </w:p>
        </w:tc>
        <w:tc>
          <w:tcPr>
            <w:tcW w:type="dxa" w:w="11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50 min</w:t>
            </w:r>
          </w:p>
        </w:tc>
        <w:tc>
          <w:tcPr>
            <w:tcW w:type="dxa" w:w="163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Rotation 2</w:t>
            </w:r>
          </w:p>
        </w:tc>
        <w:tc>
          <w:tcPr>
            <w:tcW w:type="dxa" w:w="298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Change les rôles dans chaque trinôme</w:t>
            </w:r>
          </w:p>
        </w:tc>
        <w:tc>
          <w:tcPr>
            <w:tcW w:type="dxa" w:w="2602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Postes B · C · A</w:t>
            </w:r>
          </w:p>
        </w:tc>
      </w:tr>
      <w:tr>
        <w:trPr>
          <w:cantSplit/>
          <w:trHeight w:val="380" w:hRule="atLeast"/>
        </w:trPr>
        <w:tc>
          <w:tcPr>
            <w:tcW w:type="dxa" w:w="125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2:45</w:t>
            </w:r>
          </w:p>
        </w:tc>
        <w:tc>
          <w:tcPr>
            <w:tcW w:type="dxa" w:w="11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50 min</w:t>
            </w:r>
          </w:p>
        </w:tc>
        <w:tc>
          <w:tcPr>
            <w:tcW w:type="dxa" w:w="163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Rotation 3</w:t>
            </w:r>
          </w:p>
        </w:tc>
        <w:tc>
          <w:tcPr>
            <w:tcW w:type="dxa" w:w="298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Prépare la synthèse</w:t>
            </w:r>
          </w:p>
        </w:tc>
        <w:tc>
          <w:tcPr>
            <w:tcW w:type="dxa" w:w="2602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Postes C · A · B</w:t>
            </w:r>
          </w:p>
        </w:tc>
      </w:tr>
      <w:tr>
        <w:trPr>
          <w:cantSplit/>
          <w:trHeight w:val="380" w:hRule="atLeast"/>
        </w:trPr>
        <w:tc>
          <w:tcPr>
            <w:tcW w:type="dxa" w:w="125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3:35</w:t>
            </w:r>
          </w:p>
        </w:tc>
        <w:tc>
          <w:tcPr>
            <w:tcW w:type="dxa" w:w="11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30 min</w:t>
            </w:r>
          </w:p>
        </w:tc>
        <w:tc>
          <w:tcPr>
            <w:tcW w:type="dxa" w:w="163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Synthèse</w:t>
            </w:r>
          </w:p>
        </w:tc>
        <w:tc>
          <w:tcPr>
            <w:tcW w:type="dxa" w:w="298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3 min par trinôme, puis les trois chiffres de la séance</w:t>
            </w:r>
          </w:p>
        </w:tc>
        <w:tc>
          <w:tcPr>
            <w:tcW w:type="dxa" w:w="2602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Présentent, comparent leurs écarts</w:t>
            </w:r>
          </w:p>
        </w:tc>
      </w:tr>
      <w:tr>
        <w:trPr>
          <w:cantSplit/>
          <w:trHeight w:val="380" w:hRule="atLeast"/>
        </w:trPr>
        <w:tc>
          <w:tcPr>
            <w:tcW w:type="dxa" w:w="125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4:05</w:t>
            </w:r>
          </w:p>
        </w:tc>
        <w:tc>
          <w:tcPr>
            <w:tcW w:type="dxa" w:w="11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10 min</w:t>
            </w:r>
          </w:p>
        </w:tc>
        <w:tc>
          <w:tcPr>
            <w:tcW w:type="dxa" w:w="163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Rangement</w:t>
            </w:r>
          </w:p>
        </w:tc>
        <w:tc>
          <w:tcPr>
            <w:tcW w:type="dxa" w:w="298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Contrôle vannes fermées, stations vidées, bouchons remis</w:t>
            </w:r>
          </w:p>
        </w:tc>
        <w:tc>
          <w:tcPr>
            <w:tcW w:type="dxa" w:w="2602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Rangent, rendent le dossier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none" w:color="FFFFFF" w:sz="0"/>
          <w:left w:val="single" w:color="1B3A63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9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line="360"/>
              <w:jc w:val="left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Le rangement n'est pas du temps mort : la station </w:t>
            </w: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doit être vidée de son fluide résiduel</w:t>
            </w: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 après usage, et les bouchons de vanne doivent être remis neufs. C'est un critère de la grille (C6).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none" w:color="FFFFFF" w:sz="6"/>
          <w:left w:val="none" w:color="FFFFFF" w:sz="6"/>
          <w:bottom w:val="none" w:color="FFFFFF" w:sz="6"/>
          <w:right w:val="none" w:color="FFFFFF" w:sz="6"/>
          <w:insideH w:val="none" w:color="FFFFFF" w:sz="6"/>
          <w:insideV w:val="none" w:color="FFFFFF" w:sz="6"/>
        </w:tblBorders>
      </w:tblPr>
      <w:tblGrid>
        <w:gridCol w:w="9638"/>
      </w:tblGrid>
      <w:tr>
        <w:tc>
          <w:tcPr>
            <w:tcW w:type="dxa" w:w="9638"/>
            <w:shd w:fill="1B3A63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0"/>
                <w:szCs w:val="30"/>
              </w:rPr>
              <w:t xml:space="preserve">4 · Rotation — tableau à afficher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single" w:color="B9C2CC" w:sz="6"/>
          <w:left w:val="single" w:color="B9C2CC" w:sz="6"/>
          <w:bottom w:val="single" w:color="B9C2CC" w:sz="6"/>
          <w:right w:val="single" w:color="B9C2CC" w:sz="6"/>
          <w:insideH w:val="single" w:color="B9C2CC" w:sz="6"/>
          <w:insideV w:val="single" w:color="B9C2CC" w:sz="6"/>
        </w:tblBorders>
      </w:tblPr>
      <w:tblGrid>
        <w:gridCol w:w="2410"/>
        <w:gridCol w:w="2410"/>
        <w:gridCol w:w="2410"/>
        <w:gridCol w:w="2408"/>
      </w:tblGrid>
      <w:tr>
        <w:trPr>
          <w:cantSplit/>
          <w:tblHeader/>
        </w:trPr>
        <w:tc>
          <w:tcPr>
            <w:tcW w:type="dxa" w:w="2410"/>
            <w:shd w:fill="EEF4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/>
            </w:r>
          </w:p>
        </w:tc>
        <w:tc>
          <w:tcPr>
            <w:tcW w:type="dxa" w:w="2410"/>
            <w:shd w:fill="EEF4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Rotation 1</w:t>
            </w:r>
          </w:p>
        </w:tc>
        <w:tc>
          <w:tcPr>
            <w:tcW w:type="dxa" w:w="2410"/>
            <w:shd w:fill="EEF4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Rotation 2</w:t>
            </w:r>
          </w:p>
        </w:tc>
        <w:tc>
          <w:tcPr>
            <w:tcW w:type="dxa" w:w="2408"/>
            <w:shd w:fill="EEF4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Rotation 3</w:t>
            </w:r>
          </w:p>
        </w:tc>
      </w:tr>
      <w:tr>
        <w:trPr>
          <w:cantSplit/>
          <w:trHeight w:val="400" w:hRule="atLeast"/>
        </w:trPr>
        <w:tc>
          <w:tcPr>
            <w:tcW w:type="dxa" w:w="241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Trinôme 1</w:t>
            </w:r>
          </w:p>
        </w:tc>
        <w:tc>
          <w:tcPr>
            <w:tcW w:type="dxa" w:w="241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Poste A</w:t>
            </w:r>
          </w:p>
        </w:tc>
        <w:tc>
          <w:tcPr>
            <w:tcW w:type="dxa" w:w="241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Poste B</w:t>
            </w:r>
          </w:p>
        </w:tc>
        <w:tc>
          <w:tcPr>
            <w:tcW w:type="dxa" w:w="240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Poste C</w:t>
            </w:r>
          </w:p>
        </w:tc>
      </w:tr>
      <w:tr>
        <w:trPr>
          <w:cantSplit/>
          <w:trHeight w:val="400" w:hRule="atLeast"/>
        </w:trPr>
        <w:tc>
          <w:tcPr>
            <w:tcW w:type="dxa" w:w="241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Trinôme 2</w:t>
            </w:r>
          </w:p>
        </w:tc>
        <w:tc>
          <w:tcPr>
            <w:tcW w:type="dxa" w:w="241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Poste B</w:t>
            </w:r>
          </w:p>
        </w:tc>
        <w:tc>
          <w:tcPr>
            <w:tcW w:type="dxa" w:w="241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Poste C</w:t>
            </w:r>
          </w:p>
        </w:tc>
        <w:tc>
          <w:tcPr>
            <w:tcW w:type="dxa" w:w="240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Poste A</w:t>
            </w:r>
          </w:p>
        </w:tc>
      </w:tr>
      <w:tr>
        <w:trPr>
          <w:cantSplit/>
          <w:trHeight w:val="400" w:hRule="atLeast"/>
        </w:trPr>
        <w:tc>
          <w:tcPr>
            <w:tcW w:type="dxa" w:w="241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Trinôme 3</w:t>
            </w:r>
          </w:p>
        </w:tc>
        <w:tc>
          <w:tcPr>
            <w:tcW w:type="dxa" w:w="241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Poste C</w:t>
            </w:r>
          </w:p>
        </w:tc>
        <w:tc>
          <w:tcPr>
            <w:tcW w:type="dxa" w:w="241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Poste A</w:t>
            </w:r>
          </w:p>
        </w:tc>
        <w:tc>
          <w:tcPr>
            <w:tcW w:type="dxa" w:w="2408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Poste B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80" w:line="360"/>
        <w:jc w:val="left"/>
      </w:pPr>
      <w:r>
        <w:rPr>
          <w:rFonts w:ascii="Calibri" w:cs="Calibri" w:eastAsia="Calibri" w:hAnsi="Calibri"/>
          <w:color w:val="1B3A63"/>
          <w:sz w:val="28"/>
          <w:szCs w:val="28"/>
        </w:rPr>
        <w:t xml:space="preserve">Rôles à changer à chaque rotation : </w:t>
      </w:r>
      <w:r>
        <w:rPr>
          <w:rFonts w:ascii="Calibri" w:cs="Calibri" w:eastAsia="Calibri" w:hAnsi="Calibri"/>
          <w:b/>
          <w:bCs/>
          <w:color w:val="1B3A63"/>
          <w:sz w:val="28"/>
          <w:szCs w:val="28"/>
        </w:rPr>
        <w:t xml:space="preserve">opérateur</w:t>
      </w:r>
      <w:r>
        <w:rPr>
          <w:rFonts w:ascii="Calibri" w:cs="Calibri" w:eastAsia="Calibri" w:hAnsi="Calibri"/>
          <w:color w:val="1B3A63"/>
          <w:sz w:val="28"/>
          <w:szCs w:val="28"/>
        </w:rPr>
        <w:t xml:space="preserve"> (manipule) · </w:t>
      </w:r>
      <w:r>
        <w:rPr>
          <w:rFonts w:ascii="Calibri" w:cs="Calibri" w:eastAsia="Calibri" w:hAnsi="Calibri"/>
          <w:b/>
          <w:bCs/>
          <w:color w:val="1B3A63"/>
          <w:sz w:val="28"/>
          <w:szCs w:val="28"/>
        </w:rPr>
        <w:t xml:space="preserve">sécurité / notice</w:t>
      </w:r>
      <w:r>
        <w:rPr>
          <w:rFonts w:ascii="Calibri" w:cs="Calibri" w:eastAsia="Calibri" w:hAnsi="Calibri"/>
          <w:color w:val="1B3A63"/>
          <w:sz w:val="28"/>
          <w:szCs w:val="28"/>
        </w:rPr>
        <w:t xml:space="preserve"> (lit, surveille, arrête) · </w:t>
      </w:r>
      <w:r>
        <w:rPr>
          <w:rFonts w:ascii="Calibri" w:cs="Calibri" w:eastAsia="Calibri" w:hAnsi="Calibri"/>
          <w:b/>
          <w:bCs/>
          <w:color w:val="1B3A63"/>
          <w:sz w:val="28"/>
          <w:szCs w:val="28"/>
        </w:rPr>
        <w:t xml:space="preserve">scribe</w:t>
      </w:r>
      <w:r>
        <w:rPr>
          <w:rFonts w:ascii="Calibri" w:cs="Calibri" w:eastAsia="Calibri" w:hAnsi="Calibri"/>
          <w:color w:val="1B3A63"/>
          <w:sz w:val="28"/>
          <w:szCs w:val="28"/>
        </w:rPr>
        <w:t xml:space="preserve"> (remplit la feuille de relevés, ne touche à rien). Le rôle « sécurité / notice » est le seul autorisé à dire STOP. Le lui dire explicitement : c'est un pouvoir, pas une punition.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638"/>
        <w:tblBorders>
          <w:top w:val="none" w:color="FFFFFF" w:sz="6"/>
          <w:left w:val="none" w:color="FFFFFF" w:sz="6"/>
          <w:bottom w:val="none" w:color="FFFFFF" w:sz="6"/>
          <w:right w:val="none" w:color="FFFFFF" w:sz="6"/>
          <w:insideH w:val="none" w:color="FFFFFF" w:sz="6"/>
          <w:insideV w:val="none" w:color="FFFFFF" w:sz="6"/>
        </w:tblBorders>
      </w:tblPr>
      <w:tblGrid>
        <w:gridCol w:w="9638"/>
      </w:tblGrid>
      <w:tr>
        <w:tc>
          <w:tcPr>
            <w:tcW w:type="dxa" w:w="9638"/>
            <w:shd w:fill="1B3A63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0"/>
                <w:szCs w:val="30"/>
              </w:rPr>
              <w:t xml:space="preserve">5 · Incidents prévisibles et conduite à tenir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single" w:color="B9C2CC" w:sz="6"/>
          <w:left w:val="single" w:color="B9C2CC" w:sz="6"/>
          <w:bottom w:val="single" w:color="B9C2CC" w:sz="6"/>
          <w:right w:val="single" w:color="B9C2CC" w:sz="6"/>
          <w:insideH w:val="single" w:color="B9C2CC" w:sz="6"/>
          <w:insideV w:val="single" w:color="B9C2CC" w:sz="6"/>
        </w:tblBorders>
      </w:tblPr>
      <w:tblGrid>
        <w:gridCol w:w="2313"/>
        <w:gridCol w:w="2506"/>
        <w:gridCol w:w="4819"/>
      </w:tblGrid>
      <w:tr>
        <w:trPr>
          <w:cantSplit/>
          <w:tblHeader/>
        </w:trPr>
        <w:tc>
          <w:tcPr>
            <w:tcW w:type="dxa" w:w="2313"/>
            <w:shd w:fill="EEF4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Ce qui va arriver</w:t>
            </w:r>
          </w:p>
        </w:tc>
        <w:tc>
          <w:tcPr>
            <w:tcW w:type="dxa" w:w="2506"/>
            <w:shd w:fill="EEF4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Pourquoi</w:t>
            </w:r>
          </w:p>
        </w:tc>
        <w:tc>
          <w:tcPr>
            <w:tcW w:type="dxa" w:w="4819"/>
            <w:shd w:fill="EEF4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Ce que vous faites</w:t>
            </w:r>
          </w:p>
        </w:tc>
      </w:tr>
      <w:tr>
        <w:trPr>
          <w:cantSplit/>
          <w:trHeight w:val="380" w:hRule="atLeast"/>
        </w:trPr>
        <w:tc>
          <w:tcPr>
            <w:tcW w:type="dxa" w:w="231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Coupure du pressostat HP</w:t>
            </w:r>
          </w:p>
        </w:tc>
        <w:tc>
          <w:tcPr>
            <w:tcW w:type="dxa" w:w="250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Vanne rouge restée fermée, bouteille trop pleine, ou inverseur basculé machine en marche</w:t>
            </w:r>
          </w:p>
        </w:tc>
        <w:tc>
          <w:tcPr>
            <w:tcW w:type="dxa" w:w="481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On n'apprend pas à réarmer, on apprend à chercher. Arrêt, vannes fermées, débranchement, recherche de cause à trois. Le réarmement se fait devant tout le monde, en dernier.</w:t>
            </w:r>
          </w:p>
        </w:tc>
      </w:tr>
      <w:tr>
        <w:trPr>
          <w:cantSplit/>
          <w:trHeight w:val="380" w:hRule="atLeast"/>
        </w:trPr>
        <w:tc>
          <w:tcPr>
            <w:tcW w:type="dxa" w:w="231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Compresseur qui « claque »</w:t>
            </w:r>
          </w:p>
        </w:tc>
        <w:tc>
          <w:tcPr>
            <w:tcW w:type="dxa" w:w="250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Vanne bleue ouverte à fond en phase liquide</w:t>
            </w:r>
          </w:p>
        </w:tc>
        <w:tc>
          <w:tcPr>
            <w:tcW w:type="dxa" w:w="481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Faire refermer lentement par l'élève lui-même. C'est l'expérience centrale du poste A — ne pas la court-circuiter.</w:t>
            </w:r>
          </w:p>
        </w:tc>
      </w:tr>
      <w:tr>
        <w:trPr>
          <w:cantSplit/>
          <w:trHeight w:val="380" w:hRule="atLeast"/>
        </w:trPr>
        <w:tc>
          <w:tcPr>
            <w:tcW w:type="dxa" w:w="231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Récupération interminable</w:t>
            </w:r>
          </w:p>
        </w:tc>
        <w:tc>
          <w:tcPr>
            <w:tcW w:type="dxa" w:w="250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Obus Schrader oubliés, flexible 1/4" long</w:t>
            </w:r>
          </w:p>
        </w:tc>
        <w:tc>
          <w:tcPr>
            <w:tcW w:type="dxa" w:w="481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Ne pas corriger tout de suite. Laisser constater 5 min, puis renvoyer à Q3.</w:t>
            </w:r>
          </w:p>
        </w:tc>
      </w:tr>
      <w:tr>
        <w:trPr>
          <w:cantSplit/>
          <w:trHeight w:val="380" w:hRule="atLeast"/>
        </w:trPr>
        <w:tc>
          <w:tcPr>
            <w:tcW w:type="dxa" w:w="231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Élève qui dévisse un flexible « vide » sans lunettes</w:t>
            </w:r>
          </w:p>
        </w:tc>
        <w:tc>
          <w:tcPr>
            <w:tcW w:type="dxa" w:w="250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Toujours</w:t>
            </w:r>
          </w:p>
        </w:tc>
        <w:tc>
          <w:tcPr>
            <w:tcW w:type="dxa" w:w="481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Arrêt du poste. Rappel du point sécurité n° 1. Reprise.</w:t>
            </w:r>
          </w:p>
        </w:tc>
      </w:tr>
      <w:tr>
        <w:trPr>
          <w:cantSplit/>
          <w:trHeight w:val="380" w:hRule="atLeast"/>
        </w:trPr>
        <w:tc>
          <w:tcPr>
            <w:tcW w:type="dxa" w:w="231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Saisie du mouvement refusée par l'application</w:t>
            </w:r>
          </w:p>
        </w:tc>
        <w:tc>
          <w:tcPr>
            <w:tcW w:type="dxa" w:w="250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Balance ou détecteur hors validité d'étalonnage</w:t>
            </w:r>
          </w:p>
        </w:tc>
        <w:tc>
          <w:tcPr>
            <w:tcW w:type="dxa" w:w="481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Excellent incident. Montrer l'alerte, expliquer qu'en officiel elle bloque l'opération. À exploiter en synthèse.</w:t>
            </w:r>
          </w:p>
        </w:tc>
      </w:tr>
      <w:tr>
        <w:trPr>
          <w:cantSplit/>
          <w:trHeight w:val="380" w:hRule="atLeast"/>
        </w:trPr>
        <w:tc>
          <w:tcPr>
            <w:tcW w:type="dxa" w:w="2313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Écart quantité / charge de plaque « bizarre »</w:t>
            </w:r>
          </w:p>
        </w:tc>
        <w:tc>
          <w:tcPr>
            <w:tcW w:type="dxa" w:w="2506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Appoints antérieurs non tracés</w:t>
            </w:r>
          </w:p>
        </w:tc>
        <w:tc>
          <w:tcPr>
            <w:tcW w:type="dxa" w:w="481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0"/>
                <w:szCs w:val="20"/>
              </w:rPr>
              <w:t xml:space="preserve">C'est le vrai sujet du TP. Ne pas lisser : faire chercher.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none" w:color="FFFFFF" w:sz="6"/>
          <w:left w:val="none" w:color="FFFFFF" w:sz="6"/>
          <w:bottom w:val="none" w:color="FFFFFF" w:sz="6"/>
          <w:right w:val="none" w:color="FFFFFF" w:sz="6"/>
          <w:insideH w:val="none" w:color="FFFFFF" w:sz="6"/>
          <w:insideV w:val="none" w:color="FFFFFF" w:sz="6"/>
        </w:tblBorders>
      </w:tblPr>
      <w:tblGrid>
        <w:gridCol w:w="9638"/>
      </w:tblGrid>
      <w:tr>
        <w:tc>
          <w:tcPr>
            <w:tcW w:type="dxa" w:w="9638"/>
            <w:shd w:fill="1B3A63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0"/>
                <w:szCs w:val="30"/>
              </w:rPr>
              <w:t xml:space="preserve">6 · Plan B — si une seule station fonctionne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Cela arrive. Le TP reste jouable :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•   Poste A devient une démonstration commentée de 25 min, enseignant aux commandes, élèves scribes. Chaque élève remplit quand même la feuille de relevés.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•   Poste B est réduit à la seule étude des incondensables, qui ne demande qu'une bouteille au repos et un manomètre.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•   Poste C est maintenu intégralement — c'est celui qui porte C11 et C12, et il ne dépend pas de la station.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•   La séance passe de 4 h à 3 h.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none" w:color="FFFFFF" w:sz="0"/>
          <w:left w:val="single" w:color="FF6B35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FF1EB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0" w:line="360"/>
              <w:jc w:val="left"/>
            </w:pP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Ce qu'on ne sacrifie jamais : </w:t>
            </w: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la phase d'observation</w:t>
            </w: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color w:val="1B3A63"/>
                <w:sz w:val="28"/>
                <w:szCs w:val="28"/>
              </w:rPr>
              <w:t xml:space="preserve">le poste C</w:t>
            </w:r>
            <w:r>
              <w:rPr>
                <w:rFonts w:ascii="Calibri" w:cs="Calibri" w:eastAsia="Calibri" w:hAnsi="Calibri"/>
                <w:color w:val="1B3A63"/>
                <w:sz w:val="28"/>
                <w:szCs w:val="28"/>
              </w:rPr>
              <w:t xml:space="preserve">.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none" w:color="FFFFFF" w:sz="6"/>
          <w:left w:val="none" w:color="FFFFFF" w:sz="6"/>
          <w:bottom w:val="none" w:color="FFFFFF" w:sz="6"/>
          <w:right w:val="none" w:color="FFFFFF" w:sz="6"/>
          <w:insideH w:val="none" w:color="FFFFFF" w:sz="6"/>
          <w:insideV w:val="none" w:color="FFFFFF" w:sz="6"/>
        </w:tblBorders>
      </w:tblPr>
      <w:tblGrid>
        <w:gridCol w:w="9638"/>
      </w:tblGrid>
      <w:tr>
        <w:tc>
          <w:tcPr>
            <w:tcW w:type="dxa" w:w="9638"/>
            <w:shd w:fill="1B3A63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0"/>
                <w:szCs w:val="30"/>
              </w:rPr>
              <w:t xml:space="preserve">7 · Adaptation CAP IFCA 2e année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•   Séance ramenée à 3 h, deux postes au lieu de trois : A puis C.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•   Poste B en démonstration, sans l'étude des incondensables.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•   Q6, Q8 et l'extension « aller plus loin » retirées du sujet.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•   Q9 et Q10 fournies avec les opérations déjà posées, valeurs à compléter.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•   Recentrer le discours sur la catégorie II (charge &lt; 2 kg) : les groupes de l'atelier y sont, le dire explicitement rassure et cadre.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•   Grille d'évaluation : conserver les 4 premières lignes et les 3 dernières, retirer celles qui portent sur la vidange de station.</w:t>
      </w:r>
    </w:p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none" w:color="FFFFFF" w:sz="6"/>
          <w:left w:val="none" w:color="FFFFFF" w:sz="6"/>
          <w:bottom w:val="none" w:color="FFFFFF" w:sz="6"/>
          <w:right w:val="none" w:color="FFFFFF" w:sz="6"/>
          <w:insideH w:val="none" w:color="FFFFFF" w:sz="6"/>
          <w:insideV w:val="none" w:color="FFFFFF" w:sz="6"/>
        </w:tblBorders>
      </w:tblPr>
      <w:tblGrid>
        <w:gridCol w:w="9638"/>
      </w:tblGrid>
      <w:tr>
        <w:tc>
          <w:tcPr>
            <w:tcW w:type="dxa" w:w="9638"/>
            <w:shd w:fill="1B3A63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0"/>
                <w:szCs w:val="30"/>
              </w:rPr>
              <w:t xml:space="preserve">8 · Après la séance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•   Corriger les dossiers avec la grille de positionnement.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•   Remonter les positionnements par compétence (C4, C6, C9, C11, C12).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•   Vérifier dans inerWeb Fluide que les mouvements élèves sont bien en brouillon ou soumis, et les valider ou les rejeter nominativement : c'est la démonstration concrète du rôle de validateur.</w:t>
      </w:r>
    </w:p>
    <w:p>
      <w:pPr>
        <w:spacing w:after="60" w:line="360"/>
        <w:ind w:left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3A63"/>
          <w:sz w:val="24"/>
          <w:szCs w:val="24"/>
        </w:rPr>
        <w:t xml:space="preserve">•   Laisser le fluide récupéré en bouteille et noter la date limite de garde. Une séance suivante peut s'appuyer dessus : décision réutilisable / à analyser / déchet, puis BSFF.</w:t>
      </w:r>
    </w:p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none" w:color="FFFFFF" w:sz="6"/>
          <w:left w:val="none" w:color="FFFFFF" w:sz="6"/>
          <w:bottom w:val="none" w:color="FFFFFF" w:sz="6"/>
          <w:right w:val="none" w:color="FFFFFF" w:sz="6"/>
          <w:insideH w:val="none" w:color="FFFFFF" w:sz="6"/>
          <w:insideV w:val="none" w:color="FFFFFF" w:sz="6"/>
        </w:tblBorders>
      </w:tblPr>
      <w:tblGrid>
        <w:gridCol w:w="9638"/>
      </w:tblGrid>
      <w:tr>
        <w:tc>
          <w:tcPr>
            <w:tcW w:type="dxa" w:w="9638"/>
            <w:shd w:fill="1B3A63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30"/>
                <w:szCs w:val="30"/>
              </w:rPr>
              <w:t xml:space="preserve">9 · Prolongements possibles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638"/>
        <w:tblBorders>
          <w:top w:val="single" w:color="B9C2CC" w:sz="6"/>
          <w:left w:val="single" w:color="B9C2CC" w:sz="6"/>
          <w:bottom w:val="single" w:color="B9C2CC" w:sz="6"/>
          <w:right w:val="single" w:color="B9C2CC" w:sz="6"/>
          <w:insideH w:val="single" w:color="B9C2CC" w:sz="6"/>
          <w:insideV w:val="single" w:color="B9C2CC" w:sz="6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shd w:fill="EEF4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Séance suivante</w:t>
            </w:r>
          </w:p>
        </w:tc>
        <w:tc>
          <w:tcPr>
            <w:tcW w:type="dxa" w:w="6554"/>
            <w:shd w:fill="EEF4F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Trebuchet MS" w:cs="Trebuchet MS" w:eastAsia="Trebuchet MS" w:hAnsi="Trebuchet MS"/>
                <w:b/>
                <w:bCs/>
                <w:color w:val="1B3A63"/>
                <w:sz w:val="22"/>
                <w:szCs w:val="22"/>
              </w:rPr>
              <w:t xml:space="preserve">Objet</w:t>
            </w:r>
          </w:p>
        </w:tc>
      </w:tr>
      <w:tr>
        <w:trPr>
          <w:cantSplit/>
          <w:trHeight w:val="400" w:hRule="atLeast"/>
        </w:trPr>
        <w:tc>
          <w:tcPr>
            <w:tcW w:type="dxa" w:w="308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Tirage au vide et recharge</w:t>
            </w:r>
          </w:p>
        </w:tc>
        <w:tc>
          <w:tcPr>
            <w:tcW w:type="dxa" w:w="655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Procédures ERM n° 4, 5, 6 — refermer le cycle sur le même groupe</w:t>
            </w:r>
          </w:p>
        </w:tc>
      </w:tr>
      <w:tr>
        <w:trPr>
          <w:cantSplit/>
          <w:trHeight w:val="400" w:hRule="atLeast"/>
        </w:trPr>
        <w:tc>
          <w:tcPr>
            <w:tcW w:type="dxa" w:w="308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Devenir du fluide récupéré</w:t>
            </w:r>
          </w:p>
        </w:tc>
        <w:tc>
          <w:tcPr>
            <w:tcW w:type="dxa" w:w="655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Décision, délai de garde, BSFF, retour fournisseur</w:t>
            </w:r>
          </w:p>
        </w:tc>
      </w:tr>
      <w:tr>
        <w:trPr>
          <w:cantSplit/>
          <w:trHeight w:val="400" w:hRule="atLeast"/>
        </w:trPr>
        <w:tc>
          <w:tcPr>
            <w:tcW w:type="dxa" w:w="308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Balance matière annuelle</w:t>
            </w:r>
          </w:p>
        </w:tc>
        <w:tc>
          <w:tcPr>
            <w:tcW w:type="dxa" w:w="655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Ouvrir l'écran bilan matière de l'application et faire chercher l'écart</w:t>
            </w:r>
          </w:p>
        </w:tc>
      </w:tr>
      <w:tr>
        <w:trPr>
          <w:cantSplit/>
          <w:trHeight w:val="400" w:hRule="atLeast"/>
        </w:trPr>
        <w:tc>
          <w:tcPr>
            <w:tcW w:type="dxa" w:w="308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Fluides A2L</w:t>
            </w:r>
          </w:p>
        </w:tc>
        <w:tc>
          <w:tcPr>
            <w:tcW w:type="dxa" w:w="655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Ce que change le R32 : machine, raccords, ventilation, détection</w:t>
            </w:r>
          </w:p>
        </w:tc>
      </w:tr>
      <w:tr>
        <w:trPr>
          <w:cantSplit/>
          <w:trHeight w:val="400" w:hRule="atLeast"/>
        </w:trPr>
        <w:tc>
          <w:tcPr>
            <w:tcW w:type="dxa" w:w="308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Contrôle d'étanchéité</w:t>
            </w:r>
          </w:p>
        </w:tc>
        <w:tc>
          <w:tcPr>
            <w:tcW w:type="dxa" w:w="6554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3A63"/>
                <w:sz w:val="24"/>
                <w:szCs w:val="24"/>
              </w:rPr>
              <w:t xml:space="preserve">Fréquences selon tCO₂eq, cadre 10 du CERFA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2CC" w:sz="6"/>
      </w:pBdr>
      <w:spacing w:before="60"/>
      <w:jc w:val="center"/>
    </w:pPr>
    <w:r>
      <w:rPr>
        <w:rFonts w:ascii="Calibri" w:cs="Calibri" w:eastAsia="Calibri" w:hAnsi="Calibri"/>
        <w:color w:val="5A6472"/>
        <w:sz w:val="18"/>
        <w:szCs w:val="18"/>
      </w:rPr>
      <w:t xml:space="preserve">LP Privé Jacques Raynaud — Campus ÉQUATIO   ·   page </w:t>
    </w:r>
    <w:r>
      <w:rPr>
        <w:rFonts w:ascii="Calibri" w:cs="Calibri" w:eastAsia="Calibri" w:hAnsi="Calibri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8"/>
        <w:szCs w:val="18"/>
      </w:rPr>
      <w:t xml:space="preserve"> / </w:t>
    </w:r>
    <w:r>
      <w:rPr>
        <w:rFonts w:ascii="Calibri" w:cs="Calibri" w:eastAsia="Calibri" w:hAnsi="Calibri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3" w:sz="18"/>
      </w:pBdr>
      <w:spacing w:after="60"/>
    </w:pPr>
    <w:r>
      <w:rPr>
        <w:rFonts w:ascii="Calibri" w:cs="Calibri" w:eastAsia="Calibri" w:hAnsi="Calibri"/>
        <w:color w:val="1B3A63"/>
        <w:sz w:val="26"/>
        <w:szCs w:val="26"/>
      </w:rPr>
      <w:t xml:space="preserve">❄ </w:t>
    </w:r>
    <w:r>
      <w:rPr>
        <w:rFonts w:ascii="Trebuchet MS" w:cs="Trebuchet MS" w:eastAsia="Trebuchet MS" w:hAnsi="Trebuchet MS"/>
        <w:b/>
        <w:bCs/>
        <w:color w:val="1B3A63"/>
        <w:sz w:val="26"/>
        <w:szCs w:val="26"/>
      </w:rPr>
      <w:t xml:space="preserve">inerWeb </w:t>
    </w:r>
    <w:r>
      <w:rPr>
        <w:rFonts w:ascii="Trebuchet MS" w:cs="Trebuchet MS" w:eastAsia="Trebuchet MS" w:hAnsi="Trebuchet MS"/>
        <w:b/>
        <w:bCs/>
        <w:color w:val="FFFFFF"/>
        <w:sz w:val="22"/>
        <w:szCs w:val="22"/>
        <w:shd w:fill="FF6B35" w:val="clear"/>
      </w:rPr>
      <w:t xml:space="preserve"> Édu </w:t>
    </w:r>
    <w:r>
      <w:rPr>
        <w:rFonts w:ascii="Calibri" w:cs="Calibri" w:eastAsia="Calibri" w:hAnsi="Calibri"/>
        <w:color w:val="5A6472"/>
        <w:sz w:val="20"/>
        <w:szCs w:val="20"/>
      </w:rPr>
      <w:t xml:space="preserve">   Fiche de séance — Récupération MINIMAX-E</w:t>
    </w:r>
    <w:r>
      <w:rPr>
        <w:rFonts w:ascii="Calibri" w:cs="Calibri" w:eastAsia="Calibri" w:hAnsi="Calibri"/>
        <w:color w:val="5A6472"/>
        <w:sz w:val="20"/>
        <w:szCs w:val="20"/>
      </w:rPr>
      <w:t xml:space="preserve">	par F. Henninot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séance — Récupération de fluide sur MINIMAX-E</dc:title>
  <dc:creator>inerWeb Édu — F. Henninot</dc:creator>
  <dc:description>Déroulé minute par minute, préparation, incidents prévisibles, plan B.</dc:description>
  <cp:lastModifiedBy>Un-named</cp:lastModifiedBy>
  <cp:revision>1</cp:revision>
  <dcterms:created xsi:type="dcterms:W3CDTF">2026-08-10T17:53:27.404Z</dcterms:created>
  <dcterms:modified xsi:type="dcterms:W3CDTF">2026-08-10T17:53:27.404Z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