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0" cy="29241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2924175"/>
                    </a:xfrm>
                    <a:prstGeom prst="rect">
                      <a:avLst/>
                    </a:prstGeom>
                  </pic:spPr>
                </pic:pic>
              </a:graphicData>
            </a:graphic>
          </wp:inline>
        </w:drawing>
      </w:r>
    </w:p>
    <w:p>
      <w:pPr>
        <w:spacing w:after="40" w:line="260"/>
      </w:pPr>
      <w:r>
        <w:rPr>
          <w:rFonts w:ascii="Calibri" w:cs="Calibri" w:eastAsia="Calibri" w:hAnsi="Calibri"/>
          <w:b/>
          <w:bCs/>
          <w:color w:val="56657A"/>
          <w:sz w:val="28"/>
          <w:szCs w:val="28"/>
        </w:rPr>
        <w:t xml:space="preserve">Clim'Études Sud · BTS · TP TECVC · Mon carnet du chargé d’affaires</w:t>
      </w:r>
    </w:p>
    <w:p>
      <w:pPr>
        <w:spacing w:after="100"/>
      </w:pPr>
      <w:r>
        <w:rPr>
          <w:rFonts w:ascii="Trebuchet MS" w:cs="Trebuchet MS" w:eastAsia="Trebuchet MS" w:hAnsi="Trebuchet MS"/>
          <w:b/>
          <w:bCs/>
          <w:color w:val="1B3A63"/>
          <w:sz w:val="60"/>
          <w:szCs w:val="60"/>
        </w:rPr>
        <w:t xml:space="preserve">P4 · Le bâtiment qui protège</w:t>
      </w:r>
    </w:p>
    <w:p>
      <w:pPr>
        <w:spacing w:after="80"/>
      </w:pPr>
      <w:r>
        <w:rPr>
          <w:rFonts w:ascii="Calibri" w:cs="Calibri" w:eastAsia="Calibri" w:hAnsi="Calibri"/>
          <w:b/>
          <w:bCs/>
          <w:color w:val="B8692E"/>
          <w:sz w:val="32"/>
          <w:szCs w:val="32"/>
        </w:rPr>
        <w:t xml:space="preserve">Semaines 23 à 28 · 10 missions · environ 4 h 10</w:t>
      </w:r>
    </w:p>
    <w:p>
      <w:pPr>
        <w:spacing w:after="120"/>
      </w:pPr>
      <w:r>
        <w:rPr>
          <w:rFonts w:ascii="Calibri" w:cs="Calibri" w:eastAsia="Calibri" w:hAnsi="Calibri"/>
          <w:color w:val="10233C"/>
          <w:sz w:val="32"/>
          <w:szCs w:val="32"/>
        </w:rPr>
        <w:t xml:space="preserve">Le lot CVC traverse les murs coupe-feu et participe au désenfumage : l'incendie s'étudie une fois le bâtiment compris.</w:t>
      </w:r>
    </w:p>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9"/>
        <w:gridCol w:w="2109"/>
        <w:gridCol w:w="2109"/>
        <w:gridCol w:w="2109"/>
        <w:gridCol w:w="2109"/>
      </w:tblGrid>
      <w:tr>
        <w:trPr>
          <w:cantSplit/>
        </w:trPr>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P1</w:t>
            </w:r>
          </w:p>
          <w:p>
            <w:pPr>
              <w:spacing w:after="40" w:line="260"/>
            </w:pPr>
            <w:r>
              <w:rPr>
                <w:rFonts w:ascii="Calibri" w:cs="Calibri" w:eastAsia="Calibri" w:hAnsi="Calibri"/>
                <w:color w:val="56657A"/>
                <w:sz w:val="28"/>
                <w:szCs w:val="28"/>
              </w:rPr>
              <w:t xml:space="preserve">Arriver en sécurité</w:t>
            </w:r>
          </w:p>
          <w:p>
            <w:pPr>
              <w:spacing w:after="40" w:line="260"/>
            </w:pPr>
            <w:r>
              <w:rPr>
                <w:rFonts w:ascii="Calibri" w:cs="Calibri" w:eastAsia="Calibri" w:hAnsi="Calibri"/>
                <w:color w:val="56657A"/>
                <w:sz w:val="28"/>
                <w:szCs w:val="28"/>
              </w:rPr>
              <w:t xml:space="preserve">sem. 1 à 6</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P2</w:t>
            </w:r>
          </w:p>
          <w:p>
            <w:pPr>
              <w:spacing w:after="40" w:line="260"/>
            </w:pPr>
            <w:r>
              <w:rPr>
                <w:rFonts w:ascii="Calibri" w:cs="Calibri" w:eastAsia="Calibri" w:hAnsi="Calibri"/>
                <w:color w:val="56657A"/>
                <w:sz w:val="28"/>
                <w:szCs w:val="28"/>
              </w:rPr>
              <w:t xml:space="preserve">Le fluide et la machine</w:t>
            </w:r>
          </w:p>
          <w:p>
            <w:pPr>
              <w:spacing w:after="40" w:line="260"/>
            </w:pPr>
            <w:r>
              <w:rPr>
                <w:rFonts w:ascii="Calibri" w:cs="Calibri" w:eastAsia="Calibri" w:hAnsi="Calibri"/>
                <w:color w:val="56657A"/>
                <w:sz w:val="28"/>
                <w:szCs w:val="28"/>
              </w:rPr>
              <w:t xml:space="preserve">sem. 7 à 14</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P3</w:t>
            </w:r>
          </w:p>
          <w:p>
            <w:pPr>
              <w:spacing w:after="40" w:line="260"/>
            </w:pPr>
            <w:r>
              <w:rPr>
                <w:rFonts w:ascii="Calibri" w:cs="Calibri" w:eastAsia="Calibri" w:hAnsi="Calibri"/>
                <w:color w:val="56657A"/>
                <w:sz w:val="28"/>
                <w:szCs w:val="28"/>
              </w:rPr>
              <w:t xml:space="preserve">Le bâtiment qui consomme</w:t>
            </w:r>
          </w:p>
          <w:p>
            <w:pPr>
              <w:spacing w:after="40" w:line="260"/>
            </w:pPr>
            <w:r>
              <w:rPr>
                <w:rFonts w:ascii="Calibri" w:cs="Calibri" w:eastAsia="Calibri" w:hAnsi="Calibri"/>
                <w:color w:val="56657A"/>
                <w:sz w:val="28"/>
                <w:szCs w:val="28"/>
              </w:rPr>
              <w:t xml:space="preserve">sem. 15 à 22</w:t>
            </w:r>
          </w:p>
        </w:tc>
        <w:tc>
          <w:tcPr>
            <w:tcW w:type="dxa" w:w="2109"/>
            <w:tcBorders>
              <w:top w:val="single" w:color="1B3A63" w:sz="8"/>
              <w:left w:val="single" w:color="1B3A63" w:sz="8"/>
              <w:bottom w:val="single" w:color="1B3A63" w:sz="8"/>
              <w:right w:val="single" w:color="1B3A63" w:sz="8"/>
            </w:tcBorders>
            <w:shd w:fill="1B3A63" w:val="clear"/>
            <w:tcMar>
              <w:top w:type="dxa" w:w="30"/>
              <w:left w:type="dxa" w:w="100"/>
              <w:bottom w:type="dxa" w:w="30"/>
              <w:right w:type="dxa" w:w="100"/>
            </w:tcMar>
            <w:vAlign w:val="top"/>
          </w:tcPr>
          <w:p>
            <w:pPr>
              <w:spacing w:after="40" w:line="260"/>
            </w:pPr>
            <w:r>
              <w:rPr>
                <w:rFonts w:ascii="Trebuchet MS" w:cs="Trebuchet MS" w:eastAsia="Trebuchet MS" w:hAnsi="Trebuchet MS"/>
                <w:b/>
                <w:bCs/>
                <w:color w:val="FFFFFF"/>
                <w:sz w:val="32"/>
                <w:szCs w:val="32"/>
              </w:rPr>
              <w:t xml:space="preserve">P4</w:t>
            </w:r>
          </w:p>
          <w:p>
            <w:pPr>
              <w:spacing w:after="40" w:line="260"/>
            </w:pPr>
            <w:r>
              <w:rPr>
                <w:rFonts w:ascii="Calibri" w:cs="Calibri" w:eastAsia="Calibri" w:hAnsi="Calibri"/>
                <w:color w:val="FFFFFF"/>
                <w:sz w:val="28"/>
                <w:szCs w:val="28"/>
              </w:rPr>
              <w:t xml:space="preserve">Le bâtiment qui protège</w:t>
            </w:r>
          </w:p>
          <w:p>
            <w:pPr>
              <w:spacing w:after="40" w:line="260"/>
            </w:pPr>
            <w:r>
              <w:rPr>
                <w:rFonts w:ascii="Calibri" w:cs="Calibri" w:eastAsia="Calibri" w:hAnsi="Calibri"/>
                <w:color w:val="FFFFFF"/>
                <w:sz w:val="28"/>
                <w:szCs w:val="28"/>
              </w:rPr>
              <w:t xml:space="preserve">sem. 23 à 28</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P5</w:t>
            </w:r>
          </w:p>
          <w:p>
            <w:pPr>
              <w:spacing w:after="40" w:line="260"/>
            </w:pPr>
            <w:r>
              <w:rPr>
                <w:rFonts w:ascii="Calibri" w:cs="Calibri" w:eastAsia="Calibri" w:hAnsi="Calibri"/>
                <w:color w:val="56657A"/>
                <w:sz w:val="28"/>
                <w:szCs w:val="28"/>
              </w:rPr>
              <w:t xml:space="preserve">L'affaire complète</w:t>
            </w:r>
          </w:p>
          <w:p>
            <w:pPr>
              <w:spacing w:after="40" w:line="260"/>
            </w:pPr>
            <w:r>
              <w:rPr>
                <w:rFonts w:ascii="Calibri" w:cs="Calibri" w:eastAsia="Calibri" w:hAnsi="Calibri"/>
                <w:color w:val="56657A"/>
                <w:sz w:val="28"/>
                <w:szCs w:val="28"/>
              </w:rPr>
              <w:t xml:space="preserve">sem. 29 à 36</w:t>
            </w:r>
          </w:p>
        </w:tc>
      </w:tr>
    </w:tbl>
    <w:p>
      <w:pPr>
        <w:spacing w:after="0" w:before="0" w:line="170"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E8914A" w:sz="8"/>
              <w:left w:val="single" w:color="E8914A" w:sz="8"/>
              <w:bottom w:val="single" w:color="E8914A" w:sz="8"/>
              <w:right w:val="single" w:color="E8914A" w:sz="8"/>
            </w:tcBorders>
            <w:shd w:fill="FDF3E8" w:val="clear"/>
            <w:tcMar>
              <w:top w:type="dxa" w:w="30"/>
              <w:left w:type="dxa" w:w="100"/>
              <w:bottom w:type="dxa" w:w="30"/>
              <w:right w:type="dxa" w:w="100"/>
            </w:tcMar>
            <w:vAlign w:val="center"/>
          </w:tcPr>
          <w:p>
            <w:pPr>
              <w:spacing w:after="40" w:line="260"/>
            </w:pPr>
            <w:r>
              <w:rPr>
                <w:rFonts w:ascii="Calibri" w:cs="Calibri" w:eastAsia="Calibri" w:hAnsi="Calibri"/>
                <w:b/>
                <w:bCs/>
                <w:color w:val="10233C"/>
                <w:sz w:val="28"/>
                <w:szCs w:val="28"/>
              </w:rPr>
              <w:t xml:space="preserve">Une mission = une feuille recto-verso. </w:t>
            </w:r>
            <w:r>
              <w:rPr>
                <w:rFonts w:ascii="Calibri" w:cs="Calibri" w:eastAsia="Calibri" w:hAnsi="Calibri"/>
                <w:color w:val="10233C"/>
                <w:sz w:val="28"/>
                <w:szCs w:val="28"/>
              </w:rPr>
              <w:t xml:space="preserve">Scannez le QR, faites la station, remplissez la feuille, faites signer le tampon par le professeur.</w:t>
            </w:r>
          </w:p>
        </w:tc>
      </w:tr>
    </w:tbl>
    <w:p>
      <w:pPr>
        <w:spacing w:after="0" w:before="0" w:line="227" w:lineRule="exact"/>
      </w:pPr>
    </w:p>
    <w:p>
      <w:pPr>
        <w:spacing w:after="160"/>
      </w:pPr>
      <w:r>
        <w:rPr>
          <w:rFonts w:ascii="Calibri" w:cs="Calibri" w:eastAsia="Calibri" w:hAnsi="Calibri"/>
          <w:b/>
          <w:bCs/>
          <w:color w:val="1B3A63"/>
          <w:sz w:val="32"/>
          <w:szCs w:val="32"/>
        </w:rPr>
        <w:t xml:space="preserve">Nom : ________________________________________</w:t>
      </w:r>
    </w:p>
    <w:p>
      <w:pPr>
        <w:spacing w:after="160"/>
      </w:pPr>
      <w:r>
        <w:rPr>
          <w:rFonts w:ascii="Calibri" w:cs="Calibri" w:eastAsia="Calibri" w:hAnsi="Calibri"/>
          <w:b/>
          <w:bCs/>
          <w:color w:val="1B3A63"/>
          <w:sz w:val="32"/>
          <w:szCs w:val="32"/>
        </w:rPr>
        <w:t xml:space="preserve">Prénom : ________________________________________</w:t>
      </w:r>
    </w:p>
    <w:p>
      <w:pPr>
        <w:spacing w:after="160"/>
      </w:pPr>
      <w:r>
        <w:rPr>
          <w:rFonts w:ascii="Calibri" w:cs="Calibri" w:eastAsia="Calibri" w:hAnsi="Calibri"/>
          <w:b/>
          <w:bCs/>
          <w:color w:val="1B3A63"/>
          <w:sz w:val="32"/>
          <w:szCs w:val="32"/>
        </w:rPr>
        <w:t xml:space="preserve">Classe : ________________________________________</w:t>
      </w:r>
    </w:p>
    <w:p>
      <w:pPr>
        <w:sectPr>
          <w:footerReference w:type="default" r:id="rId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2"/>
          <w:szCs w:val="52"/>
        </w:rPr>
        <w:t xml:space="preserve">Ma carte des tampons · P4</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Incendie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B91C1C" w:sz="10"/>
              <w:left w:val="single" w:color="B91C1C" w:sz="10"/>
              <w:bottom w:val="single" w:color="B91C1C" w:sz="10"/>
              <w:right w:val="single" w:color="B91C1C" w:sz="10"/>
            </w:tcBorders>
            <w:tcMar>
              <w:top w:type="dxa" w:w="30"/>
              <w:left w:type="dxa" w:w="100"/>
              <w:bottom w:type="dxa" w:w="30"/>
              <w:right w:type="dxa" w:w="100"/>
            </w:tcMar>
            <w:vAlign w:val="top"/>
          </w:tcPr>
          <w:p>
            <w:pPr>
              <w:spacing w:after="40" w:line="260"/>
            </w:pPr>
            <w:r>
              <w:rPr>
                <w:rFonts w:ascii="Calibri" w:cs="Calibri" w:eastAsia="Calibri" w:hAnsi="Calibri"/>
                <w:b/>
                <w:bCs/>
                <w:color w:val="B91C1C"/>
                <w:sz w:val="28"/>
                <w:szCs w:val="28"/>
              </w:rPr>
              <w:t xml:space="preserve">33 · </w:t>
            </w:r>
            <w:r>
              <w:rPr>
                <w:rFonts w:ascii="Calibri" w:cs="Calibri" w:eastAsia="Calibri" w:hAnsi="Calibri"/>
                <w:b/>
                <w:bCs/>
                <w:color w:val="10233C"/>
                <w:sz w:val="28"/>
                <w:szCs w:val="28"/>
              </w:rPr>
              <w:t xml:space="preserve">Classer le bâti</w:t>
            </w:r>
          </w:p>
          <w:p>
            <w:pPr>
              <w:spacing w:after="40" w:line="260"/>
            </w:pPr>
            <w:r>
              <w:rPr>
                <w:rFonts w:ascii="Calibri" w:cs="Calibri" w:eastAsia="Calibri" w:hAnsi="Calibri"/>
                <w:color w:val="56657A"/>
                <w:sz w:val="28"/>
                <w:szCs w:val="28"/>
              </w:rPr>
              <w:t xml:space="preserve">Tampon · date</w:t>
            </w:r>
          </w:p>
        </w:tc>
        <w:tc>
          <w:tcPr>
            <w:tcW w:type="dxa" w:w="3515"/>
            <w:tcBorders>
              <w:top w:val="single" w:color="B91C1C" w:sz="10"/>
              <w:left w:val="single" w:color="B91C1C" w:sz="10"/>
              <w:bottom w:val="single" w:color="B91C1C" w:sz="10"/>
              <w:right w:val="single" w:color="B91C1C" w:sz="10"/>
            </w:tcBorders>
            <w:tcMar>
              <w:top w:type="dxa" w:w="30"/>
              <w:left w:type="dxa" w:w="100"/>
              <w:bottom w:type="dxa" w:w="30"/>
              <w:right w:type="dxa" w:w="100"/>
            </w:tcMar>
            <w:vAlign w:val="top"/>
          </w:tcPr>
          <w:p>
            <w:pPr>
              <w:spacing w:after="40" w:line="260"/>
            </w:pPr>
            <w:r>
              <w:rPr>
                <w:rFonts w:ascii="Calibri" w:cs="Calibri" w:eastAsia="Calibri" w:hAnsi="Calibri"/>
                <w:b/>
                <w:bCs/>
                <w:color w:val="B91C1C"/>
                <w:sz w:val="28"/>
                <w:szCs w:val="28"/>
              </w:rPr>
              <w:t xml:space="preserve">34 · </w:t>
            </w:r>
            <w:r>
              <w:rPr>
                <w:rFonts w:ascii="Calibri" w:cs="Calibri" w:eastAsia="Calibri" w:hAnsi="Calibri"/>
                <w:b/>
                <w:bCs/>
                <w:color w:val="10233C"/>
                <w:sz w:val="28"/>
                <w:szCs w:val="28"/>
              </w:rPr>
              <w:t xml:space="preserve">Euroclasses</w:t>
            </w:r>
          </w:p>
          <w:p>
            <w:pPr>
              <w:spacing w:after="40" w:line="260"/>
            </w:pPr>
            <w:r>
              <w:rPr>
                <w:rFonts w:ascii="Calibri" w:cs="Calibri" w:eastAsia="Calibri" w:hAnsi="Calibri"/>
                <w:color w:val="56657A"/>
                <w:sz w:val="28"/>
                <w:szCs w:val="28"/>
              </w:rPr>
              <w:t xml:space="preserve">Tampon · date</w:t>
            </w:r>
          </w:p>
        </w:tc>
        <w:tc>
          <w:tcPr>
            <w:tcW w:type="dxa" w:w="3515"/>
            <w:tcBorders>
              <w:top w:val="single" w:color="B91C1C" w:sz="10"/>
              <w:left w:val="single" w:color="B91C1C" w:sz="10"/>
              <w:bottom w:val="single" w:color="B91C1C" w:sz="10"/>
              <w:right w:val="single" w:color="B91C1C" w:sz="10"/>
            </w:tcBorders>
            <w:tcMar>
              <w:top w:type="dxa" w:w="30"/>
              <w:left w:type="dxa" w:w="100"/>
              <w:bottom w:type="dxa" w:w="30"/>
              <w:right w:type="dxa" w:w="100"/>
            </w:tcMar>
            <w:vAlign w:val="top"/>
          </w:tcPr>
          <w:p>
            <w:pPr>
              <w:spacing w:after="40" w:line="260"/>
            </w:pPr>
            <w:r>
              <w:rPr>
                <w:rFonts w:ascii="Calibri" w:cs="Calibri" w:eastAsia="Calibri" w:hAnsi="Calibri"/>
                <w:b/>
                <w:bCs/>
                <w:color w:val="B91C1C"/>
                <w:sz w:val="28"/>
                <w:szCs w:val="28"/>
              </w:rPr>
              <w:t xml:space="preserve">35 · </w:t>
            </w:r>
            <w:r>
              <w:rPr>
                <w:rFonts w:ascii="Calibri" w:cs="Calibri" w:eastAsia="Calibri" w:hAnsi="Calibri"/>
                <w:b/>
                <w:bCs/>
                <w:color w:val="10233C"/>
                <w:sz w:val="28"/>
                <w:szCs w:val="28"/>
              </w:rPr>
              <w:t xml:space="preserve">Le désenfumage</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B91C1C" w:sz="10"/>
              <w:left w:val="single" w:color="B91C1C" w:sz="10"/>
              <w:bottom w:val="single" w:color="B91C1C" w:sz="10"/>
              <w:right w:val="single" w:color="B91C1C" w:sz="10"/>
            </w:tcBorders>
            <w:tcMar>
              <w:top w:type="dxa" w:w="30"/>
              <w:left w:type="dxa" w:w="100"/>
              <w:bottom w:type="dxa" w:w="30"/>
              <w:right w:type="dxa" w:w="100"/>
            </w:tcMar>
            <w:vAlign w:val="top"/>
          </w:tcPr>
          <w:p>
            <w:pPr>
              <w:spacing w:after="40" w:line="260"/>
            </w:pPr>
            <w:r>
              <w:rPr>
                <w:rFonts w:ascii="Calibri" w:cs="Calibri" w:eastAsia="Calibri" w:hAnsi="Calibri"/>
                <w:b/>
                <w:bCs/>
                <w:color w:val="B91C1C"/>
                <w:sz w:val="28"/>
                <w:szCs w:val="28"/>
              </w:rPr>
              <w:t xml:space="preserve">36 · </w:t>
            </w:r>
            <w:r>
              <w:rPr>
                <w:rFonts w:ascii="Calibri" w:cs="Calibri" w:eastAsia="Calibri" w:hAnsi="Calibri"/>
                <w:b/>
                <w:bCs/>
                <w:color w:val="10233C"/>
                <w:sz w:val="28"/>
                <w:szCs w:val="28"/>
              </w:rPr>
              <w:t xml:space="preserve">Clapets coupe-feu</w:t>
            </w:r>
          </w:p>
          <w:p>
            <w:pPr>
              <w:spacing w:after="40" w:line="260"/>
            </w:pPr>
            <w:r>
              <w:rPr>
                <w:rFonts w:ascii="Calibri" w:cs="Calibri" w:eastAsia="Calibri" w:hAnsi="Calibri"/>
                <w:color w:val="56657A"/>
                <w:sz w:val="28"/>
                <w:szCs w:val="28"/>
              </w:rPr>
              <w:t xml:space="preserve">Tampon · date</w:t>
            </w:r>
          </w:p>
        </w:tc>
        <w:tc>
          <w:tcPr>
            <w:tcW w:type="dxa" w:w="3515"/>
            <w:tcBorders>
              <w:top w:val="single" w:color="B91C1C" w:sz="10"/>
              <w:left w:val="single" w:color="B91C1C" w:sz="10"/>
              <w:bottom w:val="single" w:color="B91C1C" w:sz="10"/>
              <w:right w:val="single" w:color="B91C1C" w:sz="10"/>
            </w:tcBorders>
            <w:tcMar>
              <w:top w:type="dxa" w:w="30"/>
              <w:left w:type="dxa" w:w="100"/>
              <w:bottom w:type="dxa" w:w="30"/>
              <w:right w:type="dxa" w:w="100"/>
            </w:tcMar>
            <w:vAlign w:val="top"/>
          </w:tcPr>
          <w:p>
            <w:pPr>
              <w:spacing w:after="40" w:line="260"/>
            </w:pPr>
            <w:r>
              <w:rPr>
                <w:rFonts w:ascii="Calibri" w:cs="Calibri" w:eastAsia="Calibri" w:hAnsi="Calibri"/>
                <w:b/>
                <w:bCs/>
                <w:color w:val="B91C1C"/>
                <w:sz w:val="28"/>
                <w:szCs w:val="28"/>
              </w:rPr>
              <w:t xml:space="preserve">37 · </w:t>
            </w:r>
            <w:r>
              <w:rPr>
                <w:rFonts w:ascii="Calibri" w:cs="Calibri" w:eastAsia="Calibri" w:hAnsi="Calibri"/>
                <w:b/>
                <w:bCs/>
                <w:color w:val="10233C"/>
                <w:sz w:val="28"/>
                <w:szCs w:val="28"/>
              </w:rPr>
              <w:t xml:space="preserve">Le SSI</w:t>
            </w:r>
          </w:p>
          <w:p>
            <w:pPr>
              <w:spacing w:after="40" w:line="260"/>
            </w:pPr>
            <w:r>
              <w:rPr>
                <w:rFonts w:ascii="Calibri" w:cs="Calibri" w:eastAsia="Calibri" w:hAnsi="Calibri"/>
                <w:color w:val="56657A"/>
                <w:sz w:val="28"/>
                <w:szCs w:val="28"/>
              </w:rPr>
              <w:t xml:space="preserve">Tampon · date</w:t>
            </w:r>
          </w:p>
        </w:tc>
        <w:tc>
          <w:tcPr>
            <w:tcW w:type="dxa" w:w="3515"/>
            <w:tcBorders>
              <w:top w:val="single" w:color="B91C1C" w:sz="10"/>
              <w:left w:val="single" w:color="B91C1C" w:sz="10"/>
              <w:bottom w:val="single" w:color="B91C1C" w:sz="10"/>
              <w:right w:val="single" w:color="B91C1C" w:sz="10"/>
            </w:tcBorders>
            <w:tcMar>
              <w:top w:type="dxa" w:w="30"/>
              <w:left w:type="dxa" w:w="100"/>
              <w:bottom w:type="dxa" w:w="30"/>
              <w:right w:type="dxa" w:w="100"/>
            </w:tcMar>
            <w:vAlign w:val="top"/>
          </w:tcPr>
          <w:p>
            <w:pPr>
              <w:spacing w:after="40" w:line="260"/>
            </w:pPr>
            <w:r>
              <w:rPr>
                <w:rFonts w:ascii="Calibri" w:cs="Calibri" w:eastAsia="Calibri" w:hAnsi="Calibri"/>
                <w:b/>
                <w:bCs/>
                <w:color w:val="B91C1C"/>
                <w:sz w:val="28"/>
                <w:szCs w:val="28"/>
              </w:rPr>
              <w:t xml:space="preserve">38 · </w:t>
            </w:r>
            <w:r>
              <w:rPr>
                <w:rFonts w:ascii="Calibri" w:cs="Calibri" w:eastAsia="Calibri" w:hAnsi="Calibri"/>
                <w:b/>
                <w:bCs/>
                <w:color w:val="10233C"/>
                <w:sz w:val="28"/>
                <w:szCs w:val="28"/>
              </w:rPr>
              <w:t xml:space="preserve">Sprinkler &amp; RIA</w:t>
            </w:r>
          </w:p>
          <w:p>
            <w:pPr>
              <w:spacing w:after="40" w:line="260"/>
            </w:pPr>
            <w:r>
              <w:rPr>
                <w:rFonts w:ascii="Calibri" w:cs="Calibri" w:eastAsia="Calibri" w:hAnsi="Calibri"/>
                <w:color w:val="56657A"/>
                <w:sz w:val="28"/>
                <w:szCs w:val="28"/>
              </w:rPr>
              <w:t xml:space="preserve">Tampon · date</w:t>
            </w:r>
          </w:p>
        </w:tc>
      </w:tr>
    </w:tbl>
    <w:p>
      <w:pPr>
        <w:spacing w:after="0" w:before="0" w:line="170"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Certifications &amp; normes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3730A3" w:sz="10"/>
              <w:left w:val="single" w:color="3730A3" w:sz="10"/>
              <w:bottom w:val="single" w:color="3730A3" w:sz="10"/>
              <w:right w:val="single" w:color="3730A3" w:sz="10"/>
            </w:tcBorders>
            <w:tcMar>
              <w:top w:type="dxa" w:w="30"/>
              <w:left w:type="dxa" w:w="100"/>
              <w:bottom w:type="dxa" w:w="30"/>
              <w:right w:type="dxa" w:w="100"/>
            </w:tcMar>
            <w:vAlign w:val="top"/>
          </w:tcPr>
          <w:p>
            <w:pPr>
              <w:spacing w:after="40" w:line="260"/>
            </w:pPr>
            <w:r>
              <w:rPr>
                <w:rFonts w:ascii="Calibri" w:cs="Calibri" w:eastAsia="Calibri" w:hAnsi="Calibri"/>
                <w:b/>
                <w:bCs/>
                <w:color w:val="3730A3"/>
                <w:sz w:val="28"/>
                <w:szCs w:val="28"/>
              </w:rPr>
              <w:t xml:space="preserve">39 · </w:t>
            </w:r>
            <w:r>
              <w:rPr>
                <w:rFonts w:ascii="Calibri" w:cs="Calibri" w:eastAsia="Calibri" w:hAnsi="Calibri"/>
                <w:b/>
                <w:bCs/>
                <w:color w:val="10233C"/>
                <w:sz w:val="28"/>
                <w:szCs w:val="28"/>
              </w:rPr>
              <w:t xml:space="preserve">Loi, norme ou DTU ?</w:t>
            </w:r>
          </w:p>
          <w:p>
            <w:pPr>
              <w:spacing w:after="40" w:line="260"/>
            </w:pPr>
            <w:r>
              <w:rPr>
                <w:rFonts w:ascii="Calibri" w:cs="Calibri" w:eastAsia="Calibri" w:hAnsi="Calibri"/>
                <w:color w:val="56657A"/>
                <w:sz w:val="28"/>
                <w:szCs w:val="28"/>
              </w:rPr>
              <w:t xml:space="preserve">Tampon · date</w:t>
            </w:r>
          </w:p>
        </w:tc>
        <w:tc>
          <w:tcPr>
            <w:tcW w:type="dxa" w:w="3515"/>
            <w:tcBorders>
              <w:top w:val="single" w:color="3730A3" w:sz="10"/>
              <w:left w:val="single" w:color="3730A3" w:sz="10"/>
              <w:bottom w:val="single" w:color="3730A3" w:sz="10"/>
              <w:right w:val="single" w:color="3730A3" w:sz="10"/>
            </w:tcBorders>
            <w:tcMar>
              <w:top w:type="dxa" w:w="30"/>
              <w:left w:type="dxa" w:w="100"/>
              <w:bottom w:type="dxa" w:w="30"/>
              <w:right w:type="dxa" w:w="100"/>
            </w:tcMar>
            <w:vAlign w:val="top"/>
          </w:tcPr>
          <w:p>
            <w:pPr>
              <w:spacing w:after="40" w:line="260"/>
            </w:pPr>
            <w:r>
              <w:rPr>
                <w:rFonts w:ascii="Calibri" w:cs="Calibri" w:eastAsia="Calibri" w:hAnsi="Calibri"/>
                <w:b/>
                <w:bCs/>
                <w:color w:val="3730A3"/>
                <w:sz w:val="28"/>
                <w:szCs w:val="28"/>
              </w:rPr>
              <w:t xml:space="preserve">40 · </w:t>
            </w:r>
            <w:r>
              <w:rPr>
                <w:rFonts w:ascii="Calibri" w:cs="Calibri" w:eastAsia="Calibri" w:hAnsi="Calibri"/>
                <w:b/>
                <w:bCs/>
                <w:color w:val="10233C"/>
                <w:sz w:val="28"/>
                <w:szCs w:val="28"/>
              </w:rPr>
              <w:t xml:space="preserve">Le marquage CE</w:t>
            </w:r>
          </w:p>
          <w:p>
            <w:pPr>
              <w:spacing w:after="40" w:line="260"/>
            </w:pPr>
            <w:r>
              <w:rPr>
                <w:rFonts w:ascii="Calibri" w:cs="Calibri" w:eastAsia="Calibri" w:hAnsi="Calibri"/>
                <w:color w:val="56657A"/>
                <w:sz w:val="28"/>
                <w:szCs w:val="28"/>
              </w:rPr>
              <w:t xml:space="preserve">Tampon · date</w:t>
            </w:r>
          </w:p>
        </w:tc>
        <w:tc>
          <w:tcPr>
            <w:tcW w:type="dxa" w:w="3515"/>
            <w:tcBorders>
              <w:top w:val="single" w:color="3730A3" w:sz="10"/>
              <w:left w:val="single" w:color="3730A3" w:sz="10"/>
              <w:bottom w:val="single" w:color="3730A3" w:sz="10"/>
              <w:right w:val="single" w:color="3730A3" w:sz="10"/>
            </w:tcBorders>
            <w:tcMar>
              <w:top w:type="dxa" w:w="30"/>
              <w:left w:type="dxa" w:w="100"/>
              <w:bottom w:type="dxa" w:w="30"/>
              <w:right w:type="dxa" w:w="100"/>
            </w:tcMar>
            <w:vAlign w:val="top"/>
          </w:tcPr>
          <w:p>
            <w:pPr>
              <w:spacing w:after="40" w:line="260"/>
            </w:pPr>
            <w:r>
              <w:rPr>
                <w:rFonts w:ascii="Calibri" w:cs="Calibri" w:eastAsia="Calibri" w:hAnsi="Calibri"/>
                <w:b/>
                <w:bCs/>
                <w:color w:val="3730A3"/>
                <w:sz w:val="28"/>
                <w:szCs w:val="28"/>
              </w:rPr>
              <w:t xml:space="preserve">41 · </w:t>
            </w:r>
            <w:r>
              <w:rPr>
                <w:rFonts w:ascii="Calibri" w:cs="Calibri" w:eastAsia="Calibri" w:hAnsi="Calibri"/>
                <w:b/>
                <w:bCs/>
                <w:color w:val="10233C"/>
                <w:sz w:val="28"/>
                <w:szCs w:val="28"/>
              </w:rPr>
              <w:t xml:space="preserve">RGE &amp; QualiPAC</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3730A3" w:sz="10"/>
              <w:left w:val="single" w:color="3730A3" w:sz="10"/>
              <w:bottom w:val="single" w:color="3730A3" w:sz="10"/>
              <w:right w:val="single" w:color="3730A3" w:sz="10"/>
            </w:tcBorders>
            <w:tcMar>
              <w:top w:type="dxa" w:w="30"/>
              <w:left w:type="dxa" w:w="100"/>
              <w:bottom w:type="dxa" w:w="30"/>
              <w:right w:type="dxa" w:w="100"/>
            </w:tcMar>
            <w:vAlign w:val="top"/>
          </w:tcPr>
          <w:p>
            <w:pPr>
              <w:spacing w:after="40" w:line="260"/>
            </w:pPr>
            <w:r>
              <w:rPr>
                <w:rFonts w:ascii="Calibri" w:cs="Calibri" w:eastAsia="Calibri" w:hAnsi="Calibri"/>
                <w:b/>
                <w:bCs/>
                <w:color w:val="3730A3"/>
                <w:sz w:val="28"/>
                <w:szCs w:val="28"/>
              </w:rPr>
              <w:t xml:space="preserve">42 · </w:t>
            </w:r>
            <w:r>
              <w:rPr>
                <w:rFonts w:ascii="Calibri" w:cs="Calibri" w:eastAsia="Calibri" w:hAnsi="Calibri"/>
                <w:b/>
                <w:bCs/>
                <w:color w:val="10233C"/>
                <w:sz w:val="28"/>
                <w:szCs w:val="28"/>
              </w:rPr>
              <w:t xml:space="preserve">Les garanties</w:t>
            </w:r>
          </w:p>
          <w:p>
            <w:pPr>
              <w:spacing w:after="40" w:line="260"/>
            </w:pPr>
            <w:r>
              <w:rPr>
                <w:rFonts w:ascii="Calibri" w:cs="Calibri" w:eastAsia="Calibri" w:hAnsi="Calibri"/>
                <w:color w:val="56657A"/>
                <w:sz w:val="28"/>
                <w:szCs w:val="28"/>
              </w:rPr>
              <w:t xml:space="preserve">Tampon · date</w:t>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170" w:lineRule="exact"/>
      </w:pPr>
    </w:p>
    <w:p>
      <w:pPr>
        <w:sectPr>
          <w:footerReference w:type="default" r:id="rId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33/57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Quel régime pour chaque partie du bâtiment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Un promoteur qui transforme un ancien entrepôt en bâtiment mixte : agence bancaire au rez-de-chaussée, plateaux de bureaux, logements aux étages.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promoteur prépare son dossier de permis de construire et vous demande, avant de chiffrer le lot chauffage, ventilation et climatisation, « quelles règles incendie s'appliquent ». Le rez-de-chaussée accueillera des clients, les étages intermédiaires des salariés d'une seule société sans aucun public, et le dernier niveau des logements. Personne n'a encore mesuré à quelle hauteur se trouvera le plancher bas du dernier niveau. Votre responsable veut savoir ce qu'il faut demander au maître d'ouvrage avant d'aller plus loin.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chargé d'affaires : pour chacune des trois parties (agence, bureaux sans public, logements), le régime applicable et le texte à lire ; les deux informations à demander au promoteur (effectif et hauteur du plancher bas du dernier niveau) ; trois conséquences à anticiper pour le lot CVC.</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 plans d’implantation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Bon classement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33/57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Quel régime pour chaque partie du bâtiment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Une agence bancaire reçoit des clients dans ses locaux. Comment est-elle classée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Un ERP peut accueillir 650 personnes, public et personnel compris. Quelle est sa catégorie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Un immeuble de bureaux a son plancher bas du dernier niveau à 35 m au-dessus du sol le plus haut utilisable par les engins de secours. Est-ce un IGH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Un plateau de bureaux de 400 m², sans public, dans un bâtiment ordinaire : le désenfumage est-il obligatoire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Relier </w:t>
            </w:r>
          </w:p>
          <w:p>
            <w:pPr>
              <w:spacing w:after="40" w:line="260"/>
            </w:pPr>
            <w:r>
              <w:rPr>
                <w:rFonts w:ascii="Calibri" w:cs="Calibri" w:eastAsia="Calibri" w:hAnsi="Calibri"/>
                <w:color w:val="10233C"/>
                <w:sz w:val="28"/>
                <w:szCs w:val="28"/>
              </w:rPr>
              <w:t xml:space="preserve">Reliez chaque bâtiment au régime dont il relève, puis dites en une phrase ce qui décide.</w:t>
            </w:r>
          </w:p>
          <w:p>
            <w:pPr>
              <w:spacing w:after="20"/>
              <w:ind w:left="200"/>
            </w:pPr>
            <w:r>
              <w:rPr>
                <w:rFonts w:ascii="Calibri" w:cs="Calibri" w:eastAsia="Calibri" w:hAnsi="Calibri"/>
                <w:color w:val="10233C"/>
                <w:sz w:val="28"/>
                <w:szCs w:val="28"/>
              </w:rPr>
              <w:t xml:space="preserve">Une agence de banque ouverte à la clientèle</w:t>
            </w:r>
          </w:p>
          <w:p>
            <w:pPr>
              <w:spacing w:after="20"/>
              <w:ind w:left="200"/>
            </w:pPr>
            <w:r>
              <w:rPr>
                <w:rFonts w:ascii="Calibri" w:cs="Calibri" w:eastAsia="Calibri" w:hAnsi="Calibri"/>
                <w:color w:val="10233C"/>
                <w:sz w:val="28"/>
                <w:szCs w:val="28"/>
              </w:rPr>
              <w:t xml:space="preserve">Un plateau de bureaux où ne travaillent que des salariés</w:t>
            </w:r>
          </w:p>
          <w:p>
            <w:pPr>
              <w:spacing w:after="20"/>
              <w:ind w:left="200"/>
            </w:pPr>
            <w:r>
              <w:rPr>
                <w:rFonts w:ascii="Calibri" w:cs="Calibri" w:eastAsia="Calibri" w:hAnsi="Calibri"/>
                <w:color w:val="10233C"/>
                <w:sz w:val="28"/>
                <w:szCs w:val="28"/>
              </w:rPr>
              <w:t xml:space="preserve">Un immeuble de bureaux dont le plancher bas du dernier niveau est à plus de 28 m</w:t>
            </w:r>
          </w:p>
          <w:p>
            <w:pPr>
              <w:spacing w:after="20"/>
              <w:ind w:left="200"/>
            </w:pPr>
            <w:r>
              <w:rPr>
                <w:rFonts w:ascii="Calibri" w:cs="Calibri" w:eastAsia="Calibri" w:hAnsi="Calibri"/>
                <w:color w:val="10233C"/>
                <w:sz w:val="28"/>
                <w:szCs w:val="28"/>
              </w:rPr>
              <w:t xml:space="preserve">Un immeuble d'habitation dont le plancher bas du logement le plus haut est à plus de 50 m</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34/57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Cette gaine et ce calfeutrement répondent-ils à la bonne question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maître d'ouvrage d'un plateau de bureaux en rénovation, représenté par son conducteur de travaux.</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L'entreprise du lot ventilation propose, pour un réseau de gaines qui traverse une paroi coupe-feu, un isolant dont la fiche technique, ancienne, n'indique qu'une catégorie M, et un calfeutrement de traversée dont la seule pièce fournie est une classe de réaction au feu. Le conducteur de travaux ne sait pas si ces justificatifs répondent à la bonne question. Il vous demande aussi quel texte fixe les méthodes d'évaluation de la résistance au feu pour l'autorisation de travaux qui sera déposée après le 1er octobre 2026.</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conducteur de travaux : pour chaque pièce (isolant de gaine, fourreau, calfeutrement), la question posée (réaction ou résistance au feu), l'étiquette à demander, et le texte de référence.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 plans d’implantation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Deux questions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34/57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Cette gaine et ce calfeutrement répondent-ils à la bonne question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Une fiche de plaque annonce « A2-s1,d0 ». Que peut-on en conclure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Dans « C-s2,d1 », que désigne le d1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Un élément est classé « EI 30 ». Que garantit ce classement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Un fourreau traverse une paroi coupe-feu. Que demandez-vous pour justifier le calfeutrement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Relier </w:t>
            </w:r>
          </w:p>
          <w:p>
            <w:pPr>
              <w:spacing w:after="40" w:line="260"/>
            </w:pPr>
            <w:r>
              <w:rPr>
                <w:rFonts w:ascii="Calibri" w:cs="Calibri" w:eastAsia="Calibri" w:hAnsi="Calibri"/>
                <w:color w:val="10233C"/>
                <w:sz w:val="28"/>
                <w:szCs w:val="28"/>
              </w:rPr>
              <w:t xml:space="preserve">Reliez chaque étiquette à la question qu'elle traite (réaction ou résistance au feu), à ce qu'elle décrit (un produit ou un ouvrage) et à sa lecture, en une phrase.</w:t>
            </w:r>
          </w:p>
          <w:p>
            <w:pPr>
              <w:spacing w:after="20"/>
              <w:ind w:left="200"/>
            </w:pPr>
            <w:r>
              <w:rPr>
                <w:rFonts w:ascii="Calibri" w:cs="Calibri" w:eastAsia="Calibri" w:hAnsi="Calibri"/>
                <w:color w:val="10233C"/>
                <w:sz w:val="28"/>
                <w:szCs w:val="28"/>
              </w:rPr>
              <w:t xml:space="preserve">B-s1,d0</w:t>
            </w:r>
          </w:p>
          <w:p>
            <w:pPr>
              <w:spacing w:after="20"/>
              <w:ind w:left="200"/>
            </w:pPr>
            <w:r>
              <w:rPr>
                <w:rFonts w:ascii="Calibri" w:cs="Calibri" w:eastAsia="Calibri" w:hAnsi="Calibri"/>
                <w:color w:val="10233C"/>
                <w:sz w:val="28"/>
                <w:szCs w:val="28"/>
              </w:rPr>
              <w:t xml:space="preserve">EI 30</w:t>
            </w:r>
          </w:p>
          <w:p>
            <w:pPr>
              <w:spacing w:after="20"/>
              <w:ind w:left="200"/>
            </w:pPr>
            <w:r>
              <w:rPr>
                <w:rFonts w:ascii="Calibri" w:cs="Calibri" w:eastAsia="Calibri" w:hAnsi="Calibri"/>
                <w:color w:val="10233C"/>
                <w:sz w:val="28"/>
                <w:szCs w:val="28"/>
              </w:rPr>
              <w:t xml:space="preserve">R 90</w:t>
            </w:r>
          </w:p>
          <w:p>
            <w:pPr>
              <w:spacing w:after="20"/>
              <w:ind w:left="200"/>
            </w:pPr>
            <w:r>
              <w:rPr>
                <w:rFonts w:ascii="Calibri" w:cs="Calibri" w:eastAsia="Calibri" w:hAnsi="Calibri"/>
                <w:color w:val="10233C"/>
                <w:sz w:val="28"/>
                <w:szCs w:val="28"/>
              </w:rPr>
              <w:t xml:space="preserve">M1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Le plateau de bureaux et la CTA qui ne s'arrête pas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gestionnaire d'un immeuble de bureaux, qui fait aménager un plateau en étage.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gestionnaire réunit deux surfaces de bureaux au deuxième étage : le plateau atteindra 400 m², avec des fenêtres, un escalier commun et un faux plafond. La centrale de traitement d'air existante souffle dans tout le plateau. L'architecte affirme qu'« il suffit d'ouvrir les fenêtres en cas de fumée » et que la CTA peut continuer à tourner. Le gestionnaire hésite : il vous demande si un désenfumage est obligatoire, sous quelle forme, et ce que cela change pour la CTA. La demande d'autorisation d'urbanisme sera déposée en début d'année prochaine.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gestionnaire : le seuil qui déclenche l'obligation et le texte de référence, le principe retenu (naturel ou mécanique) avec ce qui reviendrait au lot CVC, la conduite à tenir pour la CTA à l'ordre du système de sécurité incendie, et le texte à vérifier compte tenu de la date de dépôt.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Ordre de marche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Le plateau de bureaux et la CTA qui ne s'arrête pas</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Un local de bureaux de 400 m² en étage : le Code du travail impose-t-il un désenfumage, et sur quel seuil ? </w:t>
      </w:r>
      <w:r>
        <w:rPr>
          <w:rFonts w:ascii="Calibri" w:cs="Calibri" w:eastAsia="Calibri" w:hAnsi="Calibri"/>
          <w:b/>
          <w:bCs/>
          <w:color w:val="56657A"/>
          <w:sz w:val="28"/>
          <w:szCs w:val="28"/>
        </w:rPr>
        <w:t xml:space="preserve">(station, écran 8)</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Quelles tenues et quelles conditions d'installation sont exigées d'un ventilateur d'extraction de désenfumage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À l'ordre de désenfumage, pourquoi le ventilateur ne démarre-t-il pas instantanément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Le désenfumage d'une zone démarre : que doit faire la ventilation de confort qui la dessert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Pour désenfumer un escalier encloisonné, on installe une extraction mécanique en partie haute de la cage.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 ventilateur de désenfumage doit démarrer immédiatement à l'ordre, avant que les volets aient fini de s'ouvrir.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plateau de bureaux de 250 m² avec fenêtres, en étage, est soumis au désenfumage du seul fait de sa surface (Code du travail).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36/57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Les gaines qui traversent les chambres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La direction d'une clinique de quartier, établissement recevant du public, qui fait remplacer sa centrale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La nouvelle centrale de traitement d'air soufflera dans un couloir desservant plusieurs chambres. Vos gaines traversent des parois de locaux à sommeil, une paroi d'isolement entre deux niveaux et la paroi d'un local technique à risques importants. Le maître d'œuvre a écrit sur un plan « clapets coupe-feu à prévoir » sans en dire plus. L'installateur propose de les poser au-dessus du faux plafond, sans trappe, pour gagner du temps, et ne parle ni de calfeutrement ni d'entretien. Votre responsable vous demande de cadrer ce point avant la consultation des entreprises.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 tableau de traversées à compléter pour le dossier de consultation : pour chaque paroi franchie, le type de paroi, la présence d'un clapet, son mode de déclenchement (thermique ou télécommandé), son accès pour la maintenance, son calfeutrement, et la vérification à prévoir. Ajoutez trois lignes de prescriptions à destination de l'installateur.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CP1 plans d’implantation · CP7 ventilation tertiaire</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Lame tombée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36/57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Les gaines qui traversent les chambres</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Dans un établissement recevant du public, quel degré coupe-feu doit avoir le clapet d'une traversée de paroi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À quelle température est taré le capteur du mécanisme de déclenchement thermique d'un clapet coupe-feu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Si un SSI de catégorie A ou B est exigé, quels clapets sont autorisés au droit des parois de compartimentage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Que faut-il prévoir pour que le clapet reste efficace après la pose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Trouver l’erreur </w:t>
            </w:r>
          </w:p>
          <w:p>
            <w:pPr>
              <w:spacing w:after="40" w:line="260"/>
            </w:pPr>
            <w:r>
              <w:rPr>
                <w:rFonts w:ascii="Calibri" w:cs="Calibri" w:eastAsia="Calibri" w:hAnsi="Calibri"/>
                <w:color w:val="10233C"/>
                <w:sz w:val="28"/>
                <w:szCs w:val="28"/>
              </w:rPr>
              <w:t xml:space="preserve">Voici la proposition de l'installateur. Elle contient trois erreurs : trouvez-les et corrigez-les en une phrase chacune.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Nous posons les clapets au-dessus du faux plafond, sans trappe, pour aller plus vite.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Pour la paroi d'un local à sommeil, un clapet d'un degré plus faible que la paroi suffit, l'air ne fait que passer.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trou autour de la gaine sera simplement laissé vide : le clapet ferme la gaine, c'est suffisant.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37/57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Qui commande la CTA quand l'alarme sonne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maître d'ouvrage d'un bâtiment de bureaux accueillant du public, qui confie le lot CVC à votre entreprise et découvre en réunion de chantier que « le système incendie » pilotera aussi vos centrales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lot sécurité incendie et le lot CVC sont attribués à deux entreprises différentes. Le maître d'ouvrage vous demande, avant la prochaine réunion, ce que votre lot doit prévoir pour que le système de sécurité incendie puisse mettre à l'arrêt une ventilation, fermer des clapets et ouvrir des volets de désenfumage. Personne n'a encore écrit qui fournit les commandes, qui câble, et quelles informations le CVC renvoie au centralisateur. Votre responsable vous demande de préparer la liste des points à faire trancher.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check-list d'une page pour la réunion de chantier : en colonne de gauche, ce que le règlement impose (à citer avec l'article), en colonne de droite, ce que le cahier des charges doit fixer entre le lot CVC et le lot sécurité incendie (qui fournit, qui câble, quelles commandes, quels contacts de position, quelles ventilations s'arrêtent). Sous la liste, une phrase pour le maître d'ouvrage qui explique pourquoi le découpage en zones et le scénario doivent être validés avant la pose.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CP7 ventilation tertiaire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Chef d'orchestre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37/57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Qui commande la CTA quand l'alarme sonne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Quelles sont les trois étapes du système de sécurité incendie, et à laquelle se rattache l'arrêt d'une ventilation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Comment s'emboîtent zones de détection, zones de mise en sécurité et zones de diffusion d'alarme, et ont-elles forcément les mêmes limites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Pour un SSI de catégorie D ou E, quels sont les seuls dispositifs actionnés de sécurité que l'alarme peut télécommander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Quelles exigences le règlement pose-t-il sur les clapets télécommandés et sur les mécanismes de commande des DAS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Trouver l’erreur </w:t>
            </w:r>
          </w:p>
          <w:p>
            <w:pPr>
              <w:spacing w:after="40" w:line="260"/>
            </w:pPr>
            <w:r>
              <w:rPr>
                <w:rFonts w:ascii="Calibri" w:cs="Calibri" w:eastAsia="Calibri" w:hAnsi="Calibri"/>
                <w:color w:val="10233C"/>
                <w:sz w:val="28"/>
                <w:szCs w:val="28"/>
              </w:rPr>
              <w:t xml:space="preserve">Dans chacune de ces quatre phrases entendues en réunion de chantier, trouvez l'erreur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Le désenfumage des cages d'escalier se commande automatiquement par la détection.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Un SSI de catégorie E peut télécommander des clapets coupe-feu et arrêter les ventilations.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Pour une détection neuve, des essais fonctionnels suffisent toujours, sans foyer type.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Le contrat d'entretien n'est obligatoire pour aucune catégorie.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38/57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 Un sprinkler partout, et des RIA en plus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Le client </w:t>
            </w:r>
            <w:r>
              <w:rPr>
                <w:rFonts w:ascii="Calibri" w:cs="Calibri" w:eastAsia="Calibri" w:hAnsi="Calibri"/>
                <w:color w:val="10233C"/>
                <w:sz w:val="28"/>
                <w:szCs w:val="28"/>
              </w:rPr>
              <w:t xml:space="preserve">Le responsable d'une société de services qui aménage des locaux accueillant du public dans un bâtiment existant, et qui veut « être tranquille » côté incendie.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situation </w:t>
            </w:r>
            <w:r>
              <w:rPr>
                <w:rFonts w:ascii="Calibri" w:cs="Calibri" w:eastAsia="Calibri" w:hAnsi="Calibri"/>
                <w:color w:val="10233C"/>
                <w:sz w:val="28"/>
                <w:szCs w:val="28"/>
              </w:rPr>
              <w:t xml:space="preserve">Le client a lu quelque part qu'il faut « du sprinkler et des RIA » et demande les deux, partout, dans son bâtiment. Vous n'avez pas encore lu les textes qui s'appliquent au projet. Votre responsable vous demande de préparer, avant le rendez-vous, une note qui explique ce que sont ces deux dispositifs, ce que le bureau d'études aura à dimensionner côté eau, et ce qu'il faut vérifier avant de promettre quoi que ce soit.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B91C1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B91C1C"/>
                <w:sz w:val="28"/>
                <w:szCs w:val="28"/>
              </w:rPr>
              <w:t xml:space="preserve">La pièce à produire </w:t>
            </w:r>
            <w:r>
              <w:rPr>
                <w:rFonts w:ascii="Calibri" w:cs="Calibri" w:eastAsia="Calibri" w:hAnsi="Calibri"/>
                <w:color w:val="10233C"/>
                <w:sz w:val="28"/>
                <w:szCs w:val="28"/>
              </w:rPr>
              <w:t xml:space="preserve">Une note d'une page au client : un tableau à deux colonnes (robinet d'incendie armé, sprinkler) avec pour chacun qui agit, comment l'eau arrive, et ce que le règlement fixe ; puis trois questions à poser avant tout chiffrage : quel texte l'exige pour ce bâtiment, la DESP s'applique-t-elle à ce réseau d'eau sous pression, qui réalise le système. Aucune valeur qui ne soit lue dans un texte.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CP3 réseaux sanitaires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B91C1C"/>
                <w:sz w:val="30"/>
                <w:szCs w:val="30"/>
              </w:rPr>
              <w:t xml:space="preserve">Seule la bonne tête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B91C1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38/57 · Incendie</w:t>
            </w:r>
          </w:p>
        </w:tc>
        <w:tc>
          <w:tcPr>
            <w:tcW w:type="dxa" w:w="4196"/>
            <w:tcBorders>
              <w:top w:val="none"/>
              <w:left w:val="none"/>
              <w:bottom w:val="none"/>
              <w:right w:val="none"/>
            </w:tcBorders>
            <w:shd w:fill="B91C1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 Un sprinkler partout, et des RIA en plus »</w:t>
      </w:r>
    </w:p>
    <w:p>
      <w:pPr>
        <w:spacing w:after="20" w:before="60"/>
      </w:pPr>
      <w:r>
        <w:rPr>
          <w:rFonts w:ascii="Calibri" w:cs="Calibri" w:eastAsia="Calibri" w:hAnsi="Calibri"/>
          <w:b/>
          <w:bCs/>
          <w:color w:val="B91C1C"/>
          <w:sz w:val="28"/>
          <w:szCs w:val="28"/>
        </w:rPr>
        <w:t xml:space="preserve">1. </w:t>
      </w:r>
      <w:r>
        <w:rPr>
          <w:rFonts w:ascii="Calibri" w:cs="Calibri" w:eastAsia="Calibri" w:hAnsi="Calibri"/>
          <w:color w:val="10233C"/>
          <w:sz w:val="28"/>
          <w:szCs w:val="28"/>
        </w:rPr>
        <w:t xml:space="preserve">Quelle est la différence de logique entre un robinet d'incendie armé et un sprinkler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2. </w:t>
      </w:r>
      <w:r>
        <w:rPr>
          <w:rFonts w:ascii="Calibri" w:cs="Calibri" w:eastAsia="Calibri" w:hAnsi="Calibri"/>
          <w:color w:val="10233C"/>
          <w:sz w:val="28"/>
          <w:szCs w:val="28"/>
        </w:rPr>
        <w:t xml:space="preserve">Que fixe l'article MS 17 pour le robinet d'incendie armé le plus défavorisé, et pourquoi est-ce un sujet de calcul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3. </w:t>
      </w:r>
      <w:r>
        <w:rPr>
          <w:rFonts w:ascii="Calibri" w:cs="Calibri" w:eastAsia="Calibri" w:hAnsi="Calibri"/>
          <w:color w:val="10233C"/>
          <w:sz w:val="28"/>
          <w:szCs w:val="28"/>
        </w:rPr>
        <w:t xml:space="preserve">Un foyer démarre sous l'une des têtes d'un local : quelles têtes s'ouvrent, et pourquoi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B91C1C"/>
          <w:sz w:val="28"/>
          <w:szCs w:val="28"/>
        </w:rPr>
        <w:t xml:space="preserve">4. </w:t>
      </w:r>
      <w:r>
        <w:rPr>
          <w:rFonts w:ascii="Calibri" w:cs="Calibri" w:eastAsia="Calibri" w:hAnsi="Calibri"/>
          <w:color w:val="10233C"/>
          <w:sz w:val="28"/>
          <w:szCs w:val="28"/>
        </w:rPr>
        <w:t xml:space="preserve">Pourquoi ce sujet passe-t-il par le bureau d'études CVC, et qu'est-ce qui relie ce lot à la DESP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91C1C" w:sz="8"/>
              <w:left w:val="single" w:color="B91C1C" w:sz="8"/>
              <w:bottom w:val="single" w:color="B91C1C" w:sz="8"/>
              <w:right w:val="single" w:color="B91C1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B91C1C" w:val="clear"/>
              </w:rPr>
              <w:t xml:space="preserve"> Défi · Trouver l’erreur </w:t>
            </w:r>
          </w:p>
          <w:p>
            <w:pPr>
              <w:spacing w:after="40" w:line="260"/>
            </w:pPr>
            <w:r>
              <w:rPr>
                <w:rFonts w:ascii="Calibri" w:cs="Calibri" w:eastAsia="Calibri" w:hAnsi="Calibri"/>
                <w:color w:val="10233C"/>
                <w:sz w:val="28"/>
                <w:szCs w:val="28"/>
              </w:rPr>
              <w:t xml:space="preserve">Chaque phrase contient une erreur. Trouvez-la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sprinkler s'ouvre dès que de la fumée arrive sur la tête.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Quand un foyer démarre, toutes les têtes du local s'ouvrent ensemble.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robinet d'incendie armé se place à l'intérieur du local qu'il protège.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système sprinkleur se vérifie une seule fois, avant la mise en service.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B91C1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39/57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Ce que dit le CCTP, et ce qui oblige vraiment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Le responsable d'une entreprise de CVC qui vient de recevoir le CCTP d'un appel d'offres et demande : « Là-dedans, qu'est-ce qui est la loi, et qu'est-ce que je peux discuter ?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Le CCTP d'un lot chauffage-climatisation cite, dans le même paragraphe, un règlement européen, une norme électrique, une norme de sécurité des systèmes frigorifiques, le DTU du lot et un procédé sous avis technique. Le responsable a tout lu comme « la réglementation » et craint de devoir tout appliquer à la lettre. Votre responsable d'études vous demande de trier ces références avant la remise de l'offre : ce qui oblige par un texte, ce qui oblige par le contrat, ce qui donne seulement une présomption, ce qui éclaire.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 tableau d'une page, une ligne par référence du CCTP : sa nature (texte, norme, DTU, avis technique), ce qui l'oblige (texte de la pyramide, arrêté qui la rend obligatoire, ou le contrat), et l'édition à vérifier dans le dossier. Sous le tableau, deux phrases pour le responsable : « Une norme ne nous oblige pas parce qu'elle existe » et « Ce que le marché cite, nous l'appliquons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Le bon étage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39/57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Ce que dit le CCTP, et ce qui oblige vraiment</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Quelle différence entre un règlement et une directive européens pour une entreprise française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Qu'est-ce qui peut rendre une norme d'application obligatoire, et à quelle condition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Que change la présomption de conformité pour une installation électrique de logement neuf conçue selon la NF C 15-100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Un CCTP renvoie au NF DTU du lot sans qu'aucun arrêté ne le rende obligatoire : s'impose-t-il ? Pourquoi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Classer </w:t>
            </w:r>
          </w:p>
          <w:p>
            <w:pPr>
              <w:spacing w:after="40" w:line="260"/>
            </w:pPr>
            <w:r>
              <w:rPr>
                <w:rFonts w:ascii="Calibri" w:cs="Calibri" w:eastAsia="Calibri" w:hAnsi="Calibri"/>
                <w:color w:val="10233C"/>
                <w:sz w:val="28"/>
                <w:szCs w:val="28"/>
              </w:rPr>
              <w:t xml:space="preserve">Classez chaque référence dans la bonne colonne : « oblige par un texte », « oblige par le contrat », « présomption de conformité », « éclaire seulement ». Justifiez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Règlement (UE) 2024/573</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arrêté qui rend une norme d'application obligatoire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NF C 15-100 pour un logement neuf</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NF DTU cité par le marché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Avis technique du CSTB pour un procédé nouveau</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Une norme citée nulle part dans le marché ni dans un texte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40/57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Un « CE » collé sur le carton, et pas de DoP</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Le responsable d'un bureau d'études CVC, qui prépare la consultation d'entreprises pour la rénovation des installations d'un bâtiment tertiaire.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L'entreprise de pose retenue propose, pour remplacer un produit prescrit, un équivalent moins cher. Il arrive sans notice, avec un « CE » collé sur le carton et sans déclaration des performances. Le conducteur de travaux affirme que « le CE, c'est la garantie européenne, donc c'est bon ». Vous devez dire, avant la réunion de chantier, ce que l'on peut accepter, ce que l'on doit demander et ce que l'on refuse.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Une liste de vérification d'une page, en six lignes, à remplir pour ce produit : produit couvert ou non par une norme harmonisée, usage prévu, performances exigées déclarées ou NPD, fabricant et produit type identifiables, déclaration et notice fournies, autres textes applicables. Sous la liste, un courriel de trois phrases à l'entreprise : ce qui manque et ce que vous attendez avant d'accepter le produit.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Le CE décrypté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40/57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Un « CE » collé sur le carton, et pas de DoP</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Dans quels cas un fabricant de produit de construction doit-il établir une déclaration des performances, et que pose-t-il ensuite sur le produit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Le CE apparaît sur une étiquette : quelle information vous permet de retrouver la déclaration des performances complète, et qui répond du produit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Un même groupe de climatisation peut-il relever de plusieurs textes européens portant chacun le CE ? Donnez deux exemples.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Un produit couvert par une norme harmonisée arrive sans CE ni déclaration des performances : que faites-vous, et pourquoi le distributeur n'aurait-il pas dû le livrer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Le marquage CE est un label de qualité délivré par un laboratoire.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CE collé sur un produit de construction couvert par une norme harmonisée suffit, même sans déclaration des performances.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NPD, dans une déclaration des performances, signifie que le produit a échoué à l'essai.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appareil de chauffage ou de climatisation peut relever de plusieurs textes qui prévoient chacun le CE.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41/57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Deux devis pour une pompe à chaleur, une seule porte d'aide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Le responsable d'une petite entreprise de génie climatique, qui conseille des particuliers et veut pouvoir leur dire quel installateur ouvre l'aide à la rénovation énergétique.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Un couple de particuliers projette de remplacer sa chaudière par une pompe à chaleur et hésite entre deux devis. La première entreprise est référencée dans l'annuaire officiel pour les pompes à chaleur. La seconde affiche « RGE en cours de qualification » et est plutôt qualifiée pour le chauffage au bois. Votre responsable vous demande de préparer, avant le rendez-vous, ce que l'on peut dire aux clients : ce qui conditionne l'aide, quand la mention est vérifiée et comment le contrôler soi-même.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Une check-list d'une page intitulée « Avant de signer un devis aidé » : cinq vérifications numérotées (aide visée, moment où la mention est exigée, signe de qualité correspondant aux travaux, recherche dans l'annuaire officiel, activité listée), suivie de deux phrases pour les clients : « L'aide s'ouvre avec l'entreprise, pas seulement avec les travaux » et « Le RGE n'est pas l'attestation qui permet de manipuler le fluide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Porte ouverte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41/57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Deux devis pour une pompe à chaleur, une seule porte d'aide</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Pourquoi dit-on que le client n'a l'aide que si l'entreprise est RGE pour ces travaux ? Citez l'une des aides concernées.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Une entreprise écrit « RGE en cours de qualification » sur son devis. Le client peut-il compter sur l'aide ? À quel moment vérifie-t-on la mention pour MaPrimeRénov'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Citez deux choses que l'entreprise doit tenir pour conserver sa mention RGE.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Le RGE, l'attestation de capacité et l'attestation d'aptitude : qui détient quoi, et un papier peut-il en remplacer un autre ? </w:t>
      </w:r>
      <w:r>
        <w:rPr>
          <w:rFonts w:ascii="Calibri" w:cs="Calibri" w:eastAsia="Calibri" w:hAnsi="Calibri"/>
          <w:b/>
          <w:bCs/>
          <w:color w:val="56657A"/>
          <w:sz w:val="28"/>
          <w:szCs w:val="28"/>
        </w:rPr>
        <w:t xml:space="preserve">(station, écran 8)</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Une entreprise qualifiée RGE pour le chauffage au bois peut faire bénéficier son client de l'aide pour une pompe à chaleur.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Pour l'éco-prêt à taux zéro, la mention RGE est vérifiée à la date de signature du formulaire correspondant au devis.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Une entreprise dont la mention a été radiée continue d'apparaître dans l'annuaire officiel.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technicien titulaire de l'attestation d'aptitude n'a pas besoin que son entreprise soit RGE pour que ses clients aient l'aide.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42/57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60" w:before="60"/>
      </w:pPr>
      <w:r>
        <w:rPr>
          <w:rFonts w:ascii="Trebuchet MS" w:cs="Trebuchet MS" w:eastAsia="Trebuchet MS" w:hAnsi="Trebuchet MS"/>
          <w:b/>
          <w:bCs/>
          <w:color w:val="1B3A63"/>
          <w:sz w:val="44"/>
          <w:szCs w:val="44"/>
        </w:rPr>
        <w:t xml:space="preserve">Mission : La pompe à chaleur qui ne chauffe pas assez</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Le client </w:t>
            </w:r>
            <w:r>
              <w:rPr>
                <w:rFonts w:ascii="Calibri" w:cs="Calibri" w:eastAsia="Calibri" w:hAnsi="Calibri"/>
                <w:color w:val="10233C"/>
                <w:sz w:val="28"/>
                <w:szCs w:val="28"/>
              </w:rPr>
              <w:t xml:space="preserve">Un particulier, propriétaire d'une maison, qui a fait poser une pompe à chaleur air-eau par votre entreprise et demande : « C'est la garantie décennale, non ?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situation </w:t>
            </w:r>
            <w:r>
              <w:rPr>
                <w:rFonts w:ascii="Calibri" w:cs="Calibri" w:eastAsia="Calibri" w:hAnsi="Calibri"/>
                <w:color w:val="10233C"/>
                <w:sz w:val="28"/>
                <w:szCs w:val="28"/>
              </w:rPr>
              <w:t xml:space="preserve">Votre entreprise a posé une pompe à chaleur air-eau dans une maison existante. Le procès-verbal de réception date d'il y a quatorze mois, sans réserves. Cet hiver, la maison n'atteint plus la température voulue. Le client vous écrit et cite la garantie décennale. Votre responsable vous demande de préparer, avant tout appel, ce qu'il faut établir pour savoir si une garantie joue et laquelle, sans rien promettre au client.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3730A3"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3730A3"/>
                <w:sz w:val="28"/>
                <w:szCs w:val="28"/>
              </w:rPr>
              <w:t xml:space="preserve">La pièce à produire </w:t>
            </w:r>
            <w:r>
              <w:rPr>
                <w:rFonts w:ascii="Calibri" w:cs="Calibri" w:eastAsia="Calibri" w:hAnsi="Calibri"/>
                <w:color w:val="10233C"/>
                <w:sz w:val="28"/>
                <w:szCs w:val="28"/>
              </w:rPr>
              <w:t xml:space="preserve">Une check-list d'une page en trois blocs. Bloc 1, les pièces à réunir : procès-verbal de réception, note de calcul ou étude de dimensionnement, notice du fabricant, attestation d'assurance de l'entreprise. Bloc 2, les quatre questions à trancher (quand, quel élément, quel effet, quelle cause), avec pour chacune ce qui permettrait d'y répondre. Bloc 3, deux phrases pour le client : ce que vous vérifiez, et ce que vous ne pouvez pas encore affirmer.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CP5 déperditions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3730A3"/>
                <w:sz w:val="30"/>
                <w:szCs w:val="30"/>
              </w:rPr>
              <w:t xml:space="preserve">Point de départ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3730A3"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42/57 · Certifications &amp; normes</w:t>
            </w:r>
          </w:p>
        </w:tc>
        <w:tc>
          <w:tcPr>
            <w:tcW w:type="dxa" w:w="4196"/>
            <w:tcBorders>
              <w:top w:val="none"/>
              <w:left w:val="none"/>
              <w:bottom w:val="none"/>
              <w:right w:val="none"/>
            </w:tcBorders>
            <w:shd w:fill="3730A3"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P4 · sem. 23 à 28 · 25 min</w:t>
            </w:r>
          </w:p>
        </w:tc>
      </w:tr>
    </w:tbl>
    <w:p>
      <w:pPr>
        <w:spacing w:after="40" w:before="40"/>
      </w:pPr>
      <w:r>
        <w:rPr>
          <w:rFonts w:ascii="Calibri" w:cs="Calibri" w:eastAsia="Calibri" w:hAnsi="Calibri"/>
          <w:b/>
          <w:bCs/>
          <w:color w:val="1B3A63"/>
          <w:sz w:val="28"/>
          <w:szCs w:val="28"/>
        </w:rPr>
        <w:t xml:space="preserve">Questions et défi · Mission : La pompe à chaleur qui ne chauffe pas assez</w:t>
      </w:r>
    </w:p>
    <w:p>
      <w:pPr>
        <w:spacing w:after="20" w:before="60"/>
      </w:pPr>
      <w:r>
        <w:rPr>
          <w:rFonts w:ascii="Calibri" w:cs="Calibri" w:eastAsia="Calibri" w:hAnsi="Calibri"/>
          <w:b/>
          <w:bCs/>
          <w:color w:val="3730A3"/>
          <w:sz w:val="28"/>
          <w:szCs w:val="28"/>
        </w:rPr>
        <w:t xml:space="preserve">1. </w:t>
      </w:r>
      <w:r>
        <w:rPr>
          <w:rFonts w:ascii="Calibri" w:cs="Calibri" w:eastAsia="Calibri" w:hAnsi="Calibri"/>
          <w:color w:val="10233C"/>
          <w:sz w:val="28"/>
          <w:szCs w:val="28"/>
        </w:rPr>
        <w:t xml:space="preserve">Que change la réception, et de quelle date part-on pour compter les garanties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2. </w:t>
      </w:r>
      <w:r>
        <w:rPr>
          <w:rFonts w:ascii="Calibri" w:cs="Calibri" w:eastAsia="Calibri" w:hAnsi="Calibri"/>
          <w:color w:val="10233C"/>
          <w:sz w:val="28"/>
          <w:szCs w:val="28"/>
        </w:rPr>
        <w:t xml:space="preserve">Citez les trois garanties et leur durée, à partir de la réception.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3. </w:t>
      </w:r>
      <w:r>
        <w:rPr>
          <w:rFonts w:ascii="Calibri" w:cs="Calibri" w:eastAsia="Calibri" w:hAnsi="Calibri"/>
          <w:color w:val="10233C"/>
          <w:sz w:val="28"/>
          <w:szCs w:val="28"/>
        </w:rPr>
        <w:t xml:space="preserve">Quels sont les deux critères de la garantie décennale, et comment le constructeur s'en dégage-t-il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3730A3"/>
          <w:sz w:val="28"/>
          <w:szCs w:val="28"/>
        </w:rPr>
        <w:t xml:space="preserve">4. </w:t>
      </w:r>
      <w:r>
        <w:rPr>
          <w:rFonts w:ascii="Calibri" w:cs="Calibri" w:eastAsia="Calibri" w:hAnsi="Calibri"/>
          <w:color w:val="10233C"/>
          <w:sz w:val="28"/>
          <w:szCs w:val="28"/>
        </w:rPr>
        <w:t xml:space="preserve">Quelle est la différence entre l'assurance décennale et l'assurance dommages-ouvrage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3730A3" w:sz="8"/>
              <w:left w:val="single" w:color="3730A3" w:sz="8"/>
              <w:bottom w:val="single" w:color="3730A3" w:sz="8"/>
              <w:right w:val="single" w:color="3730A3"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3730A3" w:val="clear"/>
              </w:rPr>
              <w:t xml:space="preserve"> Défi · Classer </w:t>
            </w:r>
          </w:p>
          <w:p>
            <w:pPr>
              <w:spacing w:after="40" w:line="260"/>
            </w:pPr>
            <w:r>
              <w:rPr>
                <w:rFonts w:ascii="Calibri" w:cs="Calibri" w:eastAsia="Calibri" w:hAnsi="Calibri"/>
                <w:color w:val="10233C"/>
                <w:sz w:val="28"/>
                <w:szCs w:val="28"/>
              </w:rPr>
              <w:t xml:space="preserve">Pour chaque situation, indiquez la garantie qui peut être invoquée, ou « aucune », et justifiez en une phrase. Pour chacune, la réception date de la période indiquée.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Une porte de local technique ne ferme pas, signalée par écrit à l'entrepreneur huit mois après la réception.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équipement dissociable tombe en panne quatorze mois après la réception ; l'ouvrage reste utilisable.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désordre qui rend l'ouvrage impropre à sa destination apparaît six ans après la réception.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désordre apparaît douze ans après la réception.</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3730A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7"/>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Ce que je travaille : les codes</w:t>
      </w:r>
    </w:p>
    <w:p>
      <w:pPr>
        <w:spacing w:after="40" w:line="260"/>
      </w:pPr>
      <w:r>
        <w:rPr>
          <w:rFonts w:ascii="Calibri" w:cs="Calibri" w:eastAsia="Calibri" w:hAnsi="Calibri"/>
          <w:b/>
          <w:bCs/>
          <w:color w:val="10233C"/>
          <w:sz w:val="28"/>
          <w:szCs w:val="28"/>
        </w:rPr>
        <w:t xml:space="preserve">TP TECVC (REAC TP-00133)</w:t>
      </w:r>
      <w:r>
        <w:rPr>
          <w:rFonts w:ascii="Calibri" w:cs="Calibri" w:eastAsia="Calibri" w:hAnsi="Calibri"/>
          <w:color w:val="10233C"/>
          <w:sz w:val="28"/>
          <w:szCs w:val="28"/>
        </w:rPr>
        <w:t xml:space="preserve"> : les dix compétences professionnelles. Une mission « hors REAC » relève de la culture professionnelle.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CP1</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plans d’implantation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réseaux sanitaires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CP5</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déperditions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chauffage / ECS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CP7</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ventilation tertiaire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climatisation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CP10</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CTA</w:t>
            </w:r>
          </w:p>
        </w:tc>
      </w:tr>
    </w:tbl>
    <w:p>
      <w:pPr>
        <w:spacing w:after="0" w:before="0" w:line="170" w:lineRule="exact"/>
      </w:pPr>
    </w:p>
    <w:p>
      <w:pPr>
        <w:spacing w:after="40" w:line="260"/>
      </w:pPr>
      <w:r>
        <w:rPr>
          <w:rFonts w:ascii="Calibri" w:cs="Calibri" w:eastAsia="Calibri" w:hAnsi="Calibri"/>
          <w:b/>
          <w:bCs/>
          <w:color w:val="10233C"/>
          <w:sz w:val="28"/>
          <w:szCs w:val="28"/>
        </w:rPr>
        <w:t xml:space="preserve">Attestation d’aptitude 2025</w:t>
      </w:r>
      <w:r>
        <w:rPr>
          <w:rFonts w:ascii="Calibri" w:cs="Calibri" w:eastAsia="Calibri" w:hAnsi="Calibri"/>
          <w:color w:val="10233C"/>
          <w:sz w:val="28"/>
          <w:szCs w:val="28"/>
        </w:rPr>
        <w:t xml:space="preserve"> (fluides frigorigènes) : les codes des missions fluidiques.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1.00</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Connaissance élémentaire de la législation de l'Union européenne et nationale applicable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11.03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réglementations et les normes de sécurité applicables pour l'utilisation</w:t>
            </w:r>
          </w:p>
        </w:tc>
      </w:tr>
    </w:tbl>
    <w:p>
      <w:pPr>
        <w:sectPr>
          <w:footerReference w:type="default" r:id="rId28"/>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Les codes (suite) et mes notes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bl>
    <w:p>
      <w:pPr>
        <w:spacing w:after="0" w:before="0" w:line="170" w:lineRule="exact"/>
      </w:pPr>
    </w:p>
    <w:p>
      <w:pPr>
        <w:spacing w:after="40" w:line="260"/>
      </w:pPr>
      <w:r>
        <w:rPr>
          <w:rFonts w:ascii="Calibri" w:cs="Calibri" w:eastAsia="Calibri" w:hAnsi="Calibri"/>
          <w:b/>
          <w:bCs/>
          <w:color w:val="1B3A63"/>
          <w:sz w:val="28"/>
          <w:szCs w:val="28"/>
        </w:rPr>
        <w:t xml:space="preserve">Mes notes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sectPr>
      <w:footerReference w:type="default" r:id="rId29"/>
      <w:pgSz w:w="11906" w:h="16838" w:orient="portrait"/>
      <w:pgMar w:top="624" w:right="680" w:bottom="1191" w:left="680" w:header="708" w:footer="28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Carnet d’une période (le carnet complet regroupe les cinq périodes)</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période P4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Le professeur tamponne la case après la mission</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carte P4</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33/57 · recto</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33/57 · verso</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34/57 · recto</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34/57 · verso</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35/57 · recto</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35/57 · verso</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36/57 · recto</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CP1 · CP7</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36/57 · verso</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37/57 · recto</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CP7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37/57 · verso</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38/57 · recto</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38/57 · verso</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39/57 · recto</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39/57 · verso</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40/57 · recto</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40/57 · verso</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41/57 · recto</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41/57 · verso</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42/57 · recto</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CP5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42/57 · verso</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1/2</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2/2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theme" Target="theme/theme1.xml"/><Relationship Id="rId31" Type="http://schemas.openxmlformats.org/officeDocument/2006/relationships/image" Target="media/68daa096ce8389c5d3eb4b172fff06aaf36f0db4.png"/><Relationship Id="rId32" Type="http://schemas.openxmlformats.org/officeDocument/2006/relationships/image" Target="media/4f18374941e6ae5fe9d33a2669e439e6ed0d9478.png"/><Relationship Id="rId33" Type="http://schemas.openxmlformats.org/officeDocument/2006/relationships/image" Target="media/7f2704ba584254580e0422dd35a7df455f3b8b3e.png"/><Relationship Id="rId34" Type="http://schemas.openxmlformats.org/officeDocument/2006/relationships/image" Target="media/ef6fbf153e96da0f2ecf15fc575c40337eea3b3c.png"/><Relationship Id="rId35" Type="http://schemas.openxmlformats.org/officeDocument/2006/relationships/image" Target="media/6626a36c92a52f209fa1b5c8f9411f65ff34e04f.png"/><Relationship Id="rId36" Type="http://schemas.openxmlformats.org/officeDocument/2006/relationships/image" Target="media/afc62f83086ea3a5ec0d18d20aef4ff50aeb8fa8.png"/><Relationship Id="rId37" Type="http://schemas.openxmlformats.org/officeDocument/2006/relationships/image" Target="media/53e74a56b0bbf4ebddc64f2744921b8f1c49b6f0.png"/><Relationship Id="rId38" Type="http://schemas.openxmlformats.org/officeDocument/2006/relationships/image" Target="media/824dd79f68fcd0a0fd52eb0eeafca12bfa989df9.png"/><Relationship Id="rId39" Type="http://schemas.openxmlformats.org/officeDocument/2006/relationships/image" Target="media/c413d1f14caa4a6b73b69085cdff6af1f65922de.png"/><Relationship Id="rId40" Type="http://schemas.openxmlformats.org/officeDocument/2006/relationships/image" Target="media/633218f26bfcc35f918a80cfffba20876f40e984.png"/><Relationship Id="rId41" Type="http://schemas.openxmlformats.org/officeDocument/2006/relationships/image" Target="media/288502effac3498e1a4b6aa9d22b1baaf4428f90.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 carnet du chargé d’affaires — P4</dc:title>
  <dc:creator>inerWeb</dc:creator>
  <cp:lastModifiedBy>Un-named</cp:lastModifiedBy>
  <cp:revision>1</cp:revision>
  <dcterms:created xsi:type="dcterms:W3CDTF">2026-09-30T07:23:23.860Z</dcterms:created>
  <dcterms:modified xsi:type="dcterms:W3CDTF">2026-09-30T07:23:23.860Z</dcterms:modified>
</cp:coreProperties>
</file>

<file path=docProps/custom.xml><?xml version="1.0" encoding="utf-8"?>
<Properties xmlns="http://schemas.openxmlformats.org/officeDocument/2006/custom-properties" xmlns:vt="http://schemas.openxmlformats.org/officeDocument/2006/docPropsVTypes"/>
</file>