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669607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60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240"/>
      </w:pPr>
      <w:r>
        <w:rPr>
          <w:rFonts w:ascii="Trebuchet MS" w:cs="Trebuchet MS" w:eastAsia="Trebuchet MS" w:hAnsi="Trebuchet MS"/>
          <w:b/>
          <w:bCs/>
          <w:color w:val="B8692E"/>
          <w:sz w:val="32"/>
          <w:szCs w:val="32"/>
        </w:rPr>
        <w:t xml:space="preserve">CuivRézo · CAP IFCA</w:t>
      </w:r>
    </w:p>
    <w:p>
      <w:pPr>
        <w:spacing w:after="60"/>
      </w:pPr>
      <w:r>
        <w:rPr>
          <w:rFonts w:ascii="Trebuchet MS" w:cs="Trebuchet MS" w:eastAsia="Trebuchet MS" w:hAnsi="Trebuchet MS"/>
          <w:b/>
          <w:bCs/>
          <w:color w:val="1B3A63"/>
          <w:sz w:val="80"/>
          <w:szCs w:val="80"/>
        </w:rPr>
        <w:t xml:space="preserve">Mon passeport </w:t>
      </w:r>
      <w:r>
        <w:rPr>
          <w:rFonts w:ascii="Trebuchet MS" w:cs="Trebuchet MS" w:eastAsia="Trebuchet MS" w:hAnsi="Trebuchet MS"/>
          <w:b/>
          <w:bCs/>
          <w:color w:val="B8692E"/>
          <w:sz w:val="80"/>
          <w:szCs w:val="80"/>
        </w:rPr>
        <w:t xml:space="preserve">du cuivre</w:t>
      </w:r>
    </w:p>
    <w:p>
      <w:pPr>
        <w:spacing w:after="300"/>
      </w:pPr>
      <w:r>
        <w:rPr>
          <w:rFonts w:ascii="Calibri" w:cs="Calibri" w:eastAsia="Calibri" w:hAnsi="Calibri"/>
          <w:color w:val="56657A"/>
          <w:sz w:val="32"/>
          <w:szCs w:val="32"/>
        </w:rPr>
        <w:t xml:space="preserve">14 stations · 4 lignes · un tampon à chaque geste réussi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Prénom : ________________________________________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B3A63"/>
          <w:sz w:val="32"/>
          <w:szCs w:val="32"/>
        </w:rPr>
        <w:t xml:space="preserve">Classe : ________________________________________</w:t>
      </w:r>
    </w:p>
    <w:tbl>
      <w:tblPr>
        <w:tblW w:type="dxa" w:w="105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7"/>
        <w:gridCol w:w="2637"/>
        <w:gridCol w:w="2637"/>
        <w:gridCol w:w="2637"/>
      </w:tblGrid>
      <w:tr>
        <w:trPr>
          <w:cantSplit/>
        </w:trPr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1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gestes de base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8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2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 chalumeau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3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Braser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  <w:tc>
          <w:tcPr>
            <w:tcW w:type="dxa" w:w="2637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32"/>
                <w:szCs w:val="32"/>
              </w:rPr>
              <w:t xml:space="preserve">4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Les pièces complexes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 stations</w:t>
            </w:r>
          </w:p>
        </w:tc>
      </w:tr>
    </w:tbl>
    <w:p>
      <w:pPr>
        <w:sectPr>
          <w:footerReference w:type="default" r:id="rId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2"/>
          <w:szCs w:val="52"/>
        </w:rPr>
        <w:t xml:space="preserve">Mon parcours</w:t>
      </w:r>
    </w:p>
    <w:p>
      <w:pPr>
        <w:spacing w:after="10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Chaque station réussie donne un tampon du professeur. Suivez les lignes dans l’ordre.</w:t>
      </w:r>
    </w:p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1 · Ligne 1 · Les gestes de base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1.0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Mon poste de travail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 tube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et tracer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1.3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Couper et ébavurer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1.4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cintrette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1.5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à la cintreuse (L, R, 0)</w:t>
            </w:r>
          </w:p>
        </w:tc>
      </w:tr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1.6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1.7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à la pince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2 · Ligne 2 · Le chalumeau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poste oxyacétylénique en sécurité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2.2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Allumer, régler, éteindre la flamme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3 · Ligne 3 · Braser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tendre à l’étain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3.2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brasure forte sous azote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4 · Ligne 4 · Les pièces complexes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1500"/>
        <w:gridCol w:w="3773"/>
        <w:gridCol w:w="1500"/>
        <w:gridCol w:w="3773"/>
      </w:tblGrid>
      <w:tr>
        <w:trPr>
          <w:cantSplit/>
          <w:trHeight w:val="900" w:hRule="atLeast"/>
        </w:trPr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4.1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chapeau de gendarme</w:t>
            </w:r>
          </w:p>
        </w:tc>
        <w:tc>
          <w:tcPr>
            <w:tcW w:type="dxa" w:w="1500"/>
            <w:tcBorders>
              <w:top w:val="dashed" w:color="56657A" w:sz="6"/>
              <w:left w:val="dashed" w:color="56657A" w:sz="6"/>
              <w:bottom w:val="dashed" w:color="56657A" w:sz="6"/>
              <w:right w:val="dashed" w:color="56657A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color w:val="56657A"/>
                <w:sz w:val="28"/>
                <w:szCs w:val="28"/>
              </w:rPr>
              <w:t xml:space="preserve">( tampon )</w:t>
            </w:r>
          </w:p>
        </w:tc>
        <w:tc>
          <w:tcPr>
            <w:tcW w:type="dxa" w:w="3773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4.2 </w:t>
            </w: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baïonnette</w:t>
            </w:r>
          </w:p>
        </w:tc>
      </w:tr>
    </w:tbl>
    <w:p>
      <w:pPr>
        <w:spacing w:after="60" w:before="100"/>
      </w:pPr>
      <w:r>
        <w:rPr>
          <w:rFonts w:ascii="Trebuchet MS" w:cs="Trebuchet MS" w:eastAsia="Trebuchet MS" w:hAnsi="Trebuchet MS"/>
          <w:b/>
          <w:bCs/>
          <w:color w:val="1B3A63"/>
          <w:sz w:val="32"/>
          <w:szCs w:val="32"/>
        </w:rPr>
        <w:t xml:space="preserve">Comment ça marche ?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1. Scannez le QR de la page : la station s’ouvre sur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2. Faites le geste à votre poste, en suivant la tablette.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3. Faites les deux défis de la page, au stylo. Sur la tablette, le défi donne aussi un tampon.</w:t>
      </w:r>
    </w:p>
    <w:p>
      <w:pPr>
        <w:spacing w:after="40" w:line="240"/>
      </w:pPr>
      <w:r>
        <w:rPr>
          <w:rFonts w:ascii="Calibri" w:cs="Calibri" w:eastAsia="Calibri" w:hAnsi="Calibri"/>
          <w:color w:val="10233C"/>
          <w:sz w:val="28"/>
          <w:szCs w:val="28"/>
        </w:rPr>
        <w:t xml:space="preserve">4. Appelez le professeur : il regarde votre pièce, tamponne et date.</w:t>
      </w:r>
    </w:p>
    <w:p>
      <w:pPr>
        <w:sectPr>
          <w:footerReference w:type="default" r:id="rId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1.0 · 10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Mon poste de travail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prêt, un élève protégé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Avant le premier geste, vous êtes équipé, votre établi est dégagé, vos outils sont vérifiés et vous savez où sont les secours.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rassemble et je vérifie mes outils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Lunettes et gants, au bon moment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rends mon poste propre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Je m’équipe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protections oubliées ou retirées trop tôt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trop rapide, main entre les mors.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doigts dans l’étau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veut chasser les copeaux.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Souffler dans un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L’habitude, ou la hâte de finir.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1.1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Reconnaître le tube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Le bon tube, nommé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un tube, vous dites son nom en pouces, sa valeur en millimètres et son état : recuit en couronne, ou écroui en barre. Ses bouts restent bouchés.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nom du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Reboucher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zéro du pied à coulisse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Regarder comment le tube est livré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Mesurer l’intérieur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écroui et on l’a pris pour un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Oublier le pouce entier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becs placés à l’intérieur du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barre cintrée sans recuit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n’a calculé que le huitième.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1.2 · 15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Mesurer et tracer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trait fin, à la bonne cote, sur tout le tour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porte un trait net, exactement à la cote du plan, qui fait le tour complet du tube.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Plaquer le tube contre la butée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Lire la cote et le diamètre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Remesurer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Marquer un trait fin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cote prise du mauvais bout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L’œil n’était pas au-dessus de la graduation.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lecture de biais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pointe à tracer appuyée sur le tube.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rayure profonde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Bout de référence changé en cours de route.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1.3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Couper et ébavurer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tube coupé d’équerre, sans bavure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est coupé à la cote. Sa face est droite et plane, son intérieur est lisse, et il est resté rond.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Resserrer un peu à chaque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Ébavurer l’extérieur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Faire un premier tour lent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coupe inclinée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était tenu bout en haut pendant l’ébavurage.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L’outil n’était pas perpendiculaire au tube au départ.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limaille dans le tube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molette a été serrée trop fort ou trop vite.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1.4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300 mm à l’axe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est d’équerre, la branche mesure 300 mm jusqu’à l’axe de l’autre branche, et le tube n’est ni écrasé ni vrillé.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Sortir la pièce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l’outil, les mains hors de la pince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Trouver le rayon de votre cintrette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doucement, à deux mains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Arrêt au repère sans tenir compte de la détente.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trop long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Cintrage trop rapide, ou tube pas au fond de la gorge.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L’angle qui n’est pas à 90°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rayon n’a pas été retiré au traçage.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3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1.5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Cintrer à la cintreuse (L, R, 0)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coude à 90°, à la cote, du premier coup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1 : un tube 1/4″ coupé à 144 mm, un coude à 90°, des branches de 80 et 70 mm jusqu’à l’axe, à ± 1 mm.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Engager le tube sous le crochet fixe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Dégager, puis enchaîner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Prendre la bonne cintreuse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 sur R, si la cote part de la droite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mauvaise cintreuse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n’était pas pile sur le repère.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trait mal aligné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sens de cintrage a changé, ou le tube a tourné entre deux coudes.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vrillée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cintreuse 1/4″ pour un tube 3/8″, ou l’inverse.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4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1.6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dudgeon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dudgeon régulier, l’écrou en place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évasé en cône à 45°, lisse, sans fissure. L’écrou, enfilé avant, vient le coiffer et se visse sur le raccord.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Dévisser et contrôler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au couple, à deux clés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Serrer le tube dans la barre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L’écrou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Serrage au jugé, ou sans contre-clé.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dudgeon oblique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évasé avant d’enfiler l’écrou.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mauvais serrage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Coupe de travers, ou cône posé hors du centre.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5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1 · Les gestes de base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1.7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L’emboîture à la pince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bout élargi où l’autre tube entre juste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bout du tube est élargi, droit dans l’axe, sans fente. Un tube du même diamètre y entre sans forcer et sans jouer : il est prêt pour la brasure.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et essayer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Tourner d’un quart de tour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Partir d’un bout parfait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Visser la tête sur la pince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L’emboîture fendue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On a élargi un tube encore chaud du recuit.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qui joue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bavure laissée, ou serrage en une seule fois.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tête bloquée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Tête trop grosse pour le tube.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6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2.1 · 20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poste oxyacétylénique en sécurité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poste prêt à allumer, vérifié, sans fuite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Rien n’est allumé. Les bouteilles sont debout et arrimées, les pressions réglées, le poste est étanche, et le professeur l’a visé.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Vérifier le détendeur et le chalumeau fermés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Appeler le professeur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M’équiper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la basse pression d’oxygène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graisse et l’oxygène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Précipitation, vis de détente serrée.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robinet ouvert brutalement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Rangement négligé.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bouteille couchée ou libre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Une main, un gant ou un chiffon gras sur le circuit d’oxygène.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7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2 · Le chalumeau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2.2 · 25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Allumer, régler, éteindre la flamme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Une flamme neutre, allumée et éteinte dans l’ordre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Devant le professeur, vous allumez, vous réglez une flamme neutre, vous nommez les deux autres, et vous éteignez dans le bon ordre.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En fin de travail, refermer le poste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Reconnaître les trois flammes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Orienter la buse, préparer l’allumeur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Allumer à la buse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ouvert, pas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Gaz ouvert trop grand pour la buse.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flamme qui se décolle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L’habitude du « juste une seconde ».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chalumeau posé allumé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Hésitation, allumeur pas prêt.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8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3.1 · 30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tendre à l’étain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anneau d’étain régulier, étanche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a filé tout autour du joint et forme un anneau régulier. Le cuivre n’est pas noirci, le décapant est essuyé.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modérément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Essuyer, puis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Protéger autour du joint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Étaler le décapant sur les deux pièces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 qui ne prend pas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n’a pas été essuyé.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décapant oublié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Mauvais fil d’étain.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L’étain-plomb sur l’eau potable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Cuivre mal nettoyé, ou oxydé par une chauffe trop forte.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19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3 · Braser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3.2 · 40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brasure forte sous azote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joint brasé plein, propre à l’intérieur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L’apport a rempli le joint tout autour ; le cuivre n’est pas brûlé ; l’intérieur du tube est resté couleur cuivre, sans calamine.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Chauffer les deux pièces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Retirer la flamme, laisser refroidir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 la zone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la baguette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surchauffe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touché trop tôt ; matière inflammable près du joint.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cordon interrompu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Flamme trop forte, ou trop longtemps au même endroit.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brûlure et le feu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Un côté du joint trop froid, ou un jeu trop large ou trop serré.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0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4.1 · 45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Le chapeau de gendarme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Un contournement symétrique, branches alignées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passe par-dessus l’obstacle avec un coude central et deux coudes de moitié. Les deux côtés sont égaux, les deux branches restent sur la même ligne.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l’alignement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Cintrer le coude A, à la moitié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 l’axe du chapeau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Choisir l’angle central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désaxées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 non recuit,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Coudes A et B différents, ou pas à égale distance de l’axe.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écrasé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entre deux coudes.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1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7000"/>
        <w:gridCol w:w="3546"/>
      </w:tblGrid>
      <w:tr>
        <w:trPr>
          <w:cantSplit/>
        </w:trPr>
        <w:tc>
          <w:tcPr>
            <w:tcW w:type="dxa" w:w="7000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Ligne 4 · Les pièces complexes</w:t>
            </w:r>
          </w:p>
        </w:tc>
        <w:tc>
          <w:tcPr>
            <w:tcW w:type="dxa" w:w="3546"/>
            <w:tcBorders>
              <w:top w:val="none"/>
              <w:left w:val="none"/>
              <w:bottom w:val="single" w:color="B8692E" w:sz="8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Station 4.2 · 35 min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50"/>
          <w:szCs w:val="50"/>
        </w:rPr>
        <w:t xml:space="preserve">La baïonnette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400"/>
        <w:gridCol w:w="4880"/>
        <w:gridCol w:w="1266"/>
      </w:tblGrid>
      <w:tr>
        <w:trPr>
          <w:cantSplit/>
        </w:trPr>
        <w:tc>
          <w:tcPr>
            <w:tcW w:type="dxa" w:w="44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drawing>
                <wp:inline distT="0" distB="0" distL="0" distR="0">
                  <wp:extent cx="280987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8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Mon but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0"/>
                <w:szCs w:val="30"/>
              </w:rPr>
              <w:t xml:space="preserve">Deux branches parallèles, décalées à la cote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Deux coudes égaux en sens opposés décalent le tube parallèlement à lui-même, de la valeur du plan.</w:t>
            </w:r>
          </w:p>
        </w:tc>
        <w:tc>
          <w:tcPr>
            <w:tcW w:type="dxa" w:w="126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  <w:jc w:val="center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Scannez : la station</w:t>
            </w:r>
          </w:p>
        </w:tc>
      </w:tr>
    </w:tbl>
    <w:p>
      <w:pPr>
        <w:spacing w:after="30" w:before="16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1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Remettez les gestes dans l’ordre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1, 2, 3, 4 dans les cases.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20"/>
        <w:gridCol w:w="9926"/>
      </w:tblGrid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Retourner le tube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Régler le décalage à la règle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 parallélisme et le décalage</w:t>
            </w:r>
          </w:p>
        </w:tc>
      </w:tr>
      <w:tr>
        <w:trPr>
          <w:cantSplit/>
          <w:trHeight w:val="620" w:hRule="atLeast"/>
        </w:trPr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962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Tracer le début du premier coude</w:t>
            </w:r>
          </w:p>
        </w:tc>
      </w:tr>
    </w:tbl>
    <w:p>
      <w:pPr>
        <w:spacing w:after="30" w:before="200"/>
      </w:pPr>
      <w:r>
        <w:rPr>
          <w:rFonts w:ascii="Calibri" w:cs="Calibri" w:eastAsia="Calibri" w:hAnsi="Calibri"/>
          <w:b/>
          <w:bCs/>
          <w:color w:val="FFFFFF"/>
          <w:sz w:val="30"/>
          <w:szCs w:val="30"/>
          <w:shd w:fill="B8692E" w:val="clear"/>
        </w:rPr>
        <w:t xml:space="preserve"> Défi 2 </w:t>
      </w:r>
      <w:r>
        <w:rPr>
          <w:rFonts w:ascii="Trebuchet MS" w:cs="Trebuchet MS" w:eastAsia="Trebuchet MS" w:hAnsi="Trebuchet MS"/>
          <w:b/>
          <w:bCs/>
          <w:color w:val="1B3A63"/>
          <w:sz w:val="30"/>
          <w:szCs w:val="30"/>
        </w:rPr>
        <w:t xml:space="preserve">  Reliez chaque piège à sa cause</w:t>
      </w:r>
    </w:p>
    <w:p>
      <w:pPr>
        <w:spacing w:after="40" w:line="240"/>
      </w:pPr>
      <w:r>
        <w:rPr>
          <w:rFonts w:ascii="Calibri" w:cs="Calibri" w:eastAsia="Calibri" w:hAnsi="Calibri"/>
          <w:color w:val="56657A"/>
          <w:sz w:val="28"/>
          <w:szCs w:val="28"/>
        </w:rPr>
        <w:t xml:space="preserve">Écrivez la bonne lettre dans la case.</w:t>
      </w: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20"/>
        <w:gridCol w:w="3300"/>
        <w:gridCol w:w="620"/>
        <w:gridCol w:w="520"/>
        <w:gridCol w:w="5586"/>
      </w:tblGrid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1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branches qui divergent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A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Tube écroui, ou cintrage forcé.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2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pièce gauchie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B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Les deux coudes n’ont pas le même angle.</w:t>
            </w:r>
          </w:p>
        </w:tc>
      </w:tr>
      <w:tr>
        <w:trPr>
          <w:cantSplit/>
          <w:trHeight w:val="700" w:hRule="atLeast"/>
        </w:trPr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28"/>
                <w:szCs w:val="28"/>
              </w:rPr>
              <w:t xml:space="preserve">3</w:t>
            </w:r>
          </w:p>
        </w:tc>
        <w:tc>
          <w:tcPr>
            <w:tcW w:type="dxa" w:w="330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coude pincé</w:t>
            </w:r>
          </w:p>
        </w:tc>
        <w:tc>
          <w:tcPr>
            <w:tcW w:type="dxa" w:w="620"/>
            <w:tcBorders>
              <w:top w:val="single" w:color="1B3A63" w:sz="10"/>
              <w:left w:val="single" w:color="1B3A63" w:sz="10"/>
              <w:bottom w:val="single" w:color="1B3A63" w:sz="10"/>
              <w:right w:val="single" w:color="1B3A63" w:sz="10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 </w:t>
            </w:r>
          </w:p>
        </w:tc>
        <w:tc>
          <w:tcPr>
            <w:tcW w:type="dxa" w:w="520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8692E"/>
                <w:sz w:val="28"/>
                <w:szCs w:val="28"/>
              </w:rPr>
              <w:t xml:space="preserve">C</w:t>
            </w:r>
          </w:p>
        </w:tc>
        <w:tc>
          <w:tcPr>
            <w:tcW w:type="dxa" w:w="558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Le tube a tourné autour de son axe en le retournant.</w:t>
            </w:r>
          </w:p>
        </w:tc>
      </w:tr>
    </w:tbl>
    <w:p>
      <w:pPr>
        <w:spacing w:after="0" w:before="0" w:line="120"/>
      </w:pPr>
    </w:p>
    <w:tbl>
      <w:tblPr>
        <w:tblW w:type="dxa" w:w="10546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6000"/>
        <w:gridCol w:w="4546"/>
      </w:tblGrid>
      <w:tr>
        <w:trPr>
          <w:cantSplit/>
          <w:trHeight w:val="2000" w:hRule="atLeast"/>
        </w:trPr>
        <w:tc>
          <w:tcPr>
            <w:tcW w:type="dxa" w:w="6000"/>
            <w:tcBorders>
              <w:top w:val="dashed" w:color="1B3A63" w:sz="8"/>
              <w:left w:val="dashed" w:color="1B3A63" w:sz="8"/>
              <w:bottom w:val="dashed" w:color="1B3A63" w:sz="8"/>
              <w:right w:val="dashed" w:color="1B3A63" w:sz="8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top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56657A"/>
                <w:sz w:val="28"/>
                <w:szCs w:val="28"/>
              </w:rPr>
              <w:t xml:space="preserve">Tampon du professeur</w:t>
            </w:r>
          </w:p>
        </w:tc>
        <w:tc>
          <w:tcPr>
            <w:tcW w:type="dxa" w:w="4546"/>
            <w:tcBorders>
              <w:top w:val="none"/>
              <w:left w:val="none"/>
              <w:bottom w:val="none"/>
              <w:right w:val="none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Date : ____________________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Niveau (le professeur entoure)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B3A63"/>
                <w:sz w:val="36"/>
                <w:szCs w:val="36"/>
              </w:rPr>
              <w:t xml:space="preserve">0     1     2     3     4</w:t>
            </w:r>
          </w:p>
        </w:tc>
      </w:tr>
    </w:tbl>
    <w:p>
      <w:pPr>
        <w:sectPr>
          <w:footerReference w:type="default" r:id="rId22"/>
          <w:pgSz w:w="11906" w:h="16838" w:orient="portrait"/>
          <w:pgMar w:top="500" w:right="680" w:bottom="900" w:left="680" w:header="708" w:footer="300" w:gutter="0"/>
          <w:pgNumType/>
          <w:docGrid w:linePitch="360"/>
        </w:sectPr>
      </w:pPr>
    </w:p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4"/>
          <w:szCs w:val="44"/>
        </w:rPr>
        <w:t xml:space="preserve">Les cinq niveaux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évalué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La station n’a pas été traitée.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Non 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non conforme : le geste doit être remontré par le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En cours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après une reprise, ou avec l’aide du professeur.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Acquis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conforme, geste correct, autocontrôle fait seul.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b/>
                <w:bCs/>
                <w:color w:val="10233C"/>
                <w:sz w:val="28"/>
                <w:szCs w:val="28"/>
              </w:rPr>
              <w:t xml:space="preserve">Parfaitement maîtrisé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Pièce conforme du premier coup, geste sûr, et l’élève explique le pourquoi de chaque étape.</w:t>
            </w:r>
          </w:p>
        </w:tc>
      </w:tr>
    </w:tbl>
    <w:p>
      <w:pPr>
        <w:spacing w:after="100"/>
      </w:pPr>
      <w:r>
        <w:rPr>
          <w:rFonts w:ascii="Trebuchet MS" w:cs="Trebuchet MS" w:eastAsia="Trebuchet MS" w:hAnsi="Trebuchet MS"/>
          <w:b/>
          <w:bCs/>
          <w:color w:val="1B3A63"/>
          <w:sz w:val="40"/>
          <w:szCs w:val="40"/>
        </w:rPr>
        <w:t xml:space="preserve">Ce que je travaille : les codes du référentiel</w:t>
      </w:r>
    </w:p>
    <w:tbl>
      <w:tblPr>
        <w:tblW w:type="dxa" w:w="105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9646"/>
      </w:tblGrid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T6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Préparer, vérifier les matériels et les outillages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T10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Repérer, raccorder, assembler les réseaux fluidiques, aérauliques et électriques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T12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Respecter les consignes de sécurité et protéger la zone de travail durant les travaux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C2.2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Contrôler les éléments nécessaires à la réalisation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Organiser le poste de travail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C3.4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Façonner, raccorder, assembler, isoler, les circuits (frigorifique, hydraulique, aéraulique)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S0.2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Gestion de l’environnement du site d’intervention et des déchets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S2.1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Outils, normes et représentation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S5.5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Réseaux fluidiques et mécanique des fluides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S6.2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Connaissance des principaux risques et des moyens de prévention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S6.3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Identification des dangers et prévention des risques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shd w:fill="1B3A63" w:val="clear"/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8"/>
                <w:szCs w:val="28"/>
              </w:rPr>
              <w:t xml:space="preserve">S6.4</w:t>
            </w:r>
          </w:p>
        </w:tc>
        <w:tc>
          <w:tcPr>
            <w:tcW w:type="dxa" w:w="9646"/>
            <w:tcBorders>
              <w:top w:val="single" w:color="1B3A63" w:sz="6"/>
              <w:left w:val="single" w:color="1B3A63" w:sz="6"/>
              <w:bottom w:val="single" w:color="1B3A63" w:sz="6"/>
              <w:right w:val="single" w:color="1B3A63" w:sz="6"/>
            </w:tcBorders>
            <w:tcMar>
              <w:top w:type="dxa" w:w="25"/>
              <w:left w:type="dxa" w:w="90"/>
              <w:bottom w:type="dxa" w:w="25"/>
              <w:right w:type="dxa" w:w="90"/>
            </w:tcMar>
            <w:vAlign w:val="center"/>
          </w:tcPr>
          <w:p>
            <w:pPr>
              <w:spacing w:after="40" w:line="240"/>
            </w:pPr>
            <w:r>
              <w:rPr>
                <w:rFonts w:ascii="Calibri" w:cs="Calibri" w:eastAsia="Calibri" w:hAnsi="Calibri"/>
                <w:color w:val="10233C"/>
                <w:sz w:val="28"/>
                <w:szCs w:val="28"/>
              </w:rPr>
              <w:t xml:space="preserve">PRAP - SST</w:t>
            </w:r>
          </w:p>
        </w:tc>
      </w:tr>
    </w:tbl>
    <w:sectPr>
      <w:footerReference w:type="default" r:id="rId23"/>
      <w:pgSz w:w="11906" w:h="16838" w:orient="portrait"/>
      <w:pgMar w:top="500" w:right="680" w:bottom="900" w:left="68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T12 · compétence C3.1 · savoirs S6.3, S6.2, S0.2,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T6 · compétences C3.4, C2.2 · savoir S5.5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S2.1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T6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T12, T10 · compétences C3.1, C3.4 · savoirs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T10, T12 · compétence C3.4 · savoirs S5.5, S6.2, S6.3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 T10 · compétence C3.4 · savoirs S5.5, S6.2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8692E" w:sz="8" w:space="4"/>
      </w:pBdr>
      <w:spacing w:after="20"/>
    </w:pPr>
    <w:r>
      <w:rPr>
        <w:rFonts w:ascii="Calibri" w:cs="Calibri" w:eastAsia="Calibri" w:hAnsi="Calibri"/>
        <w:b/>
        <w:bCs/>
        <w:color w:val="1B3A63"/>
        <w:sz w:val="28"/>
        <w:szCs w:val="28"/>
      </w:rPr>
      <w:t xml:space="preserve">CAP IFCA · tâches T6, T10, T12 · compétences C2.2, C3.1, C3.4 · savoirs S0.2, S2.1, S5.5, S6.2, S6.3, S6.4</w:t>
    </w:r>
  </w:p>
  <w:p>
    <w:pPr>
      <w:tabs>
        <w:tab w:val="right" w:pos="10546"/>
      </w:tabs>
    </w:pPr>
    <w:r>
      <w:rPr>
        <w:rFonts w:ascii="Segoe UI Emoji" w:cs="Segoe UI Emoji" w:eastAsia="Segoe UI Emoji" w:hAnsi="Segoe UI Emoji"/>
        <w:color w:val="1B3A63"/>
        <w:sz w:val="28"/>
        <w:szCs w:val="28"/>
      </w:rPr>
      <w:t xml:space="preserve">❄ </w:t>
    </w:r>
    <w:r>
      <w:rPr>
        <w:rFonts w:ascii="Trebuchet MS" w:cs="Trebuchet MS" w:eastAsia="Trebuchet MS" w:hAnsi="Trebuchet MS"/>
        <w:b/>
        <w:bCs/>
        <w:color w:val="1B3A63"/>
        <w:sz w:val="32"/>
        <w:szCs w:val="32"/>
      </w:rPr>
      <w:t xml:space="preserve">iner</w:t>
    </w:r>
    <w:r>
      <w:rPr>
        <w:rFonts w:ascii="Segoe Script" w:cs="Segoe Script" w:eastAsia="Segoe Script" w:hAnsi="Segoe Script"/>
        <w:color w:val="1B3A63"/>
        <w:sz w:val="32"/>
        <w:szCs w:val="32"/>
      </w:rPr>
      <w:t xml:space="preserve">Web</w:t>
    </w:r>
    <w:r>
      <w:rPr>
        <w:rFonts w:ascii="Segoe UI" w:cs="Segoe UI" w:eastAsia="Segoe UI" w:hAnsi="Segoe UI"/>
        <w:b/>
        <w:bCs/>
        <w:color w:val="FFFFFF"/>
        <w:sz w:val="28"/>
        <w:szCs w:val="28"/>
        <w:shd w:fill="E8914A" w:val="clear"/>
      </w:rPr>
      <w:t xml:space="preserve"> CuivRézo </w:t>
    </w:r>
    <w:r>
      <w:rPr>
        <w:rFonts w:ascii="Calibri" w:cs="Calibri" w:eastAsia="Calibri" w:hAnsi="Calibri"/>
        <w:color w:val="56657A"/>
        <w:sz w:val="28"/>
        <w:szCs w:val="28"/>
      </w:rPr>
      <w:t xml:space="preserve">	© inerWeb 2026 · CC BY-NC-ND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footer" Target="footer10.xml"/><Relationship Id="rId17" Type="http://schemas.openxmlformats.org/officeDocument/2006/relationships/footer" Target="footer11.xml"/><Relationship Id="rId18" Type="http://schemas.openxmlformats.org/officeDocument/2006/relationships/footer" Target="footer12.xml"/><Relationship Id="rId19" Type="http://schemas.openxmlformats.org/officeDocument/2006/relationships/footer" Target="footer13.xml"/><Relationship Id="rId20" Type="http://schemas.openxmlformats.org/officeDocument/2006/relationships/footer" Target="footer14.xml"/><Relationship Id="rId21" Type="http://schemas.openxmlformats.org/officeDocument/2006/relationships/footer" Target="footer15.xml"/><Relationship Id="rId22" Type="http://schemas.openxmlformats.org/officeDocument/2006/relationships/footer" Target="footer16.xml"/><Relationship Id="rId23" Type="http://schemas.openxmlformats.org/officeDocument/2006/relationships/footer" Target="footer17.xml"/><Relationship Id="rId24" Type="http://schemas.openxmlformats.org/officeDocument/2006/relationships/image" Target="media/d68545cea8747f7642d36c4602e9f5a69b6aab20.png"/><Relationship Id="rId25" Type="http://schemas.openxmlformats.org/officeDocument/2006/relationships/image" Target="media/951f5c07034033aa7024782d7573e27520b5d98f.png"/><Relationship Id="rId26" Type="http://schemas.openxmlformats.org/officeDocument/2006/relationships/image" Target="media/18c90f158b886d53da7c04cba9a73df7bfb43795.png"/><Relationship Id="rId27" Type="http://schemas.openxmlformats.org/officeDocument/2006/relationships/image" Target="media/b9de6f72bf3a78b63ca460cf7cdcee41deb248cb.png"/><Relationship Id="rId28" Type="http://schemas.openxmlformats.org/officeDocument/2006/relationships/image" Target="media/0bbef4a49e40234bd5ab1c0ed9270f6aea652967.png"/><Relationship Id="rId29" Type="http://schemas.openxmlformats.org/officeDocument/2006/relationships/image" Target="media/c198cad146e21bb0b2a576b90407d34f3b87314a.png"/><Relationship Id="rId30" Type="http://schemas.openxmlformats.org/officeDocument/2006/relationships/image" Target="media/95056e5d0498a406404427fd6408542bb8e06cad.png"/><Relationship Id="rId31" Type="http://schemas.openxmlformats.org/officeDocument/2006/relationships/image" Target="media/0e521cdbb386c449ce99a6c02fcf57a56abd99eb.png"/><Relationship Id="rId32" Type="http://schemas.openxmlformats.org/officeDocument/2006/relationships/image" Target="media/b9c777eea8594016b802d768bc35c8e1ce7060d0.png"/><Relationship Id="rId33" Type="http://schemas.openxmlformats.org/officeDocument/2006/relationships/image" Target="media/36b7772b1af1b51dcee2085c1e41f235ad3c51fe.png"/><Relationship Id="rId34" Type="http://schemas.openxmlformats.org/officeDocument/2006/relationships/image" Target="media/b4da0b9719536cc430a170a907d6ea370c43b2d6.png"/><Relationship Id="rId35" Type="http://schemas.openxmlformats.org/officeDocument/2006/relationships/image" Target="media/fef101f4e5272793daa050dff9d19935bc5cf704.png"/><Relationship Id="rId36" Type="http://schemas.openxmlformats.org/officeDocument/2006/relationships/image" Target="media/faae4e88838734960a4ae5d3386a717bcdf545c2.png"/><Relationship Id="rId37" Type="http://schemas.openxmlformats.org/officeDocument/2006/relationships/image" Target="media/04cc9cbb8439a3218f6e87d38049e13ed59ee975.png"/><Relationship Id="rId38" Type="http://schemas.openxmlformats.org/officeDocument/2006/relationships/image" Target="media/a5c7af877b59bdcdb1fb03287f0d37d58c171f2e.png"/><Relationship Id="rId39" Type="http://schemas.openxmlformats.org/officeDocument/2006/relationships/image" Target="media/df506d9b7050022150a8ccc594cc2981910edf15.png"/><Relationship Id="rId40" Type="http://schemas.openxmlformats.org/officeDocument/2006/relationships/image" Target="media/93c1f3aea1ab22c139c05b3f160b12db9de195c9.png"/><Relationship Id="rId41" Type="http://schemas.openxmlformats.org/officeDocument/2006/relationships/image" Target="media/b28896f1aba5ad09943e2745977d8287a5aee4fc.png"/><Relationship Id="rId42" Type="http://schemas.openxmlformats.org/officeDocument/2006/relationships/image" Target="media/c6ceb41aebe91cb067ba500e4727b6923a3f2b4f.png"/><Relationship Id="rId43" Type="http://schemas.openxmlformats.org/officeDocument/2006/relationships/image" Target="media/6a569ade2afe633263c6d81411cd8c9a6f126f21.png"/><Relationship Id="rId44" Type="http://schemas.openxmlformats.org/officeDocument/2006/relationships/image" Target="media/2c4a6c127c849e9630ed21f9dcef6ebfc40391cc.png"/><Relationship Id="rId45" Type="http://schemas.openxmlformats.org/officeDocument/2006/relationships/image" Target="media/01e53d2c12e8d227c51ae81b28bae6d398fcbbe2.png"/><Relationship Id="rId46" Type="http://schemas.openxmlformats.org/officeDocument/2006/relationships/image" Target="media/49a8bf8491a2e5c0663a2ef4d876d3a85cf4e818.png"/><Relationship Id="rId47" Type="http://schemas.openxmlformats.org/officeDocument/2006/relationships/image" Target="media/320188fca83e1ecb90f5dddcc85b4f14eb73583f.png"/><Relationship Id="rId48" Type="http://schemas.openxmlformats.org/officeDocument/2006/relationships/image" Target="media/b1e223ffefb25c90c435a2b6d10eb7d75ffa7664.png"/><Relationship Id="rId49" Type="http://schemas.openxmlformats.org/officeDocument/2006/relationships/image" Target="media/d52266bf1af255b6237a1c8fa8c97e017de40301.png"/><Relationship Id="rId50" Type="http://schemas.openxmlformats.org/officeDocument/2006/relationships/image" Target="media/3d177a423be32a4b78f330c385fa00b65063d5ef.png"/><Relationship Id="rId51" Type="http://schemas.openxmlformats.org/officeDocument/2006/relationships/image" Target="media/ab8802ff63453bffdef304f375537162f9bb5a59.png"/><Relationship Id="rId52" Type="http://schemas.openxmlformats.org/officeDocument/2006/relationships/image" Target="media/e2d68fecbfb29580fe17ad3c0e2903c32f1b48f7.pn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CuivRézo — mon passeport du cuivre</dc:title>
  <dc:creator>inerWeb</dc:creator>
  <cp:lastModifiedBy>Un-named</cp:lastModifiedBy>
  <cp:revision>1</cp:revision>
  <dcterms:created xsi:type="dcterms:W3CDTF">2026-10-01T07:30:42.743Z</dcterms:created>
  <dcterms:modified xsi:type="dcterms:W3CDTF">2026-10-01T07:30:42.743Z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