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  <Override ContentType="application/vnd.openxmlformats-officedocument.wordprocessingml.footer+xml" PartName="/word/footer10.xml"/>
  <Override ContentType="application/vnd.openxmlformats-officedocument.wordprocessingml.footer+xml" PartName="/word/footer11.xml"/>
  <Override ContentType="application/vnd.openxmlformats-officedocument.wordprocessingml.footer+xml" PartName="/word/footer12.xml"/>
  <Override ContentType="application/vnd.openxmlformats-officedocument.wordprocessingml.footer+xml" PartName="/word/footer13.xml"/>
  <Override ContentType="application/vnd.openxmlformats-officedocument.wordprocessingml.footer+xml" PartName="/word/footer14.xml"/>
  <Override ContentType="application/vnd.openxmlformats-officedocument.wordprocessingml.footer+xml" PartName="/word/footer15.xml"/>
  <Override ContentType="application/vnd.openxmlformats-officedocument.wordprocessingml.footer+xml" PartName="/word/footer16.xml"/>
  <Override ContentType="application/vnd.openxmlformats-officedocument.wordprocessingml.footer+xml" PartName="/word/footer17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drawing>
          <wp:inline distT="0" distB="0" distL="0" distR="0">
            <wp:extent cx="6696075" cy="4467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6075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/>
      </w:pPr>
      <w:r>
        <w:rPr>
          <w:rFonts w:ascii="Trebuchet MS" w:cs="Trebuchet MS" w:eastAsia="Trebuchet MS" w:hAnsi="Trebuchet MS"/>
          <w:b/>
          <w:bCs/>
          <w:color w:val="B8692E"/>
          <w:sz w:val="32"/>
          <w:szCs w:val="32"/>
        </w:rPr>
        <w:t xml:space="preserve">CuivRézo · CAP IFCA</w:t>
      </w:r>
    </w:p>
    <w:p>
      <w:pPr>
        <w:spacing w:after="60"/>
      </w:pPr>
      <w:r>
        <w:rPr>
          <w:rFonts w:ascii="Trebuchet MS" w:cs="Trebuchet MS" w:eastAsia="Trebuchet MS" w:hAnsi="Trebuchet MS"/>
          <w:b/>
          <w:bCs/>
          <w:color w:val="1B3A63"/>
          <w:sz w:val="80"/>
          <w:szCs w:val="80"/>
        </w:rPr>
        <w:t xml:space="preserve">Mon passeport </w:t>
      </w:r>
      <w:r>
        <w:rPr>
          <w:rFonts w:ascii="Trebuchet MS" w:cs="Trebuchet MS" w:eastAsia="Trebuchet MS" w:hAnsi="Trebuchet MS"/>
          <w:b/>
          <w:bCs/>
          <w:color w:val="B8692E"/>
          <w:sz w:val="80"/>
          <w:szCs w:val="80"/>
        </w:rPr>
        <w:t xml:space="preserve">du cuivre</w:t>
      </w:r>
    </w:p>
    <w:p>
      <w:pPr>
        <w:spacing w:after="300"/>
      </w:pPr>
      <w:r>
        <w:rPr>
          <w:rFonts w:ascii="Calibri" w:cs="Calibri" w:eastAsia="Calibri" w:hAnsi="Calibri"/>
          <w:color w:val="56657A"/>
          <w:sz w:val="32"/>
          <w:szCs w:val="32"/>
        </w:rPr>
        <w:t xml:space="preserve">14 stations · 4 lignes · un tampon à chaque geste réussi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1B3A63"/>
          <w:sz w:val="32"/>
          <w:szCs w:val="32"/>
        </w:rPr>
        <w:t xml:space="preserve">Nom : ________________________________________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1B3A63"/>
          <w:sz w:val="32"/>
          <w:szCs w:val="32"/>
        </w:rPr>
        <w:t xml:space="preserve">Prénom : ________________________________________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1B3A63"/>
          <w:sz w:val="32"/>
          <w:szCs w:val="32"/>
        </w:rPr>
        <w:t xml:space="preserve">Classe : ________________________________________</w:t>
      </w:r>
    </w:p>
    <w:tbl>
      <w:tblPr>
        <w:tblW w:type="dxa" w:w="105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37"/>
        <w:gridCol w:w="2637"/>
        <w:gridCol w:w="2637"/>
        <w:gridCol w:w="2637"/>
      </w:tblGrid>
      <w:tr>
        <w:trPr>
          <w:cantSplit/>
        </w:trPr>
        <w:tc>
          <w:tcPr>
            <w:tcW w:type="dxa" w:w="2637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32"/>
                <w:szCs w:val="32"/>
              </w:rPr>
              <w:t xml:space="preserve">1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Les gestes de base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8 stations</w:t>
            </w:r>
          </w:p>
        </w:tc>
        <w:tc>
          <w:tcPr>
            <w:tcW w:type="dxa" w:w="2637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32"/>
                <w:szCs w:val="32"/>
              </w:rPr>
              <w:t xml:space="preserve">2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Le chalumeau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2 stations</w:t>
            </w:r>
          </w:p>
        </w:tc>
        <w:tc>
          <w:tcPr>
            <w:tcW w:type="dxa" w:w="2637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32"/>
                <w:szCs w:val="32"/>
              </w:rPr>
              <w:t xml:space="preserve">3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Braser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2 stations</w:t>
            </w:r>
          </w:p>
        </w:tc>
        <w:tc>
          <w:tcPr>
            <w:tcW w:type="dxa" w:w="2637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32"/>
                <w:szCs w:val="32"/>
              </w:rPr>
              <w:t xml:space="preserve">4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Les pièces complexes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2 stations</w:t>
            </w:r>
          </w:p>
        </w:tc>
      </w:tr>
    </w:tbl>
    <w:p>
      <w:pPr>
        <w:sectPr>
          <w:footerReference w:type="default" r:id="rId7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2"/>
          <w:szCs w:val="52"/>
        </w:rPr>
        <w:t xml:space="preserve">Mon parcours</w:t>
      </w:r>
    </w:p>
    <w:p>
      <w:pPr>
        <w:spacing w:after="100"/>
      </w:pPr>
      <w:r>
        <w:rPr>
          <w:rFonts w:ascii="Calibri" w:cs="Calibri" w:eastAsia="Calibri" w:hAnsi="Calibri"/>
          <w:color w:val="10233C"/>
          <w:sz w:val="28"/>
          <w:szCs w:val="28"/>
        </w:rPr>
        <w:t xml:space="preserve">Chaque station réussie donne un tampon du professeur. Suivez les lignes dans l’ordre.</w:t>
      </w:r>
    </w:p>
    <w:p>
      <w:pPr>
        <w:spacing w:after="60" w:before="100"/>
      </w:pPr>
      <w:r>
        <w:rPr>
          <w:rFonts w:ascii="Trebuchet MS" w:cs="Trebuchet MS" w:eastAsia="Trebuchet MS" w:hAnsi="Trebuchet MS"/>
          <w:b/>
          <w:bCs/>
          <w:color w:val="1B3A63"/>
          <w:sz w:val="32"/>
          <w:szCs w:val="32"/>
        </w:rPr>
        <w:t xml:space="preserve">1 · Ligne 1 · Les gestes de base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500"/>
        <w:gridCol w:w="3773"/>
        <w:gridCol w:w="1500"/>
        <w:gridCol w:w="3773"/>
      </w:tblGrid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1.0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Mon poste de travail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1.1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Reconnaître le tube</w:t>
            </w:r>
          </w:p>
        </w:tc>
      </w:tr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1.2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Mesurer et tracer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1.3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Couper et ébavurer</w:t>
            </w:r>
          </w:p>
        </w:tc>
      </w:tr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1.4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Cintrer à la cintrette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1.5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Cintrer à la cintreuse (L, R, 0)</w:t>
            </w:r>
          </w:p>
        </w:tc>
      </w:tr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1.6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dudgeon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1.7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L’emboîture à la pince</w:t>
            </w:r>
          </w:p>
        </w:tc>
      </w:tr>
    </w:tbl>
    <w:p>
      <w:pPr>
        <w:spacing w:after="60" w:before="100"/>
      </w:pPr>
      <w:r>
        <w:rPr>
          <w:rFonts w:ascii="Trebuchet MS" w:cs="Trebuchet MS" w:eastAsia="Trebuchet MS" w:hAnsi="Trebuchet MS"/>
          <w:b/>
          <w:bCs/>
          <w:color w:val="1B3A63"/>
          <w:sz w:val="32"/>
          <w:szCs w:val="32"/>
        </w:rPr>
        <w:t xml:space="preserve">2 · Ligne 2 · Le chalumeau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500"/>
        <w:gridCol w:w="3773"/>
        <w:gridCol w:w="1500"/>
        <w:gridCol w:w="3773"/>
      </w:tblGrid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2.1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poste oxyacétylénique en sécurité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2.2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Allumer, régler, éteindre la flamme</w:t>
            </w:r>
          </w:p>
        </w:tc>
      </w:tr>
    </w:tbl>
    <w:p>
      <w:pPr>
        <w:spacing w:after="60" w:before="100"/>
      </w:pPr>
      <w:r>
        <w:rPr>
          <w:rFonts w:ascii="Trebuchet MS" w:cs="Trebuchet MS" w:eastAsia="Trebuchet MS" w:hAnsi="Trebuchet MS"/>
          <w:b/>
          <w:bCs/>
          <w:color w:val="1B3A63"/>
          <w:sz w:val="32"/>
          <w:szCs w:val="32"/>
        </w:rPr>
        <w:t xml:space="preserve">3 · Ligne 3 · Braser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500"/>
        <w:gridCol w:w="3773"/>
        <w:gridCol w:w="1500"/>
        <w:gridCol w:w="3773"/>
      </w:tblGrid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3.1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brasure tendre à l’étain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3.2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brasure forte sous azote</w:t>
            </w:r>
          </w:p>
        </w:tc>
      </w:tr>
    </w:tbl>
    <w:p>
      <w:pPr>
        <w:spacing w:after="60" w:before="100"/>
      </w:pPr>
      <w:r>
        <w:rPr>
          <w:rFonts w:ascii="Trebuchet MS" w:cs="Trebuchet MS" w:eastAsia="Trebuchet MS" w:hAnsi="Trebuchet MS"/>
          <w:b/>
          <w:bCs/>
          <w:color w:val="1B3A63"/>
          <w:sz w:val="32"/>
          <w:szCs w:val="32"/>
        </w:rPr>
        <w:t xml:space="preserve">4 · Ligne 4 · Les pièces complexes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500"/>
        <w:gridCol w:w="3773"/>
        <w:gridCol w:w="1500"/>
        <w:gridCol w:w="3773"/>
      </w:tblGrid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4.1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chapeau de gendarme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4.2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baïonnette</w:t>
            </w:r>
          </w:p>
        </w:tc>
      </w:tr>
    </w:tbl>
    <w:p>
      <w:pPr>
        <w:spacing w:after="60" w:before="100"/>
      </w:pPr>
      <w:r>
        <w:rPr>
          <w:rFonts w:ascii="Trebuchet MS" w:cs="Trebuchet MS" w:eastAsia="Trebuchet MS" w:hAnsi="Trebuchet MS"/>
          <w:b/>
          <w:bCs/>
          <w:color w:val="1B3A63"/>
          <w:sz w:val="32"/>
          <w:szCs w:val="32"/>
        </w:rPr>
        <w:t xml:space="preserve">Comment ça marche ?</w:t>
      </w:r>
    </w:p>
    <w:p>
      <w:pPr>
        <w:spacing w:after="40" w:line="240"/>
      </w:pPr>
      <w:r>
        <w:rPr>
          <w:rFonts w:ascii="Calibri" w:cs="Calibri" w:eastAsia="Calibri" w:hAnsi="Calibri"/>
          <w:color w:val="10233C"/>
          <w:sz w:val="28"/>
          <w:szCs w:val="28"/>
        </w:rPr>
        <w:t xml:space="preserve">1. Scannez le QR de la page : la station s’ouvre sur la tablette.</w:t>
      </w:r>
    </w:p>
    <w:p>
      <w:pPr>
        <w:spacing w:after="40" w:line="240"/>
      </w:pPr>
      <w:r>
        <w:rPr>
          <w:rFonts w:ascii="Calibri" w:cs="Calibri" w:eastAsia="Calibri" w:hAnsi="Calibri"/>
          <w:color w:val="10233C"/>
          <w:sz w:val="28"/>
          <w:szCs w:val="28"/>
        </w:rPr>
        <w:t xml:space="preserve">2. Faites le geste à votre poste, en suivant la tablette.</w:t>
      </w:r>
    </w:p>
    <w:p>
      <w:pPr>
        <w:spacing w:after="40" w:line="240"/>
      </w:pPr>
      <w:r>
        <w:rPr>
          <w:rFonts w:ascii="Calibri" w:cs="Calibri" w:eastAsia="Calibri" w:hAnsi="Calibri"/>
          <w:color w:val="10233C"/>
          <w:sz w:val="28"/>
          <w:szCs w:val="28"/>
        </w:rPr>
        <w:t xml:space="preserve">3. Faites les deux défis de la page, au stylo. Sur la tablette, le défi donne aussi un tampon.</w:t>
      </w:r>
    </w:p>
    <w:p>
      <w:pPr>
        <w:spacing w:after="40" w:line="240"/>
      </w:pPr>
      <w:r>
        <w:rPr>
          <w:rFonts w:ascii="Calibri" w:cs="Calibri" w:eastAsia="Calibri" w:hAnsi="Calibri"/>
          <w:color w:val="10233C"/>
          <w:sz w:val="28"/>
          <w:szCs w:val="28"/>
        </w:rPr>
        <w:t xml:space="preserve">4. Appelez le professeur : il regarde votre pièce, tamponne et date.</w:t>
      </w:r>
    </w:p>
    <w:p>
      <w:pPr>
        <w:sectPr>
          <w:footerReference w:type="default" r:id="rId8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1.0 · 10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Mon poste de travail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poste prêt, un élève protégé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Avant le premier geste, vous êtes équipé, votre établi est dégagé, vos outils sont vérifiés et vous savez où sont les secours.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Je rassemble et je vérifie mes outils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Lunettes et gants, au bon moment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Je rends mon poste propre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Je m’équipe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protections oubliées ou retirées trop tôt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Serrage trop rapide, main entre les mors.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doigts dans l’étau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On veut chasser les copeaux.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Souffler dans un tube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L’habitude, ou la hâte de finir.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9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1.1 · 15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Reconnaître le tube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Le bon tube, nommé juste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Devant un tube, vous dites son nom en pouces, sa valeur en millimètres et son état : recuit en couronne, ou écroui en barre. Ses bouts restent bouchés.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Trouver le nom du tube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Reboucher le tube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Vérifier le zéro du pied à coulisse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Regarder comment le tube est livré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Mesurer l’intérieur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était écroui et on l’a pris pour un recuit.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Oublier le pouce entier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becs placés à l’intérieur du tube.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barre cintrée sans recuit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On n’a calculé que le huitième.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0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1.2 · 15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Mesurer et tracer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trait fin, à la bonne cote, sur tout le tour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porte un trait net, exactement à la cote du plan, qui fait le tour complet du tube.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Plaquer le tube contre la butée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Lire la cote et le diamètre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Remesurer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Marquer un trait fin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cote prise du mauvais bout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L’œil n’était pas au-dessus de la graduation.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lecture de biais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Une pointe à tracer appuyée sur le tube.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rayure profonde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Bout de référence changé en cours de route.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1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1.3 · 20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Couper et ébavurer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tube coupé d’équerre, sans bavure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est coupé à la cote. Sa face est droite et plane, son intérieur est lisse, et il est resté rond.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Resserrer un peu à chaque tour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Ébavurer l’extérieur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Vérifier le tube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Faire un premier tour lent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coupe inclinée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était tenu bout en haut pendant l’ébavurage.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écrasé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L’outil n’était pas perpendiculaire au tube au départ.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limaille dans le tube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molette a été serrée trop fort ou trop vite.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2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1.4 · 30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Cintrer à la cintrette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coude à 90°, 300 mm à l’axe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est d’équerre, la branche mesure 300 mm jusqu’à l’axe de l’autre branche, et le tube n’est ni écrasé ni vrillé.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Sortir la pièce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Contrôler l’outil, les mains hors de la pince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Trouver le rayon de votre cintrette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Cintrer doucement, à deux mains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écrasé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Arrêt au repère sans tenir compte de la détente.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trop long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Cintrage trop rapide, ou tube pas au fond de la gorge.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L’angle qui n’est pas à 90°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rayon n’a pas été retiré au traçage.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3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1.5 · 30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Cintrer à la cintreuse (L, R, 0)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coude à 90°, à la cote, du premier coup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1 : un tube 1/4″ coupé à 144 mm, un coude à 90°, des branches de 80 et 70 mm jusqu’à l’axe, à ± 1 mm.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Ouvrir la cintreuse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Dégager, puis enchaîner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Prendre la bonne cintreuse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Ou sur R, si la cote part de la droite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mauvaise cintreuse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n’était pas pile sur le repère.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mal aligné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sens de cintrage a changé, ou le tube a tourné entre deux coudes.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vrillée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Une cintreuse 1/4″ pour un tube 3/8″, ou l’inverse.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4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1.6 · 25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Le dudgeon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dudgeon régulier, l’écrou en place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bout du tube est évasé en cône à 45°, lisse, sans fissure. L’écrou, enfilé avant, vient le coiffer et se visse sur le raccord.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Dévisser et contrôler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Partir d’un bout parfait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Serrer au couple, à deux clés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Serrer le tube dans la barre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L’écrou oublié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Serrage au jugé, ou sans contre-clé.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dudgeon oblique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On a évasé avant d’enfiler l’écrou.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mauvais serrage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Coupe de travers, ou cône posé hors du centre.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5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1.7 · 20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L’emboîture à la pince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bout élargi où l’autre tube entre juste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bout du tube est élargi, droit dans l’axe, sans fente. Un tube du même diamètre y entre sans forcer et sans jouer : il est prêt pour la brasure.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Retirer et essayer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Tourner d’un quart de tour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Partir d’un bout parfait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Visser la tête sur la pince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L’emboîture fendue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On a élargi un tube encore chaud du recuit.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qui joue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écroui non recuit, bavure laissée, ou serrage en une seule fois.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tête bloquée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Tête trop grosse pour le tube.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6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2 · Le chalumeau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2.1 · 20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Le poste oxyacétylénique en sécurité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poste prêt à allumer, vérifié, sans fuite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Rien n’est allumé. Les bouteilles sont debout et arrimées, les pressions réglées, le poste est étanche, et le professeur l’a visé.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Vérifier le détendeur et le chalumeau fermés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Appeler le professeur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M’équiper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Régler la basse pression d’oxygène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graisse et l’oxygène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Précipitation, vis de détente serrée.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robinet ouvert brutalement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Rangement négligé.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bouteille couchée ou libre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Une main, un gant ou un chiffon gras sur le circuit d’oxygène.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7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2 · Le chalumeau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2.2 · 25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Allumer, régler, éteindre la flamme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Une flamme neutre, allumée et éteinte dans l’ordre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Devant le professeur, vous allumez, vous réglez une flamme neutre, vous nommez les deux autres, et vous éteignez dans le bon ordre.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fin de travail, refermer le poste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Reconnaître les trois flammes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Orienter la buse, préparer l’allumeur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Allumer à la buse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chalumeau ouvert, pas allumé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Gaz ouvert trop grand pour la buse.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flamme qui se décolle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L’habitude du « juste une seconde ».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chalumeau posé allumé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Hésitation, allumeur pas prêt.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8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3 · Braser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3.1 · 30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La brasure tendre à l’étain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anneau d’étain régulier, étanche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L’étain a filé tout autour du joint et forme un anneau régulier. Le cuivre n’est pas noirci, le décapant est essuyé.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Chauffer modérément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Essuyer, puis laisser refroidir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Protéger autour du joint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Étaler le décapant sur les deux pièces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L’étain qui ne prend pas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décapant n’a pas été essuyé.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décapant oublié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Mauvais fil d’étain.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L’étain-plomb sur l’eau potable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Cuivre mal nettoyé, ou oxydé par une chauffe trop forte.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9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3 · Braser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3.2 · 40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La brasure forte sous azote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joint brasé plein, propre à l’intérieur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L’apport a rempli le joint tout autour ; le cuivre n’est pas brûlé ; l’intérieur du tube est resté couleur cuivre, sans calamine.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Chauffer les deux pièces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Retirer la flamme, laisser refroidir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Préparer la zone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Choisir la baguette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surchauffe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touché trop tôt ; matière inflammable près du joint.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cordon interrompu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Flamme trop forte, ou trop longtemps au même endroit.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brûlure et le feu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 côté du joint trop froid, ou un jeu trop large ou trop serré.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20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4 · Les pièces complexes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4.1 · 45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Le chapeau de gendarme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contournement symétrique, branches alignées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passe par-dessus l’obstacle avec un coude central et deux coudes de moitié. Les deux côtés sont égaux, les deux branches restent sur la même ligne.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Contrôler l’alignement à la règle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Cintrer le coude A, à la moitié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Repérer l’axe du chapeau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Choisir l’angle central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branches désaxées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écroui non recuit, ou cintrage forcé.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gauchie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Coudes A et B différents, ou pas à égale distance de l’axe.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écrasé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a tourné entre deux coudes.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21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4 · Les pièces complexes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4.2 · 35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La baïonnette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Deux branches parallèles, décalées à la cote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Deux coudes égaux en sens opposés décalent le tube parallèlement à lui-même, de la valeur du plan.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Retourner le tube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Régler le décalage à la règle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Contrôler le parallélisme et le décalage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Tracer le début du premier coude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branches qui divergent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écroui, ou cintrage forcé.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gauchie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coudes n’ont pas le même angle.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pincé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a tourné autour de son axe en le retournant.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22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44"/>
          <w:szCs w:val="44"/>
        </w:rPr>
        <w:t xml:space="preserve">Les cinq niveaux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9646"/>
      </w:tblGrid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0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station n’a pas été traitée.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non conforme : le geste doit être remontré par le professeur.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conforme après une reprise, ou avec l’aide du professeur.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conforme, geste correct, autocontrôle fait seul.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4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conforme du premier coup, geste sûr, et l’élève explique le pourquoi de chaque étape.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40"/>
          <w:szCs w:val="40"/>
        </w:rPr>
        <w:t xml:space="preserve">Ce que je travaille : les codes du référentiel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9646"/>
      </w:tblGrid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T6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Préparer, vérifier les matériels et les outillages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T10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Repérer, raccorder, assembler les réseaux fluidiques, aérauliques et électriques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T12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Respecter les consignes de sécurité et protéger la zone de travail durant les travaux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C2.2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Contrôler les éléments nécessaires à la réalisation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C3.1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Organiser le poste de travail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C3.4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Façonner, raccorder, assembler, isoler, les circuits (frigorifique, hydraulique, aéraulique)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S0.2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Gestion de l’environnement du site d’intervention et des déchets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S2.1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Outils, normes et représentation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S5.5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Réseaux fluidiques et mécanique des fluides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S6.2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Connaissance des principaux risques et des moyens de prévention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S6.3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Identification des dangers et prévention des risques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S6.4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PRAP - SST</w:t>
            </w:r>
          </w:p>
        </w:tc>
      </w:tr>
    </w:tbl>
    <w:sectPr>
      <w:footerReference w:type="default" r:id="rId23"/>
      <w:pgSz w:w="11906" w:h="16838" w:orient="portrait"/>
      <w:pgMar w:top="500" w:right="680" w:bottom="900" w:left="68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T6, T10, T12 · compétences C2.2, C3.1, C3.4 · savoirs S0.2, S2.1, S5.5, S6.2, S6.3, S6.4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T6, T10, T12 · compétences C2.2, C3.1, C3.4 · savoirs S0.2, S2.1, S5.5, S6.2, S6.3, S6.4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T12 · compétence C3.1 · savoirs S6.3, S6.2, S0.2, S6.4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T10, T6 · compétences C3.4, C2.2 · savoir S5.5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 S2.1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T12, T6 · compétences C3.1, C3.4 · savoirs S6.2, S6.3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T12, T10 · compétences C3.1, C3.4 · savoirs S6.2, S6.3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T10, T12 · compétence C3.4 · savoirs S5.5, S6.2, S6.3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T10, T12 · compétence C3.4 · savoirs S5.5, S6.2, S6.3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T6, T10, T12 · compétences C2.2, C3.1, C3.4 · savoirs S0.2, S2.1, S5.5, S6.2, S6.3, S6.4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footer" Target="footer6.xml"/><Relationship Id="rId13" Type="http://schemas.openxmlformats.org/officeDocument/2006/relationships/footer" Target="footer7.xml"/><Relationship Id="rId14" Type="http://schemas.openxmlformats.org/officeDocument/2006/relationships/footer" Target="footer8.xml"/><Relationship Id="rId15" Type="http://schemas.openxmlformats.org/officeDocument/2006/relationships/footer" Target="footer9.xml"/><Relationship Id="rId16" Type="http://schemas.openxmlformats.org/officeDocument/2006/relationships/footer" Target="footer10.xml"/><Relationship Id="rId17" Type="http://schemas.openxmlformats.org/officeDocument/2006/relationships/footer" Target="footer11.xml"/><Relationship Id="rId18" Type="http://schemas.openxmlformats.org/officeDocument/2006/relationships/footer" Target="footer12.xml"/><Relationship Id="rId19" Type="http://schemas.openxmlformats.org/officeDocument/2006/relationships/footer" Target="footer13.xml"/><Relationship Id="rId20" Type="http://schemas.openxmlformats.org/officeDocument/2006/relationships/footer" Target="footer14.xml"/><Relationship Id="rId21" Type="http://schemas.openxmlformats.org/officeDocument/2006/relationships/footer" Target="footer15.xml"/><Relationship Id="rId22" Type="http://schemas.openxmlformats.org/officeDocument/2006/relationships/footer" Target="footer16.xml"/><Relationship Id="rId23" Type="http://schemas.openxmlformats.org/officeDocument/2006/relationships/footer" Target="footer17.xml"/><Relationship Id="rId24" Type="http://schemas.openxmlformats.org/officeDocument/2006/relationships/image" Target="media/d68545cea8747f7642d36c4602e9f5a69b6aab20.png"/><Relationship Id="rId25" Type="http://schemas.openxmlformats.org/officeDocument/2006/relationships/image" Target="media/951f5c07034033aa7024782d7573e27520b5d98f.png"/><Relationship Id="rId26" Type="http://schemas.openxmlformats.org/officeDocument/2006/relationships/image" Target="media/18c90f158b886d53da7c04cba9a73df7bfb43795.png"/><Relationship Id="rId27" Type="http://schemas.openxmlformats.org/officeDocument/2006/relationships/image" Target="media/b9de6f72bf3a78b63ca460cf7cdcee41deb248cb.png"/><Relationship Id="rId28" Type="http://schemas.openxmlformats.org/officeDocument/2006/relationships/image" Target="media/0bbef4a49e40234bd5ab1c0ed9270f6aea652967.png"/><Relationship Id="rId29" Type="http://schemas.openxmlformats.org/officeDocument/2006/relationships/image" Target="media/c198cad146e21bb0b2a576b90407d34f3b87314a.png"/><Relationship Id="rId30" Type="http://schemas.openxmlformats.org/officeDocument/2006/relationships/image" Target="media/95056e5d0498a406404427fd6408542bb8e06cad.png"/><Relationship Id="rId31" Type="http://schemas.openxmlformats.org/officeDocument/2006/relationships/image" Target="media/0e521cdbb386c449ce99a6c02fcf57a56abd99eb.png"/><Relationship Id="rId32" Type="http://schemas.openxmlformats.org/officeDocument/2006/relationships/image" Target="media/b9c777eea8594016b802d768bc35c8e1ce7060d0.png"/><Relationship Id="rId33" Type="http://schemas.openxmlformats.org/officeDocument/2006/relationships/image" Target="media/fe956b2bd4267f5bcd51369b07140ad819137a4a.png"/><Relationship Id="rId34" Type="http://schemas.openxmlformats.org/officeDocument/2006/relationships/image" Target="media/b4da0b9719536cc430a170a907d6ea370c43b2d6.png"/><Relationship Id="rId35" Type="http://schemas.openxmlformats.org/officeDocument/2006/relationships/image" Target="media/fef101f4e5272793daa050dff9d19935bc5cf704.png"/><Relationship Id="rId36" Type="http://schemas.openxmlformats.org/officeDocument/2006/relationships/image" Target="media/faae4e88838734960a4ae5d3386a717bcdf545c2.png"/><Relationship Id="rId37" Type="http://schemas.openxmlformats.org/officeDocument/2006/relationships/image" Target="media/04cc9cbb8439a3218f6e87d38049e13ed59ee975.png"/><Relationship Id="rId38" Type="http://schemas.openxmlformats.org/officeDocument/2006/relationships/image" Target="media/a5c7af877b59bdcdb1fb03287f0d37d58c171f2e.png"/><Relationship Id="rId39" Type="http://schemas.openxmlformats.org/officeDocument/2006/relationships/image" Target="media/df506d9b7050022150a8ccc594cc2981910edf15.png"/><Relationship Id="rId40" Type="http://schemas.openxmlformats.org/officeDocument/2006/relationships/image" Target="media/93c1f3aea1ab22c139c05b3f160b12db9de195c9.png"/><Relationship Id="rId41" Type="http://schemas.openxmlformats.org/officeDocument/2006/relationships/image" Target="media/b28896f1aba5ad09943e2745977d8287a5aee4fc.png"/><Relationship Id="rId42" Type="http://schemas.openxmlformats.org/officeDocument/2006/relationships/image" Target="media/c6ceb41aebe91cb067ba500e4727b6923a3f2b4f.png"/><Relationship Id="rId43" Type="http://schemas.openxmlformats.org/officeDocument/2006/relationships/image" Target="media/6a569ade2afe633263c6d81411cd8c9a6f126f21.png"/><Relationship Id="rId44" Type="http://schemas.openxmlformats.org/officeDocument/2006/relationships/image" Target="media/2c4a6c127c849e9630ed21f9dcef6ebfc40391cc.png"/><Relationship Id="rId45" Type="http://schemas.openxmlformats.org/officeDocument/2006/relationships/image" Target="media/01e53d2c12e8d227c51ae81b28bae6d398fcbbe2.png"/><Relationship Id="rId46" Type="http://schemas.openxmlformats.org/officeDocument/2006/relationships/image" Target="media/49a8bf8491a2e5c0663a2ef4d876d3a85cf4e818.png"/><Relationship Id="rId47" Type="http://schemas.openxmlformats.org/officeDocument/2006/relationships/image" Target="media/320188fca83e1ecb90f5dddcc85b4f14eb73583f.png"/><Relationship Id="rId48" Type="http://schemas.openxmlformats.org/officeDocument/2006/relationships/image" Target="media/b1e223ffefb25c90c435a2b6d10eb7d75ffa7664.png"/><Relationship Id="rId49" Type="http://schemas.openxmlformats.org/officeDocument/2006/relationships/image" Target="media/d52266bf1af255b6237a1c8fa8c97e017de40301.png"/><Relationship Id="rId50" Type="http://schemas.openxmlformats.org/officeDocument/2006/relationships/image" Target="media/3d177a423be32a4b78f330c385fa00b65063d5ef.png"/><Relationship Id="rId51" Type="http://schemas.openxmlformats.org/officeDocument/2006/relationships/image" Target="media/ab8802ff63453bffdef304f375537162f9bb5a59.png"/><Relationship Id="rId52" Type="http://schemas.openxmlformats.org/officeDocument/2006/relationships/image" Target="media/e2d68fecbfb29580fe17ad3c0e2903c32f1b48f7.png"/><Relationship Id="rId5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er12.xml.rels><?xml version="1.0" encoding="UTF-8"?><Relationships xmlns="http://schemas.openxmlformats.org/package/2006/relationships"/>
</file>

<file path=word/_rels/footer13.xml.rels><?xml version="1.0" encoding="UTF-8"?><Relationships xmlns="http://schemas.openxmlformats.org/package/2006/relationships"/>
</file>

<file path=word/_rels/footer14.xml.rels><?xml version="1.0" encoding="UTF-8"?><Relationships xmlns="http://schemas.openxmlformats.org/package/2006/relationships"/>
</file>

<file path=word/_rels/footer15.xml.rels><?xml version="1.0" encoding="UTF-8"?><Relationships xmlns="http://schemas.openxmlformats.org/package/2006/relationships"/>
</file>

<file path=word/_rels/footer16.xml.rels><?xml version="1.0" encoding="UTF-8"?><Relationships xmlns="http://schemas.openxmlformats.org/package/2006/relationships"/>
</file>

<file path=word/_rels/footer17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CuivRézo — mon passeport du cuivre</dc:title>
  <dc:creator>inerWeb</dc:creator>
  <cp:lastModifiedBy>Un-named</cp:lastModifiedBy>
  <cp:revision>1</cp:revision>
  <dcterms:created xsi:type="dcterms:W3CDTF">2026-09-30T07:00:52.633Z</dcterms:created>
  <dcterms:modified xsi:type="dcterms:W3CDTF">2026-09-30T07:00:52.647Z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