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7D24" w14:textId="77777777" w:rsidR="00296A4A" w:rsidRDefault="00296A4A">
      <w:pPr>
        <w:shd w:val="clear" w:color="auto" w:fill="FFFFFF"/>
        <w:divId w:val="1353723482"/>
        <w:rPr>
          <w:rFonts w:ascii="Calibri" w:eastAsia="Times New Roman" w:hAnsi="Calibri" w:cs="Calibri"/>
          <w:sz w:val="30"/>
          <w:szCs w:val="30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30"/>
          <w:szCs w:val="30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16798467" w14:textId="77777777" w:rsidR="00296A4A" w:rsidRDefault="00296A4A">
      <w:pPr>
        <w:shd w:val="clear" w:color="auto" w:fill="FFFFFF"/>
        <w:divId w:val="1182167461"/>
        <w:rPr>
          <w:rFonts w:ascii="Calibri" w:eastAsia="Times New Roman" w:hAnsi="Calibri" w:cs="Calibri"/>
          <w:sz w:val="30"/>
          <w:szCs w:val="30"/>
        </w:rPr>
      </w:pPr>
      <w:r>
        <w:rPr>
          <w:rFonts w:ascii="Calibri" w:eastAsia="Times New Roman" w:hAnsi="Calibri" w:cs="Calibri"/>
          <w:noProof/>
          <w:sz w:val="30"/>
          <w:szCs w:val="30"/>
        </w:rPr>
        <w:drawing>
          <wp:inline distT="0" distB="0" distL="0" distR="0" wp14:anchorId="0F424F5E" wp14:editId="1FC301A1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30"/>
          <w:szCs w:val="30"/>
        </w:rPr>
        <w:drawing>
          <wp:inline distT="0" distB="0" distL="0" distR="0" wp14:anchorId="4D1BE32D" wp14:editId="41E72045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3158" w14:textId="77777777" w:rsidR="00296A4A" w:rsidRDefault="00296A4A">
      <w:pPr>
        <w:pStyle w:val="Titre1"/>
        <w:shd w:val="clear" w:color="auto" w:fill="FFFFFF"/>
        <w:divId w:val="927814126"/>
        <w:rPr>
          <w:rFonts w:eastAsia="Times New Roman" w:cs="Calibri"/>
        </w:rPr>
      </w:pPr>
      <w:r>
        <w:rPr>
          <w:rFonts w:eastAsia="Times New Roman" w:cs="Calibri"/>
        </w:rPr>
        <w:t>Bon · À réviser · Hors service</w:t>
      </w:r>
    </w:p>
    <w:p w14:paraId="7D46D335" w14:textId="77777777" w:rsidR="00296A4A" w:rsidRDefault="00296A4A">
      <w:pPr>
        <w:pStyle w:val="sous-titre"/>
        <w:shd w:val="clear" w:color="auto" w:fill="FFFFFF"/>
        <w:divId w:val="927814126"/>
        <w:rPr>
          <w:rFonts w:cs="Calibri"/>
        </w:rPr>
      </w:pPr>
      <w:r>
        <w:rPr>
          <w:rFonts w:cs="Calibri"/>
        </w:rPr>
        <w:t>Atelier Façonnage — à afficher au poste</w:t>
      </w:r>
    </w:p>
    <w:p w14:paraId="21219B15" w14:textId="77777777" w:rsidR="00296A4A" w:rsidRDefault="00296A4A">
      <w:pPr>
        <w:shd w:val="clear" w:color="auto" w:fill="FFFFFF"/>
        <w:divId w:val="152039282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La règle :</w:t>
      </w:r>
      <w:r>
        <w:rPr>
          <w:rFonts w:ascii="Calibri" w:eastAsia="Times New Roman" w:hAnsi="Calibri" w:cs="Calibri"/>
          <w:sz w:val="28"/>
          <w:szCs w:val="28"/>
        </w:rPr>
        <w:t xml:space="preserve"> un seul défaut suffit pour classer « À réviser » ou « Hors service ». </w:t>
      </w:r>
      <w:r>
        <w:rPr>
          <w:rFonts w:ascii="Calibri" w:eastAsia="Times New Roman" w:hAnsi="Calibri" w:cs="Calibri"/>
          <w:b/>
          <w:bCs/>
          <w:sz w:val="28"/>
          <w:szCs w:val="28"/>
        </w:rPr>
        <w:t>Pour une cintreuse :</w:t>
      </w:r>
      <w:r>
        <w:rPr>
          <w:rFonts w:ascii="Calibri" w:eastAsia="Times New Roman" w:hAnsi="Calibri" w:cs="Calibri"/>
          <w:sz w:val="28"/>
          <w:szCs w:val="28"/>
        </w:rPr>
        <w:t xml:space="preserve"> je relève et je note la dimension gravée sur le corps ou la molette </w:t>
      </w:r>
      <w:r>
        <w:rPr>
          <w:rFonts w:ascii="Calibri" w:eastAsia="Times New Roman" w:hAnsi="Calibri" w:cs="Calibri"/>
          <w:b/>
          <w:bCs/>
          <w:sz w:val="28"/>
          <w:szCs w:val="28"/>
        </w:rPr>
        <w:t>avant</w:t>
      </w:r>
      <w:r>
        <w:rPr>
          <w:rFonts w:ascii="Calibri" w:eastAsia="Times New Roman" w:hAnsi="Calibri" w:cs="Calibri"/>
          <w:sz w:val="28"/>
          <w:szCs w:val="28"/>
        </w:rPr>
        <w:t xml:space="preserve"> de juger l'état — une cintreuse dont le marquage est illisible est déjà suspecte.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0"/>
        <w:gridCol w:w="1530"/>
        <w:gridCol w:w="1557"/>
        <w:gridCol w:w="1530"/>
      </w:tblGrid>
      <w:tr w:rsidR="00000000" w14:paraId="7D2ED9C8" w14:textId="77777777">
        <w:trPr>
          <w:divId w:val="927814126"/>
        </w:trPr>
        <w:tc>
          <w:tcPr>
            <w:tcW w:w="13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72DCD" w14:textId="77777777" w:rsidR="00296A4A" w:rsidRDefault="00296A4A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lastRenderedPageBreak/>
              <w:t>Famille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4DBA7" w14:textId="77777777" w:rsidR="00296A4A" w:rsidRDefault="00296A4A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Bon</w:t>
            </w:r>
          </w:p>
        </w:tc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68C4" w14:textId="77777777" w:rsidR="00296A4A" w:rsidRDefault="00296A4A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À réviser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EEB89" w14:textId="77777777" w:rsidR="00296A4A" w:rsidRDefault="00296A4A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Hors service</w:t>
            </w:r>
          </w:p>
        </w:tc>
      </w:tr>
      <w:tr w:rsidR="00000000" w14:paraId="29EF4666" w14:textId="77777777">
        <w:trPr>
          <w:divId w:val="927814126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965C6E5" w14:textId="77777777" w:rsidR="00296A4A" w:rsidRDefault="00296A4A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5ACDD89F" wp14:editId="25FC38A2">
                  <wp:extent cx="4572000" cy="1318260"/>
                  <wp:effectExtent l="0" t="0" r="0" b="0"/>
                  <wp:docPr id="3" name="Image 3" descr="Pince multiprise débray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nce multiprise débray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Pince multiprise débrayable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08BEEC6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crantées nettes, articulation coulisse sans forcer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353E285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Articulation dure mais fonctionne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425D1D2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lisses (usées), articulation bloquée</w:t>
            </w:r>
          </w:p>
        </w:tc>
      </w:tr>
      <w:tr w:rsidR="00000000" w14:paraId="1A65DC5A" w14:textId="77777777">
        <w:trPr>
          <w:divId w:val="927814126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B6C7A1D" w14:textId="77777777" w:rsidR="00296A4A" w:rsidRDefault="00296A4A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581575C4" wp14:editId="4A53D504">
                  <wp:extent cx="3924300" cy="3413760"/>
                  <wp:effectExtent l="0" t="0" r="0" b="0"/>
                  <wp:docPr id="4" name="Image 4" descr="Coupe-tube cu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oupe-tube cu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4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Coupe-tube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B959A2D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Molette tourne librement, coupe nette et droite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548A2E9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Molette un peu émoussée, vis d'avance dure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E9EBA82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Molette ébréchée, vis d'avance grippée</w:t>
            </w:r>
          </w:p>
        </w:tc>
      </w:tr>
      <w:tr w:rsidR="00000000" w14:paraId="10D4DBFF" w14:textId="77777777">
        <w:trPr>
          <w:divId w:val="927814126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0C33B57" w14:textId="77777777" w:rsidR="00296A4A" w:rsidRDefault="00296A4A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0D1FDB1D" wp14:editId="1A25A727">
                  <wp:extent cx="1752600" cy="2026920"/>
                  <wp:effectExtent l="0" t="0" r="0" b="0"/>
                  <wp:docPr id="5" name="Image 5" descr="Cintreuse cu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intreuse cu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Cintreuse cuivre</w:t>
            </w:r>
            <w:r>
              <w:rPr>
                <w:rStyle w:val="nuance1"/>
                <w:rFonts w:ascii="Calibri" w:eastAsia="Times New Roman" w:hAnsi="Calibri" w:cs="Calibri"/>
              </w:rPr>
              <w:t>1/4" · 3/8" · 1/2" · 5/8" — et le modèle 3 diamètres (1/4 · 5/16 · 1/2).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br/>
            </w:r>
            <w:r>
              <w:rPr>
                <w:rStyle w:val="nuance1"/>
                <w:rFonts w:ascii="Calibri" w:eastAsia="Times New Roman" w:hAnsi="Calibri" w:cs="Calibri"/>
              </w:rPr>
              <w:t>Chaque diamètre se compte à part.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CC85FDB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Dimension gravée lisible et notée, gorge sans marque profonde, articulation libre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E1239EF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Dimension lisible mais articulation un peu dure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C457CE2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Gorge marquée ou ovalisée, articulation cassée, ou marquage illisible</w:t>
            </w:r>
          </w:p>
        </w:tc>
      </w:tr>
      <w:tr w:rsidR="00000000" w14:paraId="59423C16" w14:textId="77777777">
        <w:trPr>
          <w:divId w:val="927814126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1087CB5" w14:textId="77777777" w:rsidR="00296A4A" w:rsidRDefault="00296A4A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lastRenderedPageBreak/>
              <w:t>Cintreuse plombier</w:t>
            </w:r>
            <w:r>
              <w:rPr>
                <w:rStyle w:val="nuance1"/>
                <w:rFonts w:ascii="Calibri" w:eastAsia="Times New Roman" w:hAnsi="Calibri" w:cs="Calibri"/>
              </w:rPr>
              <w:t>famille à part — photo à venir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DA51900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Gorge nette, mécanisme qui pivote sans forcer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1BCE865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Mécanisme un peu dur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72C4AE6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Gorge marquée, mécanisme cassé</w:t>
            </w:r>
          </w:p>
        </w:tc>
      </w:tr>
      <w:tr w:rsidR="00000000" w14:paraId="7F6006A7" w14:textId="77777777">
        <w:trPr>
          <w:divId w:val="927814126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D07EC5C" w14:textId="77777777" w:rsidR="00296A4A" w:rsidRDefault="00296A4A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Outils mécaniques</w:t>
            </w:r>
            <w:r>
              <w:rPr>
                <w:rStyle w:val="nuance1"/>
                <w:rFonts w:ascii="Calibri" w:eastAsia="Times New Roman" w:hAnsi="Calibri" w:cs="Calibri"/>
              </w:rPr>
              <w:t>clé plate, clé à pipe — un seul bac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403737F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ou empreinte nettes, pas de jeu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3727C18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légèrement arrondies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A0F7DF6" w14:textId="77777777" w:rsidR="00296A4A" w:rsidRDefault="00296A4A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ou empreinte arrondies (glissent), pièce tordue</w:t>
            </w:r>
          </w:p>
        </w:tc>
      </w:tr>
    </w:tbl>
    <w:p w14:paraId="21EC2F07" w14:textId="77777777" w:rsidR="00296A4A" w:rsidRDefault="00296A4A">
      <w:pPr>
        <w:shd w:val="clear" w:color="auto" w:fill="F8F6FF"/>
        <w:divId w:val="1102384461"/>
        <w:rPr>
          <w:rFonts w:ascii="Calibri" w:eastAsia="Times New Roman" w:hAnsi="Calibri" w:cs="Calibri"/>
          <w:sz w:val="27"/>
          <w:szCs w:val="27"/>
        </w:rPr>
      </w:pPr>
      <w:r>
        <w:rPr>
          <w:rFonts w:ascii="Trebuchet MS" w:eastAsia="Times New Roman" w:hAnsi="Trebuchet MS" w:cs="Calibri"/>
          <w:b/>
          <w:bCs/>
          <w:sz w:val="27"/>
          <w:szCs w:val="27"/>
        </w:rPr>
        <w:t>OVNI</w:t>
      </w:r>
      <w:r>
        <w:rPr>
          <w:rFonts w:ascii="Calibri" w:eastAsia="Times New Roman" w:hAnsi="Calibri" w:cs="Calibri"/>
          <w:sz w:val="27"/>
          <w:szCs w:val="27"/>
        </w:rPr>
        <w:t xml:space="preserve"> — un outil que je ne reconnais pas du tout : je ne le teste pas, je le pose dans le bac OVNI.</w:t>
      </w:r>
      <w:r>
        <w:rPr>
          <w:rFonts w:ascii="Calibri" w:eastAsia="Times New Roman" w:hAnsi="Calibri" w:cs="Calibri"/>
          <w:sz w:val="27"/>
          <w:szCs w:val="27"/>
        </w:rPr>
        <w:br/>
      </w:r>
      <w:r>
        <w:rPr>
          <w:rFonts w:ascii="Trebuchet MS" w:eastAsia="Times New Roman" w:hAnsi="Trebuchet MS" w:cs="Calibri"/>
          <w:b/>
          <w:bCs/>
          <w:sz w:val="27"/>
          <w:szCs w:val="27"/>
        </w:rPr>
        <w:t>TRANSFERT</w:t>
      </w:r>
      <w:r>
        <w:rPr>
          <w:rFonts w:ascii="Calibri" w:eastAsia="Times New Roman" w:hAnsi="Calibri" w:cs="Calibri"/>
          <w:sz w:val="27"/>
          <w:szCs w:val="27"/>
        </w:rPr>
        <w:t xml:space="preserve"> — un outil que je reconnais mais qui n'est pas un outil de façonnage (une pince à dénuder, par exemple) : je ne le teste pas ici, je le pose dans le bac TRANSFERT. L'atelier Électrique le contrôlera. </w:t>
      </w:r>
    </w:p>
    <w:p w14:paraId="7CD4EAD8" w14:textId="77777777" w:rsidR="00296A4A" w:rsidRDefault="00296A4A">
      <w:pPr>
        <w:shd w:val="clear" w:color="auto" w:fill="FFFFFF"/>
        <w:divId w:val="1202669077"/>
        <w:rPr>
          <w:rFonts w:ascii="Calibri" w:eastAsia="Times New Roman" w:hAnsi="Calibri" w:cs="Calibri"/>
          <w:sz w:val="19"/>
          <w:szCs w:val="19"/>
        </w:rPr>
      </w:pPr>
      <w:r>
        <w:rPr>
          <w:rFonts w:ascii="Segoe UI Symbol" w:eastAsia="Times New Roman" w:hAnsi="Segoe UI Symbol" w:cs="Segoe UI Symbol"/>
          <w:sz w:val="19"/>
          <w:szCs w:val="19"/>
        </w:rPr>
        <w:t>❄</w:t>
      </w:r>
      <w:r>
        <w:rPr>
          <w:rFonts w:ascii="Calibri" w:eastAsia="Times New Roman" w:hAnsi="Calibri" w:cs="Calibri"/>
          <w:sz w:val="19"/>
          <w:szCs w:val="19"/>
        </w:rPr>
        <w:t xml:space="preserve"> inerWeb </w:t>
      </w:r>
      <w:r>
        <w:rPr>
          <w:rFonts w:ascii="Calibri" w:eastAsia="Times New Roman" w:hAnsi="Calibri" w:cs="Calibri"/>
          <w:sz w:val="19"/>
          <w:szCs w:val="19"/>
        </w:rPr>
        <w:t>É</w:t>
      </w:r>
      <w:r>
        <w:rPr>
          <w:rFonts w:ascii="Calibri" w:eastAsia="Times New Roman" w:hAnsi="Calibri" w:cs="Calibri"/>
          <w:sz w:val="19"/>
          <w:szCs w:val="19"/>
        </w:rPr>
        <w:t xml:space="preserve">du </w:t>
      </w:r>
      <w:r>
        <w:rPr>
          <w:rFonts w:ascii="Calibri" w:eastAsia="Times New Roman" w:hAnsi="Calibri" w:cs="Calibri"/>
          <w:sz w:val="19"/>
          <w:szCs w:val="19"/>
        </w:rPr>
        <w:t>—</w:t>
      </w:r>
      <w:r>
        <w:rPr>
          <w:rFonts w:ascii="Calibri" w:eastAsia="Times New Roman" w:hAnsi="Calibri" w:cs="Calibri"/>
          <w:sz w:val="19"/>
          <w:szCs w:val="19"/>
        </w:rPr>
        <w:t xml:space="preserve"> par F. Henninot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LPP Jacques Raynaud </w:t>
      </w:r>
      <w:r>
        <w:rPr>
          <w:rFonts w:ascii="Calibri" w:eastAsia="Times New Roman" w:hAnsi="Calibri" w:cs="Calibri"/>
          <w:sz w:val="19"/>
          <w:szCs w:val="19"/>
        </w:rPr>
        <w:t>—</w:t>
      </w:r>
      <w:r>
        <w:rPr>
          <w:rFonts w:ascii="Calibri" w:eastAsia="Times New Roman" w:hAnsi="Calibri" w:cs="Calibri"/>
          <w:sz w:val="19"/>
          <w:szCs w:val="19"/>
        </w:rPr>
        <w:t xml:space="preserve"> Campus EQUATIO S0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S</w:t>
      </w:r>
      <w:r>
        <w:rPr>
          <w:rFonts w:ascii="Calibri" w:eastAsia="Times New Roman" w:hAnsi="Calibri" w:cs="Calibri"/>
          <w:sz w:val="19"/>
          <w:szCs w:val="19"/>
        </w:rPr>
        <w:t>é</w:t>
      </w:r>
      <w:r>
        <w:rPr>
          <w:rFonts w:ascii="Calibri" w:eastAsia="Times New Roman" w:hAnsi="Calibri" w:cs="Calibri"/>
          <w:sz w:val="19"/>
          <w:szCs w:val="19"/>
        </w:rPr>
        <w:t xml:space="preserve">ance 2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cr</w:t>
      </w:r>
      <w:r>
        <w:rPr>
          <w:rFonts w:ascii="Calibri" w:eastAsia="Times New Roman" w:hAnsi="Calibri" w:cs="Calibri"/>
          <w:sz w:val="19"/>
          <w:szCs w:val="19"/>
        </w:rPr>
        <w:t>éé</w:t>
      </w:r>
      <w:r>
        <w:rPr>
          <w:rFonts w:ascii="Calibri" w:eastAsia="Times New Roman" w:hAnsi="Calibri" w:cs="Calibri"/>
          <w:sz w:val="19"/>
          <w:szCs w:val="19"/>
        </w:rPr>
        <w:t xml:space="preserve"> le 02/09/2026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>©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</w:p>
    <w:sectPr w:rsidR="00296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50"/>
    <w:rsid w:val="00296A4A"/>
    <w:rsid w:val="00B00978"/>
    <w:rsid w:val="00D9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0E5AEC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30"/>
      <w:outlineLvl w:val="0"/>
    </w:pPr>
    <w:rPr>
      <w:rFonts w:ascii="Trebuchet MS" w:hAnsi="Trebuchet MS"/>
      <w:b/>
      <w:bCs/>
      <w:kern w:val="36"/>
      <w:sz w:val="52"/>
      <w:szCs w:val="5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</w:pPr>
  </w:style>
  <w:style w:type="paragraph" w:customStyle="1" w:styleId="entete">
    <w:name w:val="entete"/>
    <w:basedOn w:val="Normal"/>
    <w:pPr>
      <w:spacing w:before="100" w:beforeAutospacing="1" w:after="18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sous-titre">
    <w:name w:val="sous-titre"/>
    <w:basedOn w:val="Normal"/>
    <w:pPr>
      <w:spacing w:after="210"/>
    </w:pPr>
    <w:rPr>
      <w:rFonts w:ascii="Trebuchet MS" w:hAnsi="Trebuchet MS"/>
      <w:b/>
      <w:bCs/>
      <w:caps/>
      <w:spacing w:val="10"/>
      <w:sz w:val="30"/>
      <w:szCs w:val="30"/>
    </w:rPr>
  </w:style>
  <w:style w:type="paragraph" w:customStyle="1" w:styleId="regle">
    <w:name w:val="regle"/>
    <w:basedOn w:val="Normal"/>
    <w:pPr>
      <w:spacing w:after="210"/>
    </w:pPr>
    <w:rPr>
      <w:sz w:val="28"/>
      <w:szCs w:val="28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22"/>
      <w:szCs w:val="22"/>
    </w:rPr>
  </w:style>
  <w:style w:type="paragraph" w:customStyle="1" w:styleId="bandeau">
    <w:name w:val="bandeau"/>
    <w:basedOn w:val="Normal"/>
    <w:pPr>
      <w:shd w:val="clear" w:color="auto" w:fill="F8F6FF"/>
      <w:spacing w:before="210" w:after="100" w:afterAutospacing="1"/>
    </w:pPr>
    <w:rPr>
      <w:sz w:val="27"/>
      <w:szCs w:val="27"/>
    </w:r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character" w:customStyle="1" w:styleId="nuance1">
    <w:name w:val="nuance1"/>
    <w:basedOn w:val="Policepardfaut"/>
    <w:rPr>
      <w:b w:val="0"/>
      <w:bCs w:val="0"/>
      <w:i/>
      <w:iCs/>
      <w:vanish w:val="0"/>
      <w:webHidden w:val="0"/>
      <w:sz w:val="22"/>
      <w:szCs w:val="22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4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94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9282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446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90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1508</Characters>
  <Application>Microsoft Office Word</Application>
  <DocSecurity>4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Affiche de poste — Critères d'état · Atelier Façonnage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