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2ECB" w:rsidRDefault="00EB2ECB">
      <w:pPr>
        <w:shd w:val="clear" w:color="auto" w:fill="FFFFFF"/>
        <w:divId w:val="1059286679"/>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EB2ECB" w:rsidRDefault="00EB2ECB">
      <w:pPr>
        <w:shd w:val="clear" w:color="auto" w:fill="FFFFFF"/>
        <w:divId w:val="1372459358"/>
        <w:rPr>
          <w:rFonts w:ascii="Calibri" w:eastAsia="Times New Roman" w:hAnsi="Calibri" w:cs="Calibri"/>
          <w:sz w:val="26"/>
          <w:szCs w:val="26"/>
        </w:rPr>
      </w:pPr>
      <w:r>
        <w:rPr>
          <w:rFonts w:ascii="Calibri" w:eastAsia="Times New Roman" w:hAnsi="Calibri" w:cs="Calibri"/>
          <w:noProof/>
          <w:sz w:val="26"/>
          <w:szCs w:val="26"/>
        </w:rPr>
        <w:drawing>
          <wp:inline distT="0" distB="0" distL="0" distR="0">
            <wp:extent cx="7559040" cy="1798320"/>
            <wp:effectExtent l="0" t="0" r="0" b="0"/>
            <wp:docPr id="1" name="Image 1" descr="Lycée Jacques Rayna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Jacques Raynau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7559040" cy="1798320"/>
                    </a:xfrm>
                    <a:prstGeom prst="rect">
                      <a:avLst/>
                    </a:prstGeom>
                    <a:noFill/>
                    <a:ln>
                      <a:noFill/>
                    </a:ln>
                  </pic:spPr>
                </pic:pic>
              </a:graphicData>
            </a:graphic>
          </wp:inline>
        </w:drawing>
      </w:r>
      <w:r>
        <w:rPr>
          <w:rFonts w:ascii="Calibri" w:eastAsia="Times New Roman" w:hAnsi="Calibri" w:cs="Calibri"/>
          <w:noProof/>
          <w:sz w:val="26"/>
          <w:szCs w:val="26"/>
        </w:rPr>
        <w:drawing>
          <wp:inline distT="0" distB="0" distL="0" distR="0">
            <wp:extent cx="15400020" cy="4869180"/>
            <wp:effectExtent l="0" t="0" r="0" b="0"/>
            <wp:docPr id="2" name="Image 2" descr="EQUATIO — Créateur d'ave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QUATIO — Créateur d'aven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00020" cy="4869180"/>
                    </a:xfrm>
                    <a:prstGeom prst="rect">
                      <a:avLst/>
                    </a:prstGeom>
                    <a:noFill/>
                    <a:ln>
                      <a:noFill/>
                    </a:ln>
                  </pic:spPr>
                </pic:pic>
              </a:graphicData>
            </a:graphic>
          </wp:inline>
        </w:drawing>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670"/>
        <w:gridCol w:w="2180"/>
        <w:gridCol w:w="3251"/>
        <w:gridCol w:w="1971"/>
      </w:tblGrid>
      <w:tr w:rsidR="00000000">
        <w:trPr>
          <w:divId w:val="1662007969"/>
          <w:tblCellSpacing w:w="15" w:type="dxa"/>
        </w:trPr>
        <w:tc>
          <w:tcPr>
            <w:tcW w:w="800" w:type="pct"/>
            <w:tcMar>
              <w:top w:w="75" w:type="dxa"/>
              <w:left w:w="150" w:type="dxa"/>
              <w:bottom w:w="75" w:type="dxa"/>
              <w:right w:w="150" w:type="dxa"/>
            </w:tcMar>
            <w:vAlign w:val="center"/>
            <w:hideMark/>
          </w:tcPr>
          <w:p w:rsidR="00EB2ECB" w:rsidRDefault="00EB2ECB">
            <w:pPr>
              <w:rPr>
                <w:rFonts w:ascii="Calibri" w:eastAsia="Times New Roman" w:hAnsi="Calibri" w:cs="Calibri"/>
                <w:sz w:val="20"/>
                <w:szCs w:val="20"/>
              </w:rPr>
            </w:pPr>
            <w:r>
              <w:rPr>
                <w:rFonts w:ascii="Trebuchet MS" w:eastAsia="Times New Roman" w:hAnsi="Trebuchet MS" w:cs="Calibri"/>
                <w:b/>
                <w:bCs/>
                <w:caps/>
                <w:spacing w:val="17"/>
                <w:sz w:val="17"/>
                <w:szCs w:val="17"/>
              </w:rPr>
              <w:t>Niveau</w:t>
            </w:r>
            <w:r>
              <w:rPr>
                <w:rFonts w:ascii="Trebuchet MS" w:eastAsia="Times New Roman" w:hAnsi="Trebuchet MS" w:cs="Calibri"/>
                <w:b/>
                <w:bCs/>
              </w:rPr>
              <w:t>CAP IFCA 1A</w:t>
            </w:r>
          </w:p>
        </w:tc>
        <w:tc>
          <w:tcPr>
            <w:tcW w:w="1300" w:type="pct"/>
            <w:tcMar>
              <w:top w:w="75" w:type="dxa"/>
              <w:left w:w="150" w:type="dxa"/>
              <w:bottom w:w="75" w:type="dxa"/>
              <w:right w:w="150" w:type="dxa"/>
            </w:tcMar>
            <w:vAlign w:val="center"/>
            <w:hideMark/>
          </w:tcPr>
          <w:p w:rsidR="00EB2ECB" w:rsidRDefault="00EB2ECB">
            <w:pPr>
              <w:rPr>
                <w:rFonts w:ascii="Calibri" w:eastAsia="Times New Roman" w:hAnsi="Calibri" w:cs="Calibri"/>
                <w:sz w:val="20"/>
                <w:szCs w:val="20"/>
              </w:rPr>
            </w:pPr>
            <w:r>
              <w:rPr>
                <w:rFonts w:ascii="Trebuchet MS" w:eastAsia="Times New Roman" w:hAnsi="Trebuchet MS" w:cs="Calibri"/>
                <w:b/>
                <w:bCs/>
                <w:caps/>
                <w:spacing w:val="17"/>
                <w:sz w:val="17"/>
                <w:szCs w:val="17"/>
              </w:rPr>
              <w:t>Thème / Domaine</w:t>
            </w:r>
            <w:r>
              <w:rPr>
                <w:rFonts w:ascii="Calibri" w:eastAsia="Times New Roman" w:hAnsi="Calibri" w:cs="Calibri"/>
                <w:sz w:val="20"/>
                <w:szCs w:val="20"/>
              </w:rPr>
              <w:t>Découverte et inventaire de l'atelier</w:t>
            </w:r>
          </w:p>
        </w:tc>
        <w:tc>
          <w:tcPr>
            <w:tcW w:w="1900" w:type="pct"/>
            <w:tcMar>
              <w:top w:w="75" w:type="dxa"/>
              <w:left w:w="150" w:type="dxa"/>
              <w:bottom w:w="75" w:type="dxa"/>
              <w:right w:w="150" w:type="dxa"/>
            </w:tcMar>
            <w:vAlign w:val="center"/>
            <w:hideMark/>
          </w:tcPr>
          <w:p w:rsidR="00EB2ECB" w:rsidRDefault="00EB2ECB">
            <w:pPr>
              <w:rPr>
                <w:rFonts w:ascii="Calibri" w:eastAsia="Times New Roman" w:hAnsi="Calibri" w:cs="Calibri"/>
                <w:sz w:val="20"/>
                <w:szCs w:val="20"/>
              </w:rPr>
            </w:pPr>
            <w:r>
              <w:rPr>
                <w:rFonts w:ascii="Trebuchet MS" w:eastAsia="Times New Roman" w:hAnsi="Trebuchet MS" w:cs="Calibri"/>
                <w:b/>
                <w:bCs/>
                <w:caps/>
                <w:spacing w:val="17"/>
                <w:sz w:val="17"/>
                <w:szCs w:val="17"/>
              </w:rPr>
              <w:t>Module atelier S0-Séance 3 · 1 h 30 — DOCUMENT DE RÉFÉRENCE, VERSION DÉTAILLÉE</w:t>
            </w:r>
            <w:r>
              <w:rPr>
                <w:rFonts w:ascii="Calibri" w:eastAsia="Times New Roman" w:hAnsi="Calibri" w:cs="Calibri"/>
                <w:b/>
                <w:bCs/>
                <w:sz w:val="20"/>
                <w:szCs w:val="20"/>
              </w:rPr>
              <w:t>Restituer, ranger et évaluer</w:t>
            </w:r>
          </w:p>
        </w:tc>
        <w:tc>
          <w:tcPr>
            <w:tcW w:w="1000" w:type="pct"/>
            <w:tcMar>
              <w:top w:w="75" w:type="dxa"/>
              <w:left w:w="150" w:type="dxa"/>
              <w:bottom w:w="75" w:type="dxa"/>
              <w:right w:w="150" w:type="dxa"/>
            </w:tcMar>
            <w:vAlign w:val="center"/>
            <w:hideMark/>
          </w:tcPr>
          <w:p w:rsidR="00EB2ECB" w:rsidRDefault="00EB2ECB">
            <w:pPr>
              <w:rPr>
                <w:rFonts w:ascii="Calibri" w:eastAsia="Times New Roman" w:hAnsi="Calibri" w:cs="Calibri"/>
                <w:sz w:val="20"/>
                <w:szCs w:val="20"/>
              </w:rPr>
            </w:pPr>
            <w:r>
              <w:rPr>
                <w:rFonts w:ascii="Trebuchet MS" w:eastAsia="Times New Roman" w:hAnsi="Trebuchet MS" w:cs="Calibri"/>
                <w:b/>
                <w:bCs/>
                <w:caps/>
                <w:spacing w:val="17"/>
                <w:sz w:val="17"/>
                <w:szCs w:val="17"/>
              </w:rPr>
              <w:t>Séquence</w:t>
            </w:r>
            <w:r>
              <w:rPr>
                <w:rFonts w:ascii="Trebuchet MS" w:eastAsia="Times New Roman" w:hAnsi="Trebuchet MS" w:cs="Calibri"/>
                <w:b/>
                <w:bCs/>
              </w:rPr>
              <w:t>S0</w:t>
            </w:r>
            <w:r>
              <w:rPr>
                <w:rFonts w:ascii="Calibri" w:eastAsia="Times New Roman" w:hAnsi="Calibri" w:cs="Calibri"/>
                <w:sz w:val="20"/>
                <w:szCs w:val="20"/>
              </w:rPr>
              <w:t xml:space="preserve"> · rentrée 2026</w:t>
            </w:r>
          </w:p>
        </w:tc>
      </w:tr>
      <w:tr w:rsidR="00000000">
        <w:trPr>
          <w:divId w:val="1662007969"/>
          <w:tblCellSpacing w:w="15" w:type="dxa"/>
        </w:trPr>
        <w:tc>
          <w:tcPr>
            <w:tcW w:w="0" w:type="auto"/>
            <w:tcMar>
              <w:top w:w="75" w:type="dxa"/>
              <w:left w:w="150" w:type="dxa"/>
              <w:bottom w:w="75" w:type="dxa"/>
              <w:right w:w="150" w:type="dxa"/>
            </w:tcMar>
            <w:vAlign w:val="center"/>
            <w:hideMark/>
          </w:tcPr>
          <w:p w:rsidR="00EB2ECB" w:rsidRDefault="00EB2ECB">
            <w:pPr>
              <w:rPr>
                <w:rFonts w:ascii="Calibri" w:eastAsia="Times New Roman" w:hAnsi="Calibri" w:cs="Calibri"/>
                <w:sz w:val="20"/>
                <w:szCs w:val="20"/>
              </w:rPr>
            </w:pPr>
            <w:r>
              <w:rPr>
                <w:rFonts w:ascii="Trebuchet MS" w:eastAsia="Times New Roman" w:hAnsi="Trebuchet MS" w:cs="Calibri"/>
                <w:b/>
                <w:bCs/>
                <w:caps/>
                <w:spacing w:val="17"/>
                <w:sz w:val="17"/>
                <w:szCs w:val="17"/>
              </w:rPr>
              <w:lastRenderedPageBreak/>
              <w:t>Public visé</w:t>
            </w:r>
            <w:r>
              <w:rPr>
                <w:rFonts w:ascii="Calibri" w:eastAsia="Times New Roman" w:hAnsi="Calibri" w:cs="Calibri"/>
                <w:sz w:val="20"/>
                <w:szCs w:val="20"/>
              </w:rPr>
              <w:t>Professeur, élèves à l'aise</w:t>
            </w:r>
          </w:p>
        </w:tc>
        <w:tc>
          <w:tcPr>
            <w:tcW w:w="0" w:type="auto"/>
            <w:tcMar>
              <w:top w:w="75" w:type="dxa"/>
              <w:left w:w="150" w:type="dxa"/>
              <w:bottom w:w="75" w:type="dxa"/>
              <w:right w:w="150" w:type="dxa"/>
            </w:tcMar>
            <w:vAlign w:val="center"/>
            <w:hideMark/>
          </w:tcPr>
          <w:p w:rsidR="00EB2ECB" w:rsidRDefault="00EB2ECB">
            <w:pPr>
              <w:rPr>
                <w:rFonts w:ascii="Calibri" w:eastAsia="Times New Roman" w:hAnsi="Calibri" w:cs="Calibri"/>
                <w:sz w:val="20"/>
                <w:szCs w:val="20"/>
              </w:rPr>
            </w:pPr>
            <w:r>
              <w:rPr>
                <w:rFonts w:ascii="Trebuchet MS" w:eastAsia="Times New Roman" w:hAnsi="Trebuchet MS" w:cs="Calibri"/>
                <w:b/>
                <w:bCs/>
                <w:caps/>
                <w:spacing w:val="17"/>
                <w:sz w:val="17"/>
                <w:szCs w:val="17"/>
              </w:rPr>
              <w:t>Réemploi</w:t>
            </w:r>
            <w:r>
              <w:rPr>
                <w:rFonts w:ascii="Calibri" w:eastAsia="Times New Roman" w:hAnsi="Calibri" w:cs="Calibri"/>
                <w:sz w:val="20"/>
                <w:szCs w:val="20"/>
              </w:rPr>
              <w:t>Support de fond, réutilisable en bac pro</w:t>
            </w:r>
          </w:p>
        </w:tc>
        <w:tc>
          <w:tcPr>
            <w:tcW w:w="0" w:type="auto"/>
            <w:tcMar>
              <w:top w:w="75" w:type="dxa"/>
              <w:left w:w="150" w:type="dxa"/>
              <w:bottom w:w="75" w:type="dxa"/>
              <w:right w:w="150" w:type="dxa"/>
            </w:tcMar>
            <w:vAlign w:val="center"/>
            <w:hideMark/>
          </w:tcPr>
          <w:p w:rsidR="00EB2ECB" w:rsidRDefault="00EB2ECB">
            <w:pPr>
              <w:rPr>
                <w:rFonts w:ascii="Calibri" w:eastAsia="Times New Roman" w:hAnsi="Calibri" w:cs="Calibri"/>
                <w:sz w:val="20"/>
                <w:szCs w:val="20"/>
              </w:rPr>
            </w:pPr>
            <w:r>
              <w:rPr>
                <w:rFonts w:ascii="Trebuchet MS" w:eastAsia="Times New Roman" w:hAnsi="Trebuchet MS" w:cs="Calibri"/>
                <w:b/>
                <w:bCs/>
                <w:caps/>
                <w:spacing w:val="17"/>
                <w:sz w:val="17"/>
                <w:szCs w:val="17"/>
              </w:rPr>
              <w:t>Statut</w:t>
            </w:r>
            <w:r>
              <w:rPr>
                <w:rFonts w:ascii="Calibri" w:eastAsia="Times New Roman" w:hAnsi="Calibri" w:cs="Calibri"/>
                <w:sz w:val="20"/>
                <w:szCs w:val="20"/>
              </w:rPr>
              <w:t>Développe le Plan de séance et le Document professeur, ne les remplace pas</w:t>
            </w:r>
          </w:p>
        </w:tc>
        <w:tc>
          <w:tcPr>
            <w:tcW w:w="0" w:type="auto"/>
            <w:tcMar>
              <w:top w:w="75" w:type="dxa"/>
              <w:left w:w="150" w:type="dxa"/>
              <w:bottom w:w="75" w:type="dxa"/>
              <w:right w:w="150" w:type="dxa"/>
            </w:tcMar>
            <w:vAlign w:val="center"/>
            <w:hideMark/>
          </w:tcPr>
          <w:p w:rsidR="00EB2ECB" w:rsidRDefault="00EB2ECB">
            <w:pPr>
              <w:rPr>
                <w:rFonts w:ascii="Calibri" w:eastAsia="Times New Roman" w:hAnsi="Calibri" w:cs="Calibri"/>
                <w:sz w:val="20"/>
                <w:szCs w:val="20"/>
              </w:rPr>
            </w:pPr>
            <w:r>
              <w:rPr>
                <w:rFonts w:ascii="Trebuchet MS" w:eastAsia="Times New Roman" w:hAnsi="Trebuchet MS" w:cs="Calibri"/>
                <w:b/>
                <w:bCs/>
                <w:caps/>
                <w:spacing w:val="17"/>
                <w:sz w:val="17"/>
                <w:szCs w:val="17"/>
              </w:rPr>
              <w:t>Longueur</w:t>
            </w:r>
            <w:r>
              <w:rPr>
                <w:rFonts w:ascii="Calibri" w:eastAsia="Times New Roman" w:hAnsi="Calibri" w:cs="Calibri"/>
                <w:sz w:val="20"/>
                <w:szCs w:val="20"/>
              </w:rPr>
              <w:t>Version détaillée (≥ 1500 mots)</w:t>
            </w:r>
          </w:p>
        </w:tc>
      </w:tr>
    </w:tbl>
    <w:p w:rsidR="00EB2ECB" w:rsidRDefault="00EB2ECB">
      <w:pPr>
        <w:shd w:val="clear" w:color="auto" w:fill="FFFFFF"/>
        <w:spacing w:after="45"/>
        <w:outlineLvl w:val="4"/>
        <w:divId w:val="1111242172"/>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Tâches</w:t>
      </w:r>
    </w:p>
    <w:p w:rsidR="00EB2ECB" w:rsidRDefault="00EB2ECB">
      <w:pPr>
        <w:shd w:val="clear" w:color="auto" w:fill="FFFFFF"/>
        <w:divId w:val="1111242172"/>
        <w:rPr>
          <w:rFonts w:ascii="Calibri" w:eastAsia="Times New Roman" w:hAnsi="Calibri" w:cs="Calibri"/>
          <w:sz w:val="19"/>
          <w:szCs w:val="19"/>
        </w:rPr>
      </w:pPr>
      <w:r>
        <w:rPr>
          <w:rFonts w:ascii="Calibri" w:eastAsia="Times New Roman" w:hAnsi="Calibri" w:cs="Calibri"/>
          <w:b/>
          <w:bCs/>
          <w:sz w:val="19"/>
          <w:szCs w:val="19"/>
        </w:rPr>
        <w:t>T1</w:t>
      </w:r>
      <w:r>
        <w:rPr>
          <w:rFonts w:ascii="Calibri" w:eastAsia="Times New Roman" w:hAnsi="Calibri" w:cs="Calibri"/>
          <w:sz w:val="19"/>
          <w:szCs w:val="19"/>
        </w:rPr>
        <w:t xml:space="preserve"> Renseigner et transmettre des documents de suivi d'intervention (niv. 3)</w:t>
      </w:r>
      <w:r>
        <w:rPr>
          <w:rFonts w:ascii="Calibri" w:eastAsia="Times New Roman" w:hAnsi="Calibri" w:cs="Calibri"/>
          <w:sz w:val="19"/>
          <w:szCs w:val="19"/>
        </w:rPr>
        <w:br/>
      </w:r>
      <w:r>
        <w:rPr>
          <w:rFonts w:ascii="Calibri" w:eastAsia="Times New Roman" w:hAnsi="Calibri" w:cs="Calibri"/>
          <w:b/>
          <w:bCs/>
          <w:sz w:val="19"/>
          <w:szCs w:val="19"/>
        </w:rPr>
        <w:t>T6</w:t>
      </w:r>
      <w:r>
        <w:rPr>
          <w:rFonts w:ascii="Calibri" w:eastAsia="Times New Roman" w:hAnsi="Calibri" w:cs="Calibri"/>
          <w:sz w:val="19"/>
          <w:szCs w:val="19"/>
        </w:rPr>
        <w:t xml:space="preserve"> Préparer, vérifier les matériels et outillages (niv. 2)</w:t>
      </w:r>
    </w:p>
    <w:p w:rsidR="00EB2ECB" w:rsidRDefault="00EB2ECB">
      <w:pPr>
        <w:shd w:val="clear" w:color="auto" w:fill="FFFFFF"/>
        <w:spacing w:after="45"/>
        <w:outlineLvl w:val="4"/>
        <w:divId w:val="267931981"/>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Savoirs</w:t>
      </w:r>
    </w:p>
    <w:p w:rsidR="00EB2ECB" w:rsidRDefault="00EB2ECB">
      <w:pPr>
        <w:shd w:val="clear" w:color="auto" w:fill="FFFFFF"/>
        <w:divId w:val="267931981"/>
        <w:rPr>
          <w:rFonts w:ascii="Calibri" w:eastAsia="Times New Roman" w:hAnsi="Calibri" w:cs="Calibri"/>
          <w:sz w:val="19"/>
          <w:szCs w:val="19"/>
        </w:rPr>
      </w:pPr>
      <w:r>
        <w:rPr>
          <w:rStyle w:val="nuance1"/>
          <w:rFonts w:ascii="Calibri" w:eastAsia="Times New Roman" w:hAnsi="Calibri" w:cs="Calibri"/>
        </w:rPr>
        <w:t>Prérequis :</w:t>
      </w:r>
      <w:r>
        <w:rPr>
          <w:rFonts w:ascii="Calibri" w:eastAsia="Times New Roman" w:hAnsi="Calibri" w:cs="Calibri"/>
          <w:sz w:val="19"/>
          <w:szCs w:val="19"/>
        </w:rPr>
        <w:t xml:space="preserve"> S2.1, S0.2 </w:t>
      </w:r>
      <w:r>
        <w:rPr>
          <w:rStyle w:val="nuance1"/>
          <w:rFonts w:ascii="Calibri" w:eastAsia="Times New Roman" w:hAnsi="Calibri" w:cs="Calibri"/>
        </w:rPr>
        <w:t>(introduits S1/S2)</w:t>
      </w:r>
      <w:r>
        <w:rPr>
          <w:rFonts w:ascii="Calibri" w:eastAsia="Times New Roman" w:hAnsi="Calibri" w:cs="Calibri"/>
          <w:sz w:val="19"/>
          <w:szCs w:val="19"/>
        </w:rPr>
        <w:br/>
      </w:r>
      <w:r>
        <w:rPr>
          <w:rStyle w:val="nuance1"/>
          <w:rFonts w:ascii="Calibri" w:eastAsia="Times New Roman" w:hAnsi="Calibri" w:cs="Calibri"/>
        </w:rPr>
        <w:t>Travaillé :</w:t>
      </w:r>
      <w:r>
        <w:rPr>
          <w:rFonts w:ascii="Calibri" w:eastAsia="Times New Roman" w:hAnsi="Calibri" w:cs="Calibri"/>
          <w:sz w:val="19"/>
          <w:szCs w:val="19"/>
        </w:rPr>
        <w:t xml:space="preserve"> </w:t>
      </w:r>
      <w:r>
        <w:rPr>
          <w:rFonts w:ascii="Calibri" w:eastAsia="Times New Roman" w:hAnsi="Calibri" w:cs="Calibri"/>
          <w:b/>
          <w:bCs/>
          <w:sz w:val="19"/>
          <w:szCs w:val="19"/>
        </w:rPr>
        <w:t>S3.1</w:t>
      </w:r>
      <w:r>
        <w:rPr>
          <w:rFonts w:ascii="Calibri" w:eastAsia="Times New Roman" w:hAnsi="Calibri" w:cs="Calibri"/>
          <w:sz w:val="19"/>
          <w:szCs w:val="19"/>
        </w:rPr>
        <w:t xml:space="preserve"> Communication technique </w:t>
      </w:r>
      <w:r>
        <w:rPr>
          <w:rStyle w:val="nuance1"/>
          <w:rFonts w:ascii="Calibri" w:eastAsia="Times New Roman" w:hAnsi="Calibri" w:cs="Calibri"/>
        </w:rPr>
        <w:t>nouveau</w:t>
      </w:r>
    </w:p>
    <w:p w:rsidR="00EB2ECB" w:rsidRDefault="00EB2ECB">
      <w:pPr>
        <w:shd w:val="clear" w:color="auto" w:fill="FFFFFF"/>
        <w:spacing w:after="45"/>
        <w:outlineLvl w:val="4"/>
        <w:divId w:val="263266346"/>
        <w:rPr>
          <w:rFonts w:ascii="Trebuchet MS" w:eastAsia="Times New Roman" w:hAnsi="Trebuchet MS" w:cs="Calibri"/>
          <w:b/>
          <w:bCs/>
          <w:caps/>
          <w:spacing w:val="24"/>
          <w:sz w:val="16"/>
          <w:szCs w:val="16"/>
        </w:rPr>
      </w:pPr>
      <w:r>
        <w:rPr>
          <w:rFonts w:ascii="Trebuchet MS" w:eastAsia="Times New Roman" w:hAnsi="Trebuchet MS" w:cs="Calibri"/>
          <w:b/>
          <w:bCs/>
          <w:caps/>
          <w:spacing w:val="24"/>
          <w:sz w:val="16"/>
          <w:szCs w:val="16"/>
        </w:rPr>
        <w:t>Savoir-être</w:t>
      </w:r>
    </w:p>
    <w:p w:rsidR="00EB2ECB" w:rsidRDefault="00EB2ECB">
      <w:pPr>
        <w:shd w:val="clear" w:color="auto" w:fill="FFFFFF"/>
        <w:divId w:val="263266346"/>
        <w:rPr>
          <w:rFonts w:ascii="Calibri" w:eastAsia="Times New Roman" w:hAnsi="Calibri" w:cs="Calibri"/>
          <w:sz w:val="19"/>
          <w:szCs w:val="19"/>
        </w:rPr>
      </w:pPr>
      <w:r>
        <w:rPr>
          <w:rFonts w:ascii="Calibri" w:eastAsia="Times New Roman" w:hAnsi="Calibri" w:cs="Calibri"/>
          <w:sz w:val="19"/>
          <w:szCs w:val="19"/>
        </w:rPr>
        <w:t>Respect des rayons et zones affectées, manipulation prudente, travail d'équipe, ponctualité</w:t>
      </w:r>
    </w:p>
    <w:p w:rsidR="00EB2ECB" w:rsidRDefault="00EB2ECB">
      <w:pPr>
        <w:pStyle w:val="Titre4"/>
        <w:shd w:val="clear" w:color="auto" w:fill="FFFFFF"/>
        <w:divId w:val="186647020"/>
        <w:rPr>
          <w:rFonts w:eastAsia="Times New Roman" w:cs="Calibri"/>
        </w:rPr>
      </w:pPr>
      <w:r>
        <w:rPr>
          <w:rFonts w:eastAsia="Times New Roman" w:cs="Calibri"/>
        </w:rPr>
        <w:t>Compétences (≤ 4)</w:t>
      </w:r>
    </w:p>
    <w:p w:rsidR="00EB2ECB" w:rsidRDefault="00EB2ECB">
      <w:pPr>
        <w:shd w:val="clear" w:color="auto" w:fill="FFFFFF"/>
        <w:divId w:val="186647020"/>
        <w:rPr>
          <w:rFonts w:ascii="Calibri" w:eastAsia="Times New Roman" w:hAnsi="Calibri" w:cs="Calibri"/>
          <w:sz w:val="19"/>
          <w:szCs w:val="19"/>
        </w:rPr>
      </w:pPr>
      <w:r>
        <w:rPr>
          <w:rStyle w:val="statut1"/>
          <w:rFonts w:eastAsia="Times New Roman" w:cs="Calibri"/>
        </w:rPr>
        <w:t>Évaluation</w:t>
      </w:r>
      <w:r>
        <w:rPr>
          <w:rFonts w:ascii="Calibri" w:eastAsia="Times New Roman" w:hAnsi="Calibri" w:cs="Calibri"/>
          <w:sz w:val="19"/>
          <w:szCs w:val="19"/>
        </w:rPr>
        <w:t xml:space="preserve"> </w:t>
      </w:r>
      <w:r>
        <w:rPr>
          <w:rFonts w:ascii="Calibri" w:eastAsia="Times New Roman" w:hAnsi="Calibri" w:cs="Calibri"/>
          <w:b/>
          <w:bCs/>
          <w:sz w:val="19"/>
          <w:szCs w:val="19"/>
        </w:rPr>
        <w:t>C1.1</w:t>
      </w:r>
      <w:r>
        <w:rPr>
          <w:rFonts w:ascii="Calibri" w:eastAsia="Times New Roman" w:hAnsi="Calibri" w:cs="Calibri"/>
          <w:sz w:val="19"/>
          <w:szCs w:val="19"/>
        </w:rPr>
        <w:t xml:space="preserve"> Compléter, transmettre</w:t>
      </w:r>
      <w:r>
        <w:rPr>
          <w:rFonts w:ascii="Calibri" w:eastAsia="Times New Roman" w:hAnsi="Calibri" w:cs="Calibri"/>
          <w:sz w:val="19"/>
          <w:szCs w:val="19"/>
        </w:rPr>
        <w:br/>
      </w:r>
      <w:r>
        <w:rPr>
          <w:rStyle w:val="statut1"/>
          <w:rFonts w:eastAsia="Times New Roman" w:cs="Calibri"/>
        </w:rPr>
        <w:t>Confortement</w:t>
      </w:r>
      <w:r>
        <w:rPr>
          <w:rFonts w:ascii="Calibri" w:eastAsia="Times New Roman" w:hAnsi="Calibri" w:cs="Calibri"/>
          <w:sz w:val="19"/>
          <w:szCs w:val="19"/>
        </w:rPr>
        <w:t xml:space="preserve"> </w:t>
      </w:r>
      <w:r>
        <w:rPr>
          <w:rFonts w:ascii="Calibri" w:eastAsia="Times New Roman" w:hAnsi="Calibri" w:cs="Calibri"/>
          <w:b/>
          <w:bCs/>
          <w:sz w:val="19"/>
          <w:szCs w:val="19"/>
        </w:rPr>
        <w:t>C2.2</w:t>
      </w:r>
      <w:r>
        <w:rPr>
          <w:rFonts w:ascii="Calibri" w:eastAsia="Times New Roman" w:hAnsi="Calibri" w:cs="Calibri"/>
          <w:sz w:val="19"/>
          <w:szCs w:val="19"/>
        </w:rPr>
        <w:t xml:space="preserve"> Contrôler les éléments</w:t>
      </w:r>
      <w:r>
        <w:rPr>
          <w:rFonts w:ascii="Calibri" w:eastAsia="Times New Roman" w:hAnsi="Calibri" w:cs="Calibri"/>
          <w:sz w:val="19"/>
          <w:szCs w:val="19"/>
        </w:rPr>
        <w:br/>
      </w:r>
      <w:r>
        <w:rPr>
          <w:rStyle w:val="statut1"/>
          <w:rFonts w:eastAsia="Times New Roman" w:cs="Calibri"/>
        </w:rPr>
        <w:t>Confortement</w:t>
      </w:r>
      <w:r>
        <w:rPr>
          <w:rFonts w:ascii="Calibri" w:eastAsia="Times New Roman" w:hAnsi="Calibri" w:cs="Calibri"/>
          <w:sz w:val="19"/>
          <w:szCs w:val="19"/>
        </w:rPr>
        <w:t xml:space="preserve"> </w:t>
      </w:r>
      <w:r>
        <w:rPr>
          <w:rFonts w:ascii="Calibri" w:eastAsia="Times New Roman" w:hAnsi="Calibri" w:cs="Calibri"/>
          <w:b/>
          <w:bCs/>
          <w:sz w:val="19"/>
          <w:szCs w:val="19"/>
        </w:rPr>
        <w:t>C3.1</w:t>
      </w:r>
      <w:r>
        <w:rPr>
          <w:rFonts w:ascii="Calibri" w:eastAsia="Times New Roman" w:hAnsi="Calibri" w:cs="Calibri"/>
          <w:sz w:val="19"/>
          <w:szCs w:val="19"/>
        </w:rPr>
        <w:t xml:space="preserve"> Organiser le poste</w:t>
      </w:r>
    </w:p>
    <w:p w:rsidR="00EB2ECB" w:rsidRDefault="00EB2ECB">
      <w:pPr>
        <w:pStyle w:val="Titre3"/>
        <w:shd w:val="clear" w:color="auto" w:fill="FFFFFF"/>
        <w:spacing w:before="240"/>
        <w:divId w:val="675621490"/>
        <w:rPr>
          <w:rFonts w:eastAsia="Times New Roman" w:cs="Calibri"/>
          <w:sz w:val="28"/>
          <w:szCs w:val="28"/>
        </w:rPr>
      </w:pPr>
      <w:r>
        <w:rPr>
          <w:rFonts w:eastAsia="Times New Roman" w:cs="Calibri"/>
          <w:sz w:val="28"/>
          <w:szCs w:val="28"/>
        </w:rPr>
        <w:t>Ce que ce document apporte</w:t>
      </w:r>
    </w:p>
    <w:p w:rsidR="00EB2ECB" w:rsidRDefault="00EB2ECB">
      <w:pPr>
        <w:pStyle w:val="dev"/>
        <w:shd w:val="clear" w:color="auto" w:fill="FFFFFF"/>
        <w:divId w:val="675621490"/>
        <w:rPr>
          <w:rFonts w:ascii="Calibri" w:hAnsi="Calibri" w:cs="Calibri"/>
        </w:rPr>
      </w:pPr>
      <w:r>
        <w:rPr>
          <w:rFonts w:ascii="Calibri" w:hAnsi="Calibri" w:cs="Calibri"/>
        </w:rPr>
        <w:t xml:space="preserve">Le Plan de séance donne le minutage et le tableau des dix phases. Le Document professeur donne le script de correction : ce qu'on répond, ce qu'on valide. Ce troisième document — la </w:t>
      </w:r>
      <w:r>
        <w:rPr>
          <w:rFonts w:ascii="Calibri" w:hAnsi="Calibri" w:cs="Calibri"/>
          <w:b/>
          <w:bCs/>
        </w:rPr>
        <w:t>version détaillée</w:t>
      </w:r>
      <w:r>
        <w:rPr>
          <w:rFonts w:ascii="Calibri" w:hAnsi="Calibri" w:cs="Calibri"/>
        </w:rPr>
        <w:t xml:space="preserve"> — a un rôle différent : expliquer </w:t>
      </w:r>
      <w:r>
        <w:rPr>
          <w:rFonts w:ascii="Calibri" w:hAnsi="Calibri" w:cs="Calibri"/>
          <w:b/>
          <w:bCs/>
        </w:rPr>
        <w:t>pourquoi</w:t>
      </w:r>
      <w:r>
        <w:rPr>
          <w:rFonts w:ascii="Calibri" w:hAnsi="Calibri" w:cs="Calibri"/>
        </w:rPr>
        <w:t xml:space="preserve"> la séance est construite ainsi, et détailler le raisonnement pédagogique que les deux autres documents supposent déjà acquis. Il sert de mémoire de fond pour Franck Henninot, de support de formation pour un collègue qui reprendrait ce module, et de brique réemployable pour une version bac pro plus exigeante de cette même situation professionnelle (reprise d'un magasin d'outillage, transmission technique à l'oral). Rien n'y est inventé : chaque aff</w:t>
      </w:r>
      <w:r>
        <w:rPr>
          <w:rFonts w:ascii="Calibri" w:hAnsi="Calibri" w:cs="Calibri"/>
        </w:rPr>
        <w:t>irmation s'appuie sur le cadrage de séquence S0, sur la charte pédagogique FrigorX et sur le manuel de conception qui organisent l'ensemble de la production de l'usine de contenu.</w:t>
      </w:r>
    </w:p>
    <w:p w:rsidR="00EB2ECB" w:rsidRDefault="00EB2ECB">
      <w:pPr>
        <w:pStyle w:val="Titre3"/>
        <w:shd w:val="clear" w:color="auto" w:fill="FFFFFF"/>
        <w:spacing w:before="240"/>
        <w:divId w:val="675621490"/>
        <w:rPr>
          <w:rFonts w:eastAsia="Times New Roman" w:cs="Calibri"/>
          <w:sz w:val="28"/>
          <w:szCs w:val="28"/>
        </w:rPr>
      </w:pPr>
      <w:r>
        <w:rPr>
          <w:rFonts w:eastAsia="Times New Roman" w:cs="Calibri"/>
          <w:sz w:val="28"/>
          <w:szCs w:val="28"/>
        </w:rPr>
        <w:t>1. Contexte professionnel et pédagogique</w:t>
      </w:r>
    </w:p>
    <w:p w:rsidR="00EB2ECB" w:rsidRDefault="00EB2ECB">
      <w:pPr>
        <w:pStyle w:val="dev"/>
        <w:shd w:val="clear" w:color="auto" w:fill="FFFFFF"/>
        <w:divId w:val="675621490"/>
        <w:rPr>
          <w:rFonts w:ascii="Calibri" w:hAnsi="Calibri" w:cs="Calibri"/>
        </w:rPr>
      </w:pPr>
      <w:r>
        <w:rPr>
          <w:rFonts w:ascii="Calibri" w:hAnsi="Calibri" w:cs="Calibri"/>
        </w:rPr>
        <w:t>La séquence S0 s'ouvre sur un fait réel, pas une fiction pédagogique : l'atelier du lycée Jacques Raynaud n'a jamais été inventorié dans le détail, et les caisses individuelles de la promotion 2026-2028 doivent être constituées à partir de ce même travail. Quand les 30 élèves de 1re année CAP IFCA trient, contrôlent et comptent l'outillage en séances 1 et 2, ils ne simulent pas une tâche professionnelle : le lot de 15 outils par famille qu'ils assemblent est la dotation réelle qui leur sera distribuée. Cett</w:t>
      </w:r>
      <w:r>
        <w:rPr>
          <w:rFonts w:ascii="Calibri" w:hAnsi="Calibri" w:cs="Calibri"/>
        </w:rPr>
        <w:t>e authenticité change la nature de l'engagement demandé — un élève qui bâcle son tri bâcle sa propre caisse de l'année, pas un exercice sans conséquence.</w:t>
      </w:r>
    </w:p>
    <w:p w:rsidR="00EB2ECB" w:rsidRDefault="00EB2ECB">
      <w:pPr>
        <w:pStyle w:val="dev"/>
        <w:shd w:val="clear" w:color="auto" w:fill="FFFFFF"/>
        <w:divId w:val="675621490"/>
        <w:rPr>
          <w:rFonts w:ascii="Calibri" w:hAnsi="Calibri" w:cs="Calibri"/>
        </w:rPr>
      </w:pPr>
      <w:r>
        <w:rPr>
          <w:rFonts w:ascii="Calibri" w:hAnsi="Calibri" w:cs="Calibri"/>
        </w:rPr>
        <w:t xml:space="preserve">La séance 3 ferme ce triptyque. Les séances 1 et 2 ont produit une matière brute : des familles triées, des états contrôlés, des objets non identifiés mis de côté (les OVNI), des outils égarés dans le mauvais atelier (les bacs TRANSFERT). Cette matière n'a de valeur que si elle est </w:t>
      </w:r>
      <w:r>
        <w:rPr>
          <w:rFonts w:ascii="Calibri" w:hAnsi="Calibri" w:cs="Calibri"/>
          <w:b/>
          <w:bCs/>
        </w:rPr>
        <w:t>mise en commun, vérifiée collectivement et rangée définitivement</w:t>
      </w:r>
      <w:r>
        <w:rPr>
          <w:rFonts w:ascii="Calibri" w:hAnsi="Calibri" w:cs="Calibri"/>
        </w:rPr>
        <w:t xml:space="preserve"> — c'est l'objet exact de cette dernière séance, qui réunit pour la première fois les deux ateliers de 15 (Électrique et Façonnage) en classe entière. Le statut des compétences change en conséquence : C2.2 et C3.1, en Découverte lors des deux premières séances, passent en </w:t>
      </w:r>
      <w:r>
        <w:rPr>
          <w:rFonts w:ascii="Calibri" w:hAnsi="Calibri" w:cs="Calibri"/>
          <w:b/>
          <w:bCs/>
        </w:rPr>
        <w:t>Confortement</w:t>
      </w:r>
      <w:r>
        <w:rPr>
          <w:rFonts w:ascii="Calibri" w:hAnsi="Calibri" w:cs="Calibri"/>
        </w:rPr>
        <w:t xml:space="preserve"> — elles ne sont plus nouvelles, elles se consolident par le rangement définitif et par la nécessité de reconnaître des familles d'outils présentées par l'atelier </w:t>
      </w:r>
      <w:r>
        <w:rPr>
          <w:rFonts w:ascii="Calibri" w:hAnsi="Calibri" w:cs="Calibri"/>
        </w:rPr>
        <w:t xml:space="preserve">voisin. C1.1 « Compléter, transmettre » apparaît pour la première fois de l'année, directement en statut </w:t>
      </w:r>
      <w:r>
        <w:rPr>
          <w:rFonts w:ascii="Calibri" w:hAnsi="Calibri" w:cs="Calibri"/>
          <w:b/>
          <w:bCs/>
        </w:rPr>
        <w:t>Évaluation</w:t>
      </w:r>
      <w:r>
        <w:rPr>
          <w:rFonts w:ascii="Calibri" w:hAnsi="Calibri" w:cs="Calibri"/>
        </w:rPr>
        <w:t xml:space="preserve"> : la restitution orale devant un public autre que sa propre équipe est un geste professionnel nouveau, et c'est le seul moment de la séquence S0 où il est sollicité.</w:t>
      </w:r>
    </w:p>
    <w:p w:rsidR="00EB2ECB" w:rsidRDefault="00EB2ECB">
      <w:pPr>
        <w:pStyle w:val="dev"/>
        <w:shd w:val="clear" w:color="auto" w:fill="FFFFFF"/>
        <w:divId w:val="675621490"/>
        <w:rPr>
          <w:rFonts w:ascii="Calibri" w:hAnsi="Calibri" w:cs="Calibri"/>
        </w:rPr>
      </w:pPr>
      <w:r>
        <w:rPr>
          <w:rFonts w:ascii="Calibri" w:hAnsi="Calibri" w:cs="Calibri"/>
        </w:rPr>
        <w:lastRenderedPageBreak/>
        <w:t>C'est une séance de semaine 1, sans aucun prérequis métier à l'entrée : le rituel de sécurité et d'organisation, déjà posé en séances 1 et 2, n'est donc pas redémontré — seulement rappelé en quelques questions flash. Le professeur peut ainsi consacrer la quasi-totalité du créneau de 1 h 30 à ce qui fait le cœur pédagogique de la séance : la restitution croisée, développée en détail plus bas.</w:t>
      </w:r>
    </w:p>
    <w:p w:rsidR="00EB2ECB" w:rsidRDefault="00EB2ECB">
      <w:pPr>
        <w:shd w:val="clear" w:color="auto" w:fill="FFFFFF"/>
        <w:divId w:val="1925187826"/>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r>
        <w:rPr>
          <w:rFonts w:ascii="Calibri" w:eastAsia="Times New Roman" w:hAnsi="Calibri" w:cs="Calibri"/>
          <w:sz w:val="16"/>
          <w:szCs w:val="16"/>
        </w:rPr>
        <w:t xml:space="preserve"> F. Henninot 2026 </w:t>
      </w:r>
      <w:r>
        <w:rPr>
          <w:rFonts w:ascii="Calibri" w:eastAsia="Times New Roman" w:hAnsi="Calibri" w:cs="Calibri"/>
          <w:sz w:val="16"/>
          <w:szCs w:val="16"/>
        </w:rPr>
        <w:t>—</w:t>
      </w:r>
      <w:r>
        <w:rPr>
          <w:rFonts w:ascii="Calibri" w:eastAsia="Times New Roman" w:hAnsi="Calibri" w:cs="Calibri"/>
          <w:sz w:val="16"/>
          <w:szCs w:val="16"/>
        </w:rPr>
        <w:t xml:space="preserve"> diffusion p</w:t>
      </w:r>
      <w:r>
        <w:rPr>
          <w:rFonts w:ascii="Calibri" w:eastAsia="Times New Roman" w:hAnsi="Calibri" w:cs="Calibri"/>
          <w:sz w:val="16"/>
          <w:szCs w:val="16"/>
        </w:rPr>
        <w:t>é</w:t>
      </w:r>
      <w:r>
        <w:rPr>
          <w:rFonts w:ascii="Calibri" w:eastAsia="Times New Roman" w:hAnsi="Calibri" w:cs="Calibri"/>
          <w:sz w:val="16"/>
          <w:szCs w:val="16"/>
        </w:rPr>
        <w:t>dagogique autoris</w:t>
      </w:r>
      <w:r>
        <w:rPr>
          <w:rFonts w:ascii="Calibri" w:eastAsia="Times New Roman" w:hAnsi="Calibri" w:cs="Calibri"/>
          <w:sz w:val="16"/>
          <w:szCs w:val="16"/>
        </w:rPr>
        <w:t>é</w:t>
      </w:r>
      <w:r>
        <w:rPr>
          <w:rFonts w:ascii="Calibri" w:eastAsia="Times New Roman" w:hAnsi="Calibri" w:cs="Calibri"/>
          <w:sz w:val="16"/>
          <w:szCs w:val="16"/>
        </w:rPr>
        <w:t xml:space="preserve">e, mention de l'origine requise </w:t>
      </w:r>
    </w:p>
    <w:p w:rsidR="00EB2ECB" w:rsidRDefault="00EB2ECB">
      <w:pPr>
        <w:shd w:val="clear" w:color="auto" w:fill="FFFFFF"/>
        <w:divId w:val="2119641975"/>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EB2ECB" w:rsidRDefault="00EB2ECB">
      <w:pPr>
        <w:shd w:val="clear" w:color="auto" w:fill="FFFFFF"/>
        <w:jc w:val="right"/>
        <w:divId w:val="2031442937"/>
        <w:rPr>
          <w:rFonts w:ascii="Trebuchet MS" w:eastAsia="Times New Roman" w:hAnsi="Trebuchet MS" w:cs="Calibri"/>
          <w:sz w:val="18"/>
          <w:szCs w:val="18"/>
        </w:rPr>
      </w:pPr>
      <w:r>
        <w:rPr>
          <w:rFonts w:ascii="Trebuchet MS" w:eastAsia="Times New Roman" w:hAnsi="Trebuchet MS" w:cs="Calibri"/>
          <w:sz w:val="18"/>
          <w:szCs w:val="18"/>
        </w:rPr>
        <w:t>S0-Séance 3 · document de référence, version détaillée</w:t>
      </w:r>
    </w:p>
    <w:p w:rsidR="00EB2ECB" w:rsidRDefault="00EB2ECB">
      <w:pPr>
        <w:pStyle w:val="Titre3"/>
        <w:shd w:val="clear" w:color="auto" w:fill="FFFFFF"/>
        <w:spacing w:before="240"/>
        <w:divId w:val="452095549"/>
        <w:rPr>
          <w:rFonts w:eastAsia="Times New Roman" w:cs="Calibri"/>
          <w:sz w:val="28"/>
          <w:szCs w:val="28"/>
        </w:rPr>
      </w:pPr>
      <w:r>
        <w:rPr>
          <w:rFonts w:eastAsia="Times New Roman" w:cs="Calibri"/>
          <w:sz w:val="28"/>
          <w:szCs w:val="28"/>
        </w:rPr>
        <w:t>2. Structure de la séance — les sections du manuel de conception (§3)</w:t>
      </w:r>
    </w:p>
    <w:p w:rsidR="00EB2ECB" w:rsidRDefault="00EB2ECB">
      <w:pPr>
        <w:pStyle w:val="dev"/>
        <w:shd w:val="clear" w:color="auto" w:fill="FFFFFF"/>
        <w:divId w:val="452095549"/>
        <w:rPr>
          <w:rFonts w:ascii="Calibri" w:hAnsi="Calibri" w:cs="Calibri"/>
        </w:rPr>
      </w:pPr>
      <w:r>
        <w:rPr>
          <w:rFonts w:ascii="Calibri" w:hAnsi="Calibri" w:cs="Calibri"/>
        </w:rPr>
        <w:t>Le manuel de conception FrigorX fixe l'ordre obligatoire des sections d'un TP : situation professionnelle, objectifs, prérequis, matériel, sécurité, réalisation, contrôles, rangement, grille d'évaluation, documents à remettre. La séance 3 de S0 est une séance de restitution et d'évaluation plutôt qu'un TP de manipulation classique, mais elle respecte la même architecture — le détail minute par minute vit dans le Plan de séance, le script de correction vit dans le Document professeur ; ce qui suit en donne l</w:t>
      </w:r>
      <w:r>
        <w:rPr>
          <w:rFonts w:ascii="Calibri" w:hAnsi="Calibri" w:cs="Calibri"/>
        </w:rPr>
        <w:t>a logique d'ensemble.</w:t>
      </w:r>
    </w:p>
    <w:p w:rsidR="00EB2ECB" w:rsidRDefault="00EB2ECB">
      <w:pPr>
        <w:pStyle w:val="dev"/>
        <w:shd w:val="clear" w:color="auto" w:fill="FFFFFF"/>
        <w:divId w:val="452095549"/>
        <w:rPr>
          <w:rFonts w:ascii="Calibri" w:hAnsi="Calibri" w:cs="Calibri"/>
        </w:rPr>
      </w:pPr>
      <w:r>
        <w:rPr>
          <w:rFonts w:ascii="Calibri" w:hAnsi="Calibri" w:cs="Calibri"/>
        </w:rPr>
        <w:t xml:space="preserve">La </w:t>
      </w:r>
      <w:r>
        <w:rPr>
          <w:rFonts w:ascii="Calibri" w:hAnsi="Calibri" w:cs="Calibri"/>
          <w:b/>
          <w:bCs/>
        </w:rPr>
        <w:t>situation professionnelle</w:t>
      </w:r>
      <w:r>
        <w:rPr>
          <w:rFonts w:ascii="Calibri" w:hAnsi="Calibri" w:cs="Calibri"/>
        </w:rPr>
        <w:t xml:space="preserve"> (ordre d'intervention OI-2026-S0S3-01, « reprise en main du magasin d'outillage avant le premier chantier de l'année ») n'est pas un habillage : elle justifie que la classe entière se réunisse, que chaque équipe rende des comptes à l'atelier voisin, et que le rangement soit qualifié de « définitif ». Les </w:t>
      </w:r>
      <w:r>
        <w:rPr>
          <w:rFonts w:ascii="Calibri" w:hAnsi="Calibri" w:cs="Calibri"/>
          <w:b/>
          <w:bCs/>
        </w:rPr>
        <w:t>objectifs</w:t>
      </w:r>
      <w:r>
        <w:rPr>
          <w:rFonts w:ascii="Calibri" w:hAnsi="Calibri" w:cs="Calibri"/>
        </w:rPr>
        <w:t xml:space="preserve"> — présenter sa famille et ses OVNI, deviner et justifier ceux de l'atelier voisin, ranger définitivement son lot, s'auto-positionner honnêtement — couvrent les trois comp</w:t>
      </w:r>
      <w:r>
        <w:rPr>
          <w:rFonts w:ascii="Calibri" w:hAnsi="Calibri" w:cs="Calibri"/>
        </w:rPr>
        <w:t>étences visées sans en ajouter une quatrième, conformément au plafond de la charte (§2, jamais plus de quatre compétences évaluées par activité).</w:t>
      </w:r>
    </w:p>
    <w:p w:rsidR="00EB2ECB" w:rsidRDefault="00EB2ECB">
      <w:pPr>
        <w:pStyle w:val="dev"/>
        <w:shd w:val="clear" w:color="auto" w:fill="FFFFFF"/>
        <w:divId w:val="452095549"/>
        <w:rPr>
          <w:rFonts w:ascii="Calibri" w:hAnsi="Calibri" w:cs="Calibri"/>
        </w:rPr>
      </w:pPr>
      <w:r>
        <w:rPr>
          <w:rFonts w:ascii="Calibri" w:hAnsi="Calibri" w:cs="Calibri"/>
        </w:rPr>
        <w:t xml:space="preserve">Les </w:t>
      </w:r>
      <w:r>
        <w:rPr>
          <w:rFonts w:ascii="Calibri" w:hAnsi="Calibri" w:cs="Calibri"/>
          <w:b/>
          <w:bCs/>
        </w:rPr>
        <w:t>prérequis</w:t>
      </w:r>
      <w:r>
        <w:rPr>
          <w:rFonts w:ascii="Calibri" w:hAnsi="Calibri" w:cs="Calibri"/>
        </w:rPr>
        <w:t xml:space="preserve"> ne sont pas des savoirs nouveaux à vérifier : ce sont les acquis des deux séances précédentes (désignations exactes de la caisse, zones et rayons de l'atelier, lot de 15 contrôlé). Le </w:t>
      </w:r>
      <w:r>
        <w:rPr>
          <w:rFonts w:ascii="Calibri" w:hAnsi="Calibri" w:cs="Calibri"/>
          <w:b/>
          <w:bCs/>
        </w:rPr>
        <w:t>matériel</w:t>
      </w:r>
      <w:r>
        <w:rPr>
          <w:rFonts w:ascii="Calibri" w:hAnsi="Calibri" w:cs="Calibri"/>
        </w:rPr>
        <w:t xml:space="preserve"> est entièrement produit par les élèves eux-mêmes lors des séances 1 et 2 (lots, fiches OVNI, bacs TRANSFERT, étiquettes de rayon) : la séance 3 ne demande aucun matériel nouveau, ce qui explique l'absence de préparation de chantier lourde. La </w:t>
      </w:r>
      <w:r>
        <w:rPr>
          <w:rFonts w:ascii="Calibri" w:hAnsi="Calibri" w:cs="Calibri"/>
          <w:b/>
          <w:bCs/>
        </w:rPr>
        <w:t>sécurité</w:t>
      </w:r>
      <w:r>
        <w:rPr>
          <w:rFonts w:ascii="Calibri" w:hAnsi="Calibri" w:cs="Calibri"/>
        </w:rPr>
        <w:t xml:space="preserve"> reste celle déjà posée en séance 1 (coupure légère au con</w:t>
      </w:r>
      <w:r>
        <w:rPr>
          <w:rFonts w:ascii="Calibri" w:hAnsi="Calibri" w:cs="Calibri"/>
        </w:rPr>
        <w:t>tact des faces coupantes, interdiction de tester un outil électroportatif sans contrôle préalable) — aucune manipulation sous tension n'a lieu ce jour, le rappel se limite à quelques questions flash.</w:t>
      </w:r>
    </w:p>
    <w:p w:rsidR="00EB2ECB" w:rsidRDefault="00EB2ECB">
      <w:pPr>
        <w:pStyle w:val="dev"/>
        <w:shd w:val="clear" w:color="auto" w:fill="FFFFFF"/>
        <w:divId w:val="452095549"/>
        <w:rPr>
          <w:rFonts w:ascii="Calibri" w:hAnsi="Calibri" w:cs="Calibri"/>
        </w:rPr>
      </w:pPr>
      <w:r>
        <w:rPr>
          <w:rFonts w:ascii="Calibri" w:hAnsi="Calibri" w:cs="Calibri"/>
        </w:rPr>
        <w:t xml:space="preserve">La </w:t>
      </w:r>
      <w:r>
        <w:rPr>
          <w:rFonts w:ascii="Calibri" w:hAnsi="Calibri" w:cs="Calibri"/>
          <w:b/>
          <w:bCs/>
        </w:rPr>
        <w:t>réalisation</w:t>
      </w:r>
      <w:r>
        <w:rPr>
          <w:rFonts w:ascii="Calibri" w:hAnsi="Calibri" w:cs="Calibri"/>
        </w:rPr>
        <w:t xml:space="preserve"> se déroule en deux temps successifs à l'intérieur d'une même phase de guidage (phase 6 du canon) : la restitution croisée proprement dite, puis l'échange des bacs TRANSFERT — les deux sont développés séparément plus bas parce qu'ils répondent à des logiques différentes (l'une pédagogique, l'autre logistique). Le </w:t>
      </w:r>
      <w:r>
        <w:rPr>
          <w:rFonts w:ascii="Calibri" w:hAnsi="Calibri" w:cs="Calibri"/>
          <w:b/>
          <w:bCs/>
        </w:rPr>
        <w:t>contrôle</w:t>
      </w:r>
      <w:r>
        <w:rPr>
          <w:rFonts w:ascii="Calibri" w:hAnsi="Calibri" w:cs="Calibri"/>
        </w:rPr>
        <w:t xml:space="preserve"> est intégré à cette même phase : c'est le professeur qui valide ou corrige chaque hypothèse formulée par le public. Le </w:t>
      </w:r>
      <w:r>
        <w:rPr>
          <w:rFonts w:ascii="Calibri" w:hAnsi="Calibri" w:cs="Calibri"/>
          <w:b/>
          <w:bCs/>
        </w:rPr>
        <w:t>rangement</w:t>
      </w:r>
      <w:r>
        <w:rPr>
          <w:rFonts w:ascii="Calibri" w:hAnsi="Calibri" w:cs="Calibri"/>
        </w:rPr>
        <w:t xml:space="preserve"> conclut la séance par le placement définitif des</w:t>
      </w:r>
      <w:r>
        <w:rPr>
          <w:rFonts w:ascii="Calibri" w:hAnsi="Calibri" w:cs="Calibri"/>
        </w:rPr>
        <w:t xml:space="preserve"> lots dans les rayons assignés — c'est un contrôle en soi, puisqu'un lot mal rangé se voit immédiatement. La </w:t>
      </w:r>
      <w:r>
        <w:rPr>
          <w:rFonts w:ascii="Calibri" w:hAnsi="Calibri" w:cs="Calibri"/>
          <w:b/>
          <w:bCs/>
        </w:rPr>
        <w:t>grille d'évaluation 0-4</w:t>
      </w:r>
      <w:r>
        <w:rPr>
          <w:rFonts w:ascii="Calibri" w:hAnsi="Calibri" w:cs="Calibri"/>
        </w:rPr>
        <w:t xml:space="preserve"> et l'</w:t>
      </w:r>
      <w:r>
        <w:rPr>
          <w:rFonts w:ascii="Calibri" w:hAnsi="Calibri" w:cs="Calibri"/>
          <w:b/>
          <w:bCs/>
        </w:rPr>
        <w:t>auto-positionnement</w:t>
      </w:r>
      <w:r>
        <w:rPr>
          <w:rFonts w:ascii="Calibri" w:hAnsi="Calibri" w:cs="Calibri"/>
        </w:rPr>
        <w:t xml:space="preserve"> ferment la boucle avant le retour en tenue de ville ; les </w:t>
      </w:r>
      <w:r>
        <w:rPr>
          <w:rFonts w:ascii="Calibri" w:hAnsi="Calibri" w:cs="Calibri"/>
          <w:b/>
          <w:bCs/>
        </w:rPr>
        <w:t>documents à remettre</w:t>
      </w:r>
      <w:r>
        <w:rPr>
          <w:rFonts w:ascii="Calibri" w:hAnsi="Calibri" w:cs="Calibri"/>
        </w:rPr>
        <w:t xml:space="preserve"> sont le document élève complété et la grille d'auto-positionnement.</w:t>
      </w:r>
    </w:p>
    <w:p w:rsidR="00EB2ECB" w:rsidRDefault="00EB2ECB">
      <w:pPr>
        <w:shd w:val="clear" w:color="auto" w:fill="FFFFFF"/>
        <w:divId w:val="50348628"/>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r>
        <w:rPr>
          <w:rFonts w:ascii="Calibri" w:eastAsia="Times New Roman" w:hAnsi="Calibri" w:cs="Calibri"/>
          <w:sz w:val="16"/>
          <w:szCs w:val="16"/>
        </w:rPr>
        <w:t xml:space="preserve"> F. Henninot 2026 </w:t>
      </w:r>
      <w:r>
        <w:rPr>
          <w:rFonts w:ascii="Calibri" w:eastAsia="Times New Roman" w:hAnsi="Calibri" w:cs="Calibri"/>
          <w:sz w:val="16"/>
          <w:szCs w:val="16"/>
        </w:rPr>
        <w:t>—</w:t>
      </w:r>
      <w:r>
        <w:rPr>
          <w:rFonts w:ascii="Calibri" w:eastAsia="Times New Roman" w:hAnsi="Calibri" w:cs="Calibri"/>
          <w:sz w:val="16"/>
          <w:szCs w:val="16"/>
        </w:rPr>
        <w:t xml:space="preserve"> diffusion p</w:t>
      </w:r>
      <w:r>
        <w:rPr>
          <w:rFonts w:ascii="Calibri" w:eastAsia="Times New Roman" w:hAnsi="Calibri" w:cs="Calibri"/>
          <w:sz w:val="16"/>
          <w:szCs w:val="16"/>
        </w:rPr>
        <w:t>é</w:t>
      </w:r>
      <w:r>
        <w:rPr>
          <w:rFonts w:ascii="Calibri" w:eastAsia="Times New Roman" w:hAnsi="Calibri" w:cs="Calibri"/>
          <w:sz w:val="16"/>
          <w:szCs w:val="16"/>
        </w:rPr>
        <w:t>dagogique autoris</w:t>
      </w:r>
      <w:r>
        <w:rPr>
          <w:rFonts w:ascii="Calibri" w:eastAsia="Times New Roman" w:hAnsi="Calibri" w:cs="Calibri"/>
          <w:sz w:val="16"/>
          <w:szCs w:val="16"/>
        </w:rPr>
        <w:t>é</w:t>
      </w:r>
      <w:r>
        <w:rPr>
          <w:rFonts w:ascii="Calibri" w:eastAsia="Times New Roman" w:hAnsi="Calibri" w:cs="Calibri"/>
          <w:sz w:val="16"/>
          <w:szCs w:val="16"/>
        </w:rPr>
        <w:t xml:space="preserve">e, mention de l'origine requise </w:t>
      </w:r>
    </w:p>
    <w:p w:rsidR="00EB2ECB" w:rsidRDefault="00EB2ECB">
      <w:pPr>
        <w:shd w:val="clear" w:color="auto" w:fill="FFFFFF"/>
        <w:divId w:val="1050879107"/>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EB2ECB" w:rsidRDefault="00EB2ECB">
      <w:pPr>
        <w:shd w:val="clear" w:color="auto" w:fill="FFFFFF"/>
        <w:jc w:val="right"/>
        <w:divId w:val="973826440"/>
        <w:rPr>
          <w:rFonts w:ascii="Trebuchet MS" w:eastAsia="Times New Roman" w:hAnsi="Trebuchet MS" w:cs="Calibri"/>
          <w:sz w:val="18"/>
          <w:szCs w:val="18"/>
        </w:rPr>
      </w:pPr>
      <w:r>
        <w:rPr>
          <w:rFonts w:ascii="Trebuchet MS" w:eastAsia="Times New Roman" w:hAnsi="Trebuchet MS" w:cs="Calibri"/>
          <w:sz w:val="18"/>
          <w:szCs w:val="18"/>
        </w:rPr>
        <w:t>S0-Séance 3 · document de référence, version détaillée</w:t>
      </w:r>
    </w:p>
    <w:p w:rsidR="00EB2ECB" w:rsidRDefault="00EB2ECB">
      <w:pPr>
        <w:pStyle w:val="Titre3"/>
        <w:shd w:val="clear" w:color="auto" w:fill="FFFFFF"/>
        <w:spacing w:before="240"/>
        <w:divId w:val="310597355"/>
        <w:rPr>
          <w:rFonts w:eastAsia="Times New Roman" w:cs="Calibri"/>
          <w:sz w:val="28"/>
          <w:szCs w:val="28"/>
        </w:rPr>
      </w:pPr>
      <w:r>
        <w:rPr>
          <w:rFonts w:eastAsia="Times New Roman" w:cs="Calibri"/>
          <w:sz w:val="28"/>
          <w:szCs w:val="28"/>
        </w:rPr>
        <w:t>3. Le cœur de la séance : faire produire un savoir par la restitution croisée</w:t>
      </w:r>
    </w:p>
    <w:p w:rsidR="00EB2ECB" w:rsidRDefault="00EB2ECB">
      <w:pPr>
        <w:pStyle w:val="dev"/>
        <w:shd w:val="clear" w:color="auto" w:fill="FFFFFF"/>
        <w:divId w:val="310597355"/>
        <w:rPr>
          <w:rFonts w:ascii="Calibri" w:hAnsi="Calibri" w:cs="Calibri"/>
        </w:rPr>
      </w:pPr>
      <w:r>
        <w:rPr>
          <w:rFonts w:ascii="Calibri" w:hAnsi="Calibri" w:cs="Calibri"/>
        </w:rPr>
        <w:t xml:space="preserve">C'est le passage le plus délicat à conduire de toute la séquence S0, parce qu'il repose sur un principe fragile : un jeu de devinette entre pairs peut vite dégénérer en spectacle sans apprentissage, si l'animation ne le tient pas fermement dans le registre de la </w:t>
      </w:r>
      <w:r>
        <w:rPr>
          <w:rFonts w:ascii="Calibri" w:hAnsi="Calibri" w:cs="Calibri"/>
          <w:b/>
          <w:bCs/>
        </w:rPr>
        <w:t>découverte</w:t>
      </w:r>
      <w:r>
        <w:rPr>
          <w:rFonts w:ascii="Calibri" w:hAnsi="Calibri" w:cs="Calibri"/>
        </w:rPr>
        <w:t xml:space="preserve"> voulu par la charte pédagogique (§1) — observer, puis nommer, puis expliciter, jamais l'inverse.</w:t>
      </w:r>
    </w:p>
    <w:p w:rsidR="00EB2ECB" w:rsidRDefault="00EB2ECB">
      <w:pPr>
        <w:pStyle w:val="Titre4"/>
        <w:shd w:val="clear" w:color="auto" w:fill="FFFFFF"/>
        <w:spacing w:before="264" w:after="120"/>
        <w:divId w:val="310597355"/>
        <w:rPr>
          <w:rFonts w:eastAsia="Times New Roman" w:cs="Calibri"/>
          <w:sz w:val="23"/>
          <w:szCs w:val="23"/>
        </w:rPr>
      </w:pPr>
      <w:r>
        <w:rPr>
          <w:rFonts w:eastAsia="Times New Roman" w:cs="Calibri"/>
          <w:sz w:val="23"/>
          <w:szCs w:val="23"/>
        </w:rPr>
        <w:t>Lancer l'exercice</w:t>
      </w:r>
    </w:p>
    <w:p w:rsidR="00EB2ECB" w:rsidRDefault="00EB2ECB">
      <w:pPr>
        <w:pStyle w:val="dev"/>
        <w:shd w:val="clear" w:color="auto" w:fill="FFFFFF"/>
        <w:divId w:val="310597355"/>
        <w:rPr>
          <w:rFonts w:ascii="Calibri" w:hAnsi="Calibri" w:cs="Calibri"/>
        </w:rPr>
      </w:pPr>
      <w:r>
        <w:rPr>
          <w:rFonts w:ascii="Calibri" w:hAnsi="Calibri" w:cs="Calibri"/>
        </w:rPr>
        <w:t>Le professeur annonce la règle en une phrase avant toute présentation : « vous devez deviner avant qu'on vous le dise ». Cette phrase unique fait tout le travail de cadrage — elle interdit d'emblée à l'équipe présentatrice de commencer par le nom de l'objet. L'ordre de passage alterne délibérément les deux ateliers (une famille Électrique, puis une famille Façonnage, et ainsi de suite) : garder les deux publics actifs en permanence évite qu'un groupe décroche pendant que l'autre parle. Les familles nombreus</w:t>
      </w:r>
      <w:r>
        <w:rPr>
          <w:rFonts w:ascii="Calibri" w:hAnsi="Calibri" w:cs="Calibri"/>
        </w:rPr>
        <w:t>es (les cinq variantes de tournevis, par exemple) peuvent être regroupées en une seule présentation pour tenir les onze passages en quarante minutes ; c'est un arbitrage de minutage, pas un renoncement au principe.</w:t>
      </w:r>
    </w:p>
    <w:p w:rsidR="00EB2ECB" w:rsidRDefault="00EB2ECB">
      <w:pPr>
        <w:pStyle w:val="Titre4"/>
        <w:shd w:val="clear" w:color="auto" w:fill="FFFFFF"/>
        <w:spacing w:before="264" w:after="120"/>
        <w:divId w:val="310597355"/>
        <w:rPr>
          <w:rFonts w:eastAsia="Times New Roman" w:cs="Calibri"/>
          <w:sz w:val="23"/>
          <w:szCs w:val="23"/>
        </w:rPr>
      </w:pPr>
      <w:r>
        <w:rPr>
          <w:rFonts w:eastAsia="Times New Roman" w:cs="Calibri"/>
          <w:sz w:val="23"/>
          <w:szCs w:val="23"/>
        </w:rPr>
        <w:t>Faire formuler une hypothèse avant de donner la réponse</w:t>
      </w:r>
    </w:p>
    <w:p w:rsidR="00EB2ECB" w:rsidRDefault="00EB2ECB">
      <w:pPr>
        <w:pStyle w:val="dev"/>
        <w:shd w:val="clear" w:color="auto" w:fill="FFFFFF"/>
        <w:divId w:val="310597355"/>
        <w:rPr>
          <w:rFonts w:ascii="Calibri" w:hAnsi="Calibri" w:cs="Calibri"/>
        </w:rPr>
      </w:pPr>
      <w:r>
        <w:rPr>
          <w:rFonts w:ascii="Calibri" w:hAnsi="Calibri" w:cs="Calibri"/>
        </w:rPr>
        <w:t xml:space="preserve">C'est le point sur lequel un professeur pressé par le temps est le plus tenté de céder — et c'est précisément celui qu'il ne faut jamais lâcher. Face à un objet non identifié, la première question posée au public n'est jamais « qui sait ce que c'est ? » mais « </w:t>
      </w:r>
      <w:r>
        <w:rPr>
          <w:rFonts w:ascii="Calibri" w:hAnsi="Calibri" w:cs="Calibri"/>
          <w:b/>
          <w:bCs/>
        </w:rPr>
        <w:t>à quoi ça sert, à votre avis</w:t>
      </w:r>
      <w:r>
        <w:rPr>
          <w:rFonts w:ascii="Calibri" w:hAnsi="Calibri" w:cs="Calibri"/>
        </w:rPr>
        <w:t xml:space="preserve"> ? », suivie systématiquement de « pourquoi tu penses ça ? ». Exiger la justification en même temps que l'hypothèse change la nature de l'exercice : on ne demande plus à l'élève de deviner un mot, on lui demande de raisonner sur un objet. Si le public reste silencieux plus d'une quinzaine de secondes, la relance du professeur prend la forme d'un indice sur l'objet lui-même (« regardez la forme du bec », « qu'est-ce qui est écrit dessus ? ») — jamais la réponse. Un indice relance </w:t>
      </w:r>
      <w:r>
        <w:rPr>
          <w:rFonts w:ascii="Calibri" w:hAnsi="Calibri" w:cs="Calibri"/>
        </w:rPr>
        <w:t>l'observation ; une réponse la coupe.</w:t>
      </w:r>
    </w:p>
    <w:p w:rsidR="00EB2ECB" w:rsidRDefault="00EB2ECB">
      <w:pPr>
        <w:pStyle w:val="Titre4"/>
        <w:shd w:val="clear" w:color="auto" w:fill="FFFFFF"/>
        <w:spacing w:before="264" w:after="120"/>
        <w:divId w:val="310597355"/>
        <w:rPr>
          <w:rFonts w:eastAsia="Times New Roman" w:cs="Calibri"/>
          <w:sz w:val="23"/>
          <w:szCs w:val="23"/>
        </w:rPr>
      </w:pPr>
      <w:r>
        <w:rPr>
          <w:rFonts w:eastAsia="Times New Roman" w:cs="Calibri"/>
          <w:sz w:val="23"/>
          <w:szCs w:val="23"/>
        </w:rPr>
        <w:t>Quand une équipe se trompe : la trace de l'erreur est utile</w:t>
      </w:r>
    </w:p>
    <w:p w:rsidR="00EB2ECB" w:rsidRDefault="00EB2ECB">
      <w:pPr>
        <w:pStyle w:val="dev"/>
        <w:shd w:val="clear" w:color="auto" w:fill="FFFFFF"/>
        <w:divId w:val="310597355"/>
        <w:rPr>
          <w:rFonts w:ascii="Calibri" w:hAnsi="Calibri" w:cs="Calibri"/>
        </w:rPr>
      </w:pPr>
      <w:r>
        <w:rPr>
          <w:rFonts w:ascii="Calibri" w:hAnsi="Calibri" w:cs="Calibri"/>
        </w:rPr>
        <w:t>Une hypothèse fausse n'est pas un incident à effacer vite pour ne pas gêner l'équipe présentatrice : c'est le matériau le plus riche de tout l'exercice. Quand le public propose un usage erroné, le professeur ne corrige pas immédiatement — il fait d'abord dire à l'équipe présentatrice ce qui, dans l'hypothèse du public, est proche et ce qui ne colle pas avec l'objet réel. Cette confrontation entre l'hypothèse et l'objet oblige à revenir sur l'observable qui aurait dû alerter (une forme, une taille, un marqua</w:t>
      </w:r>
      <w:r>
        <w:rPr>
          <w:rFonts w:ascii="Calibri" w:hAnsi="Calibri" w:cs="Calibri"/>
        </w:rPr>
        <w:t xml:space="preserve">ge) plutôt que sur le mot attendu. Le tableau du document élève, où chaque élève note son hypothèse </w:t>
      </w:r>
      <w:r>
        <w:rPr>
          <w:rFonts w:ascii="Calibri" w:hAnsi="Calibri" w:cs="Calibri"/>
          <w:b/>
          <w:bCs/>
        </w:rPr>
        <w:t>avant</w:t>
      </w:r>
      <w:r>
        <w:rPr>
          <w:rFonts w:ascii="Calibri" w:hAnsi="Calibri" w:cs="Calibri"/>
        </w:rPr>
        <w:t xml:space="preserve"> la réponse donnée, conserve précisément cette trace : à la relecture, l'écart entre « ce que j'ai cru » et « ce que c'est » vaut davantage, pour l'apprentissage, qu'une ligne juste du premier coup. Une erreur non corrigée dans l'instant mais reprise avec méthode construit une mémoire plus solide qu'une réponse reçue passivement — c'est le même principe qui gouverne le « planter la notion » du canon acad</w:t>
      </w:r>
      <w:r>
        <w:rPr>
          <w:rFonts w:ascii="Calibri" w:hAnsi="Calibri" w:cs="Calibri"/>
        </w:rPr>
        <w:t>émique (observer → nommer → expliciter), appliqué ici à un objet plutôt qu'à un phénomène.</w:t>
      </w:r>
    </w:p>
    <w:p w:rsidR="00EB2ECB" w:rsidRDefault="00EB2ECB">
      <w:pPr>
        <w:pStyle w:val="Titre4"/>
        <w:shd w:val="clear" w:color="auto" w:fill="FFFFFF"/>
        <w:spacing w:before="264" w:after="120"/>
        <w:divId w:val="310597355"/>
        <w:rPr>
          <w:rFonts w:eastAsia="Times New Roman" w:cs="Calibri"/>
          <w:sz w:val="23"/>
          <w:szCs w:val="23"/>
        </w:rPr>
      </w:pPr>
      <w:r>
        <w:rPr>
          <w:rFonts w:eastAsia="Times New Roman" w:cs="Calibri"/>
          <w:sz w:val="23"/>
          <w:szCs w:val="23"/>
        </w:rPr>
        <w:t>Éviter la devinette pure : justifier par la forme, la matière, le marquage, l'usure</w:t>
      </w:r>
    </w:p>
    <w:p w:rsidR="00EB2ECB" w:rsidRDefault="00EB2ECB">
      <w:pPr>
        <w:pStyle w:val="dev"/>
        <w:shd w:val="clear" w:color="auto" w:fill="FFFFFF"/>
        <w:divId w:val="310597355"/>
        <w:rPr>
          <w:rFonts w:ascii="Calibri" w:hAnsi="Calibri" w:cs="Calibri"/>
        </w:rPr>
      </w:pPr>
      <w:r>
        <w:rPr>
          <w:rFonts w:ascii="Calibri" w:hAnsi="Calibri" w:cs="Calibri"/>
        </w:rPr>
        <w:t xml:space="preserve">Le risque propre à cet exercice est qu'il se réduise à un jeu de mots sans raisonnement — deviner au hasard jusqu'à tomber juste. Le professeur s'en protège en refusant toute hypothèse qui ne s'appuie sur aucun observable et en réclamant systématiquement l'un des quatre appuis suivants : la </w:t>
      </w:r>
      <w:r>
        <w:rPr>
          <w:rFonts w:ascii="Calibri" w:hAnsi="Calibri" w:cs="Calibri"/>
          <w:b/>
          <w:bCs/>
        </w:rPr>
        <w:t>forme</w:t>
      </w:r>
      <w:r>
        <w:rPr>
          <w:rFonts w:ascii="Calibri" w:hAnsi="Calibri" w:cs="Calibri"/>
        </w:rPr>
        <w:t xml:space="preserve"> de l'objet (un bec coudé à 45° suggère une préhension particulière, pas la même que celle d'une pince droite) ; la </w:t>
      </w:r>
      <w:r>
        <w:rPr>
          <w:rFonts w:ascii="Calibri" w:hAnsi="Calibri" w:cs="Calibri"/>
          <w:b/>
          <w:bCs/>
        </w:rPr>
        <w:t>matière</w:t>
      </w:r>
      <w:r>
        <w:rPr>
          <w:rFonts w:ascii="Calibri" w:hAnsi="Calibri" w:cs="Calibri"/>
        </w:rPr>
        <w:t xml:space="preserve"> travaillée (un outil dimensionné pour le cuivre, comme une cintreuse ou un coupe-tube, se reconnaît à ses mâchoires ou galets adaptés, à distinguer d'un outil pour le façonnage de l'acier) ; le </w:t>
      </w:r>
      <w:r>
        <w:rPr>
          <w:rFonts w:ascii="Calibri" w:hAnsi="Calibri" w:cs="Calibri"/>
          <w:b/>
          <w:bCs/>
        </w:rPr>
        <w:t>marquage</w:t>
      </w:r>
      <w:r>
        <w:rPr>
          <w:rFonts w:ascii="Calibri" w:hAnsi="Calibri" w:cs="Calibri"/>
        </w:rPr>
        <w:t xml:space="preserve"> gravé sur l'outil (dimension, référence, symbole d'isolation électrique) — c'est directement le geste que travaille le savoir S2.1 « Outils, normes et représentation », déjà mobili</w:t>
      </w:r>
      <w:r>
        <w:rPr>
          <w:rFonts w:ascii="Calibri" w:hAnsi="Calibri" w:cs="Calibri"/>
        </w:rPr>
        <w:t>sé en séances 1 et 2 pour les cintreuses cuivre, dont le diamètre gravé doit être relevé et jamais deviné ; l'</w:t>
      </w:r>
      <w:r>
        <w:rPr>
          <w:rFonts w:ascii="Calibri" w:hAnsi="Calibri" w:cs="Calibri"/>
          <w:b/>
          <w:bCs/>
        </w:rPr>
        <w:t>usure</w:t>
      </w:r>
      <w:r>
        <w:rPr>
          <w:rFonts w:ascii="Calibri" w:hAnsi="Calibri" w:cs="Calibri"/>
        </w:rPr>
        <w:t xml:space="preserve"> enfin, visible sur l'objet et déjà qualifiée lors du contrôle d'état de la séance 2 (bon / à réviser / hors service), qui renseigne sur la fréquence d'usage et donc, indirectement, sur la famille d'appartenance probable. Un élève qui répond « je ne sais pas » n'est jamais sanctionné dans l'instant ; un élève qui répond sans pouvoir désigner sur quoi il s'appuie est renvoyé à l'objet avec la qu</w:t>
      </w:r>
      <w:r>
        <w:rPr>
          <w:rFonts w:ascii="Calibri" w:hAnsi="Calibri" w:cs="Calibri"/>
        </w:rPr>
        <w:t>estion « qu'est-ce que tu vois qui te fait dire ça ? ». C'est cette exigence de preuve, plus que la justesse de la réponse elle-même, que la grille d'évaluation cherche à capter pour C1.1 et pour C2.2.</w:t>
      </w:r>
    </w:p>
    <w:p w:rsidR="00EB2ECB" w:rsidRDefault="00EB2ECB">
      <w:pPr>
        <w:shd w:val="clear" w:color="auto" w:fill="FFFFFF"/>
        <w:divId w:val="953291017"/>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w:t>
      </w:r>
      <w:r>
        <w:rPr>
          <w:rFonts w:ascii="Calibri" w:eastAsia="Times New Roman" w:hAnsi="Calibri" w:cs="Calibri"/>
          <w:sz w:val="16"/>
          <w:szCs w:val="16"/>
        </w:rPr>
        <w:t xml:space="preserve">créé le 02/09/2026 · © F. Henninot 2026 — diffusion pédagogique autorisée, mention de l'origine requise </w:t>
      </w:r>
    </w:p>
    <w:p w:rsidR="00EB2ECB" w:rsidRDefault="00EB2ECB">
      <w:pPr>
        <w:shd w:val="clear" w:color="auto" w:fill="FFFFFF"/>
        <w:divId w:val="117069198"/>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EB2ECB" w:rsidRDefault="00EB2ECB">
      <w:pPr>
        <w:shd w:val="clear" w:color="auto" w:fill="FFFFFF"/>
        <w:jc w:val="right"/>
        <w:divId w:val="1436484050"/>
        <w:rPr>
          <w:rFonts w:ascii="Trebuchet MS" w:eastAsia="Times New Roman" w:hAnsi="Trebuchet MS" w:cs="Calibri"/>
          <w:sz w:val="18"/>
          <w:szCs w:val="18"/>
        </w:rPr>
      </w:pPr>
      <w:r>
        <w:rPr>
          <w:rFonts w:ascii="Trebuchet MS" w:eastAsia="Times New Roman" w:hAnsi="Trebuchet MS" w:cs="Calibri"/>
          <w:sz w:val="18"/>
          <w:szCs w:val="18"/>
        </w:rPr>
        <w:t>S0-Séance 3 · document de référence, version détaillée</w:t>
      </w:r>
    </w:p>
    <w:p w:rsidR="00EB2ECB" w:rsidRDefault="00EB2ECB">
      <w:pPr>
        <w:pStyle w:val="Titre3"/>
        <w:shd w:val="clear" w:color="auto" w:fill="FFFFFF"/>
        <w:spacing w:before="240"/>
        <w:divId w:val="1862738207"/>
        <w:rPr>
          <w:rFonts w:eastAsia="Times New Roman" w:cs="Calibri"/>
          <w:sz w:val="28"/>
          <w:szCs w:val="28"/>
        </w:rPr>
      </w:pPr>
      <w:r>
        <w:rPr>
          <w:rFonts w:eastAsia="Times New Roman" w:cs="Calibri"/>
          <w:sz w:val="28"/>
          <w:szCs w:val="28"/>
        </w:rPr>
        <w:t>4. L'évaluation par compétences en première semaine</w:t>
      </w:r>
    </w:p>
    <w:p w:rsidR="00EB2ECB" w:rsidRDefault="00EB2ECB">
      <w:pPr>
        <w:pStyle w:val="dev"/>
        <w:shd w:val="clear" w:color="auto" w:fill="FFFFFF"/>
        <w:divId w:val="1862738207"/>
        <w:rPr>
          <w:rFonts w:ascii="Calibri" w:hAnsi="Calibri" w:cs="Calibri"/>
        </w:rPr>
      </w:pPr>
      <w:r>
        <w:rPr>
          <w:rFonts w:ascii="Calibri" w:hAnsi="Calibri" w:cs="Calibri"/>
        </w:rPr>
        <w:t xml:space="preserve">Positionner une compétence dès la première semaine d'année peut sembler prématuré : les élèves arrivent, personne ne se connaît encore, aucun geste métier n'a été enseigné. C'est précisément pour cette raison que le statut </w:t>
      </w:r>
      <w:r>
        <w:rPr>
          <w:rFonts w:ascii="Calibri" w:hAnsi="Calibri" w:cs="Calibri"/>
          <w:b/>
          <w:bCs/>
        </w:rPr>
        <w:t>Évaluation</w:t>
      </w:r>
      <w:r>
        <w:rPr>
          <w:rFonts w:ascii="Calibri" w:hAnsi="Calibri" w:cs="Calibri"/>
        </w:rPr>
        <w:t xml:space="preserve"> porté par C1.1 le 3</w:t>
      </w:r>
      <w:r>
        <w:rPr>
          <w:rFonts w:ascii="Calibri" w:hAnsi="Calibri" w:cs="Calibri"/>
          <w:vertAlign w:val="superscript"/>
        </w:rPr>
        <w:t>e</w:t>
      </w:r>
      <w:r>
        <w:rPr>
          <w:rFonts w:ascii="Calibri" w:hAnsi="Calibri" w:cs="Calibri"/>
        </w:rPr>
        <w:t xml:space="preserve"> jour de la séquence S0 est explicitement qualifié, dans le cadrage, de « premier positionnement de l'année, poids réduit — c'est une découverte, pas un contrôle ». Ce poids réduit n'est pas une formule de prudence administrative : il traduit un principe de la charte pédagogique FrigorX (§2) selon lequel le statut d'une compétence dans une activité — Découverte, Confortement ou Évaluation — détermine son poids réel pour le diplôme, indépendamment du fait qu'une note soit ou no</w:t>
      </w:r>
      <w:r>
        <w:rPr>
          <w:rFonts w:ascii="Calibri" w:hAnsi="Calibri" w:cs="Calibri"/>
        </w:rPr>
        <w:t>n remontée sur École Directe. Une Évaluation de semaine 1 compte, mais elle compte moins qu'une Évaluation de fin de séquence sur un geste déjà enseigné plusieurs fois.</w:t>
      </w:r>
    </w:p>
    <w:p w:rsidR="00EB2ECB" w:rsidRDefault="00EB2ECB">
      <w:pPr>
        <w:pStyle w:val="dev"/>
        <w:shd w:val="clear" w:color="auto" w:fill="FFFFFF"/>
        <w:divId w:val="1862738207"/>
        <w:rPr>
          <w:rFonts w:ascii="Calibri" w:hAnsi="Calibri" w:cs="Calibri"/>
        </w:rPr>
      </w:pPr>
      <w:r>
        <w:rPr>
          <w:rFonts w:ascii="Calibri" w:hAnsi="Calibri" w:cs="Calibri"/>
        </w:rPr>
        <w:t>La charte distingue deux axes qu'il ne faut jamais confondre (§5) : l'</w:t>
      </w:r>
      <w:r>
        <w:rPr>
          <w:rFonts w:ascii="Calibri" w:hAnsi="Calibri" w:cs="Calibri"/>
          <w:b/>
          <w:bCs/>
        </w:rPr>
        <w:t>échelle 0-4</w:t>
      </w:r>
      <w:r>
        <w:rPr>
          <w:rFonts w:ascii="Calibri" w:hAnsi="Calibri" w:cs="Calibri"/>
        </w:rPr>
        <w:t xml:space="preserve"> mesure le </w:t>
      </w:r>
      <w:r>
        <w:rPr>
          <w:rFonts w:ascii="Calibri" w:hAnsi="Calibri" w:cs="Calibri"/>
          <w:b/>
          <w:bCs/>
        </w:rPr>
        <w:t>positionnement constaté</w:t>
      </w:r>
      <w:r>
        <w:rPr>
          <w:rFonts w:ascii="Calibri" w:hAnsi="Calibri" w:cs="Calibri"/>
        </w:rPr>
        <w:t xml:space="preserve"> un jour donné — ce que l'élève a montré, ici et maintenant, sur la restitution d'une famille d'outils — tandis que la </w:t>
      </w:r>
      <w:r>
        <w:rPr>
          <w:rFonts w:ascii="Calibri" w:hAnsi="Calibri" w:cs="Calibri"/>
          <w:b/>
          <w:bCs/>
        </w:rPr>
        <w:t>progression spiralaire Initiation → Consolidation → Maîtrise → Validé</w:t>
      </w:r>
      <w:r>
        <w:rPr>
          <w:rFonts w:ascii="Calibri" w:hAnsi="Calibri" w:cs="Calibri"/>
        </w:rPr>
        <w:t xml:space="preserve"> mesure le </w:t>
      </w:r>
      <w:r>
        <w:rPr>
          <w:rFonts w:ascii="Calibri" w:hAnsi="Calibri" w:cs="Calibri"/>
          <w:b/>
          <w:bCs/>
        </w:rPr>
        <w:t>niveau visé</w:t>
      </w:r>
      <w:r>
        <w:rPr>
          <w:rFonts w:ascii="Calibri" w:hAnsi="Calibri" w:cs="Calibri"/>
        </w:rPr>
        <w:t xml:space="preserve"> sur l'ensemble de l'année scolaire. Un élève positionné à 2 sur C1.1 en semaine 1 n'est pas un élève en échec : il est en phase d'Initiation sur une compétence qui sera retravaillée plusieurs fois au fil des séquences suivantes, avec une exigence croissant</w:t>
      </w:r>
      <w:r>
        <w:rPr>
          <w:rFonts w:ascii="Calibri" w:hAnsi="Calibri" w:cs="Calibri"/>
        </w:rPr>
        <w:t>e à chaque reprise — c'est le sens même de la pédagogie spiralaire (charte §1), où le prérequis d'aujourd'hui devient le savoir travaillé de demain.</w:t>
      </w:r>
    </w:p>
    <w:p w:rsidR="00EB2ECB" w:rsidRDefault="00EB2ECB">
      <w:pPr>
        <w:pStyle w:val="dev"/>
        <w:shd w:val="clear" w:color="auto" w:fill="FFFFFF"/>
        <w:divId w:val="1862738207"/>
        <w:rPr>
          <w:rFonts w:ascii="Calibri" w:hAnsi="Calibri" w:cs="Calibri"/>
        </w:rPr>
      </w:pPr>
      <w:r>
        <w:rPr>
          <w:rFonts w:ascii="Calibri" w:hAnsi="Calibri" w:cs="Calibri"/>
        </w:rPr>
        <w:t xml:space="preserve">Le niveau </w:t>
      </w:r>
      <w:r>
        <w:rPr>
          <w:rFonts w:ascii="Calibri" w:hAnsi="Calibri" w:cs="Calibri"/>
          <w:b/>
          <w:bCs/>
        </w:rPr>
        <w:t>0 — Non évalué</w:t>
      </w:r>
      <w:r>
        <w:rPr>
          <w:rFonts w:ascii="Calibri" w:hAnsi="Calibri" w:cs="Calibri"/>
        </w:rPr>
        <w:t xml:space="preserve"> mérite une attention particulière parce qu'il est le plus souvent mal compris hors du cadre FrigorX : il ne signifie </w:t>
      </w:r>
      <w:r>
        <w:rPr>
          <w:rFonts w:ascii="Calibri" w:hAnsi="Calibri" w:cs="Calibri"/>
          <w:b/>
          <w:bCs/>
        </w:rPr>
        <w:t>jamais</w:t>
      </w:r>
      <w:r>
        <w:rPr>
          <w:rFonts w:ascii="Calibri" w:hAnsi="Calibri" w:cs="Calibri"/>
        </w:rPr>
        <w:t xml:space="preserve"> « nul » ni « en échec », mais seulement que la compétence n'a pas pu être observée ce jour-là — un élève absent pendant le passage de son équipe, par exemple. La doctrine est la même que celle qui distingue, dans le tableau de bord HAL, l'absence (case noire) du non-évalué (case grise) : deux réalités différentes, jamais interchangeables. Confondre le 0 avec un échec rev</w:t>
      </w:r>
      <w:r>
        <w:rPr>
          <w:rFonts w:ascii="Calibri" w:hAnsi="Calibri" w:cs="Calibri"/>
        </w:rPr>
        <w:t>iendrait à sanctionner une absence de mesure comme si c'était une mesure défavorable.</w:t>
      </w:r>
    </w:p>
    <w:p w:rsidR="00EB2ECB" w:rsidRDefault="00EB2ECB">
      <w:pPr>
        <w:pStyle w:val="dev"/>
        <w:shd w:val="clear" w:color="auto" w:fill="FFFFFF"/>
        <w:divId w:val="1862738207"/>
        <w:rPr>
          <w:rFonts w:ascii="Calibri" w:hAnsi="Calibri" w:cs="Calibri"/>
        </w:rPr>
      </w:pPr>
      <w:r>
        <w:rPr>
          <w:rFonts w:ascii="Calibri" w:hAnsi="Calibri" w:cs="Calibri"/>
        </w:rPr>
        <w:t xml:space="preserve">Les positionnements </w:t>
      </w:r>
      <w:r>
        <w:rPr>
          <w:rFonts w:ascii="Calibri" w:hAnsi="Calibri" w:cs="Calibri"/>
          <w:b/>
          <w:bCs/>
        </w:rPr>
        <w:t>1</w:t>
      </w:r>
      <w:r>
        <w:rPr>
          <w:rFonts w:ascii="Calibri" w:hAnsi="Calibri" w:cs="Calibri"/>
        </w:rPr>
        <w:t xml:space="preserve"> et </w:t>
      </w:r>
      <w:r>
        <w:rPr>
          <w:rFonts w:ascii="Calibri" w:hAnsi="Calibri" w:cs="Calibri"/>
          <w:b/>
          <w:bCs/>
        </w:rPr>
        <w:t>2</w:t>
      </w:r>
      <w:r>
        <w:rPr>
          <w:rFonts w:ascii="Calibri" w:hAnsi="Calibri" w:cs="Calibri"/>
        </w:rPr>
        <w:t xml:space="preserve"> ne restent jamais sans suite. Un niveau 1 sur C1.1 déclenche une reprise ciblée en tout début de séquence S1 : l'élève présente à nouveau, en aparté avec le professeur et non devant le groupe entier, un seul outil de son lot — l'objectif est de débloquer la prise de parole, pas de la reproduire à l'identique dans les mêmes conditions qui ont mené à l'échec. Un niveau 1 ou 2 sur C2.2 ou C3.1 entraîne une vérification individuelle du lot et du rayon avant que l'attribution des rayons ne soit définitive</w:t>
      </w:r>
      <w:r>
        <w:rPr>
          <w:rFonts w:ascii="Calibri" w:hAnsi="Calibri" w:cs="Calibri"/>
        </w:rPr>
        <w:t>ment validée pour l'année. Si plusieurs élèves se retrouvent au même niveau bas sur les mêmes familles, la réponse n'est plus individuelle mais collective : un bref rappel « nom + usage » en variante consolidation, en tout début de S1, avant d'attaquer le premier geste technique réellement nouveau de l'année.</w:t>
      </w:r>
    </w:p>
    <w:p w:rsidR="00EB2ECB" w:rsidRDefault="00EB2ECB">
      <w:pPr>
        <w:pStyle w:val="Titre3"/>
        <w:shd w:val="clear" w:color="auto" w:fill="FFFFFF"/>
        <w:spacing w:before="240"/>
        <w:divId w:val="1862738207"/>
        <w:rPr>
          <w:rFonts w:eastAsia="Times New Roman" w:cs="Calibri"/>
          <w:sz w:val="28"/>
          <w:szCs w:val="28"/>
        </w:rPr>
      </w:pPr>
      <w:r>
        <w:rPr>
          <w:rFonts w:eastAsia="Times New Roman" w:cs="Calibri"/>
          <w:sz w:val="28"/>
          <w:szCs w:val="28"/>
        </w:rPr>
        <w:t>5. Les trois compétences évaluées</w:t>
      </w:r>
    </w:p>
    <w:p w:rsidR="00EB2ECB" w:rsidRDefault="00EB2ECB">
      <w:pPr>
        <w:pStyle w:val="dev"/>
        <w:shd w:val="clear" w:color="auto" w:fill="FFFFFF"/>
        <w:divId w:val="1862738207"/>
        <w:rPr>
          <w:rFonts w:ascii="Calibri" w:hAnsi="Calibri" w:cs="Calibri"/>
        </w:rPr>
      </w:pPr>
      <w:r>
        <w:rPr>
          <w:rFonts w:ascii="Calibri" w:hAnsi="Calibri" w:cs="Calibri"/>
        </w:rPr>
        <w:t>La charte plafonne à quatre le nombre de compétences évaluées par activité (§2) ; S0-Séance 3 en mobilise exactement trois, chacune ancrée sur une tâche et un savoir précis du référentiel CAP IFCA — l'ancrage tâche-savoir-compétence est une dérivation pédagogique du chef d'orchestre de l'usine, pas une matrice officielle de l'arrêté, qui ne relie ces éléments qu'au niveau de l'activité et de la capacité générale.</w:t>
      </w:r>
    </w:p>
    <w:tbl>
      <w:tblPr>
        <w:tblW w:w="5000" w:type="pct"/>
        <w:tblCellMar>
          <w:top w:w="15" w:type="dxa"/>
          <w:left w:w="15" w:type="dxa"/>
          <w:bottom w:w="15" w:type="dxa"/>
          <w:right w:w="15" w:type="dxa"/>
        </w:tblCellMar>
        <w:tblLook w:val="04A0" w:firstRow="1" w:lastRow="0" w:firstColumn="1" w:lastColumn="0" w:noHBand="0" w:noVBand="1"/>
      </w:tblPr>
      <w:tblGrid>
        <w:gridCol w:w="1270"/>
        <w:gridCol w:w="3084"/>
        <w:gridCol w:w="1452"/>
        <w:gridCol w:w="3266"/>
      </w:tblGrid>
      <w:tr w:rsidR="00000000">
        <w:trPr>
          <w:divId w:val="1862738207"/>
        </w:trPr>
        <w:tc>
          <w:tcPr>
            <w:tcW w:w="700" w:type="pct"/>
            <w:tcMar>
              <w:top w:w="75" w:type="dxa"/>
              <w:left w:w="90" w:type="dxa"/>
              <w:bottom w:w="75" w:type="dxa"/>
              <w:right w:w="90" w:type="dxa"/>
            </w:tcMar>
            <w:vAlign w:val="center"/>
            <w:hideMark/>
          </w:tcPr>
          <w:p w:rsidR="00EB2ECB" w:rsidRDefault="00EB2ECB">
            <w:pPr>
              <w:spacing w:before="96" w:after="216"/>
              <w:rPr>
                <w:rFonts w:ascii="Trebuchet MS" w:eastAsia="Times New Roman" w:hAnsi="Trebuchet MS" w:cs="Calibri"/>
                <w:b/>
                <w:bCs/>
                <w:caps/>
                <w:color w:val="FFFFFF"/>
                <w:sz w:val="17"/>
                <w:szCs w:val="17"/>
              </w:rPr>
            </w:pPr>
            <w:r>
              <w:rPr>
                <w:rFonts w:ascii="Trebuchet MS" w:eastAsia="Times New Roman" w:hAnsi="Trebuchet MS" w:cs="Calibri"/>
                <w:b/>
                <w:bCs/>
                <w:caps/>
                <w:color w:val="FFFFFF"/>
                <w:sz w:val="17"/>
                <w:szCs w:val="17"/>
              </w:rPr>
              <w:t>Compétence</w:t>
            </w:r>
          </w:p>
        </w:tc>
        <w:tc>
          <w:tcPr>
            <w:tcW w:w="1700" w:type="pct"/>
            <w:tcMar>
              <w:top w:w="75" w:type="dxa"/>
              <w:left w:w="90" w:type="dxa"/>
              <w:bottom w:w="75" w:type="dxa"/>
              <w:right w:w="90" w:type="dxa"/>
            </w:tcMar>
            <w:vAlign w:val="center"/>
            <w:hideMark/>
          </w:tcPr>
          <w:p w:rsidR="00EB2ECB" w:rsidRDefault="00EB2ECB">
            <w:pPr>
              <w:spacing w:before="96" w:after="216"/>
              <w:rPr>
                <w:rFonts w:ascii="Trebuchet MS" w:eastAsia="Times New Roman" w:hAnsi="Trebuchet MS" w:cs="Calibri"/>
                <w:b/>
                <w:bCs/>
                <w:caps/>
                <w:color w:val="FFFFFF"/>
                <w:sz w:val="17"/>
                <w:szCs w:val="17"/>
              </w:rPr>
            </w:pPr>
            <w:r>
              <w:rPr>
                <w:rFonts w:ascii="Trebuchet MS" w:eastAsia="Times New Roman" w:hAnsi="Trebuchet MS" w:cs="Calibri"/>
                <w:b/>
                <w:bCs/>
                <w:caps/>
                <w:color w:val="FFFFFF"/>
                <w:sz w:val="17"/>
                <w:szCs w:val="17"/>
              </w:rPr>
              <w:t>Libellé officiel</w:t>
            </w:r>
          </w:p>
        </w:tc>
        <w:tc>
          <w:tcPr>
            <w:tcW w:w="800" w:type="pct"/>
            <w:tcMar>
              <w:top w:w="75" w:type="dxa"/>
              <w:left w:w="90" w:type="dxa"/>
              <w:bottom w:w="75" w:type="dxa"/>
              <w:right w:w="90" w:type="dxa"/>
            </w:tcMar>
            <w:vAlign w:val="center"/>
            <w:hideMark/>
          </w:tcPr>
          <w:p w:rsidR="00EB2ECB" w:rsidRDefault="00EB2ECB">
            <w:pPr>
              <w:spacing w:before="96" w:after="216"/>
              <w:rPr>
                <w:rFonts w:ascii="Trebuchet MS" w:eastAsia="Times New Roman" w:hAnsi="Trebuchet MS" w:cs="Calibri"/>
                <w:b/>
                <w:bCs/>
                <w:caps/>
                <w:color w:val="FFFFFF"/>
                <w:sz w:val="17"/>
                <w:szCs w:val="17"/>
              </w:rPr>
            </w:pPr>
            <w:r>
              <w:rPr>
                <w:rFonts w:ascii="Trebuchet MS" w:eastAsia="Times New Roman" w:hAnsi="Trebuchet MS" w:cs="Calibri"/>
                <w:b/>
                <w:bCs/>
                <w:caps/>
                <w:color w:val="FFFFFF"/>
                <w:sz w:val="17"/>
                <w:szCs w:val="17"/>
              </w:rPr>
              <w:t>Ancrage</w:t>
            </w:r>
          </w:p>
        </w:tc>
        <w:tc>
          <w:tcPr>
            <w:tcW w:w="0" w:type="auto"/>
            <w:tcMar>
              <w:top w:w="75" w:type="dxa"/>
              <w:left w:w="90" w:type="dxa"/>
              <w:bottom w:w="75" w:type="dxa"/>
              <w:right w:w="90" w:type="dxa"/>
            </w:tcMar>
            <w:vAlign w:val="center"/>
            <w:hideMark/>
          </w:tcPr>
          <w:p w:rsidR="00EB2ECB" w:rsidRDefault="00EB2ECB">
            <w:pPr>
              <w:spacing w:before="96" w:after="216"/>
              <w:rPr>
                <w:rFonts w:ascii="Trebuchet MS" w:eastAsia="Times New Roman" w:hAnsi="Trebuchet MS" w:cs="Calibri"/>
                <w:b/>
                <w:bCs/>
                <w:caps/>
                <w:color w:val="FFFFFF"/>
                <w:sz w:val="17"/>
                <w:szCs w:val="17"/>
              </w:rPr>
            </w:pPr>
            <w:r>
              <w:rPr>
                <w:rFonts w:ascii="Trebuchet MS" w:eastAsia="Times New Roman" w:hAnsi="Trebuchet MS" w:cs="Calibri"/>
                <w:b/>
                <w:bCs/>
                <w:caps/>
                <w:color w:val="FFFFFF"/>
                <w:sz w:val="17"/>
                <w:szCs w:val="17"/>
              </w:rPr>
              <w:t>Ce qu'on observe concrètement en séance 3</w:t>
            </w:r>
          </w:p>
        </w:tc>
      </w:tr>
      <w:tr w:rsidR="00000000">
        <w:trPr>
          <w:divId w:val="1862738207"/>
        </w:trPr>
        <w:tc>
          <w:tcPr>
            <w:tcW w:w="0" w:type="auto"/>
            <w:tcMar>
              <w:top w:w="90" w:type="dxa"/>
              <w:left w:w="90" w:type="dxa"/>
              <w:bottom w:w="90" w:type="dxa"/>
              <w:right w:w="90" w:type="dxa"/>
            </w:tcMar>
            <w:hideMark/>
          </w:tcPr>
          <w:p w:rsidR="00EB2ECB" w:rsidRDefault="00EB2ECB">
            <w:pPr>
              <w:spacing w:before="96" w:after="216"/>
              <w:rPr>
                <w:rFonts w:ascii="Calibri" w:eastAsia="Times New Roman" w:hAnsi="Calibri" w:cs="Calibri"/>
                <w:sz w:val="20"/>
                <w:szCs w:val="20"/>
              </w:rPr>
            </w:pPr>
            <w:r>
              <w:rPr>
                <w:rFonts w:ascii="Calibri" w:eastAsia="Times New Roman" w:hAnsi="Calibri" w:cs="Calibri"/>
                <w:b/>
                <w:bCs/>
                <w:sz w:val="20"/>
                <w:szCs w:val="20"/>
              </w:rPr>
              <w:t>C1.1</w:t>
            </w:r>
          </w:p>
        </w:tc>
        <w:tc>
          <w:tcPr>
            <w:tcW w:w="0" w:type="auto"/>
            <w:tcMar>
              <w:top w:w="90" w:type="dxa"/>
              <w:left w:w="90" w:type="dxa"/>
              <w:bottom w:w="90" w:type="dxa"/>
              <w:right w:w="90" w:type="dxa"/>
            </w:tcMar>
            <w:hideMark/>
          </w:tcPr>
          <w:p w:rsidR="00EB2ECB" w:rsidRDefault="00EB2ECB">
            <w:pPr>
              <w:spacing w:before="96" w:after="216"/>
              <w:rPr>
                <w:rFonts w:ascii="Calibri" w:eastAsia="Times New Roman" w:hAnsi="Calibri" w:cs="Calibri"/>
                <w:sz w:val="20"/>
                <w:szCs w:val="20"/>
              </w:rPr>
            </w:pPr>
            <w:r>
              <w:rPr>
                <w:rFonts w:ascii="Calibri" w:eastAsia="Times New Roman" w:hAnsi="Calibri" w:cs="Calibri"/>
                <w:sz w:val="20"/>
                <w:szCs w:val="20"/>
              </w:rPr>
              <w:t>Compléter, transmettre</w:t>
            </w:r>
          </w:p>
        </w:tc>
        <w:tc>
          <w:tcPr>
            <w:tcW w:w="0" w:type="auto"/>
            <w:tcMar>
              <w:top w:w="90" w:type="dxa"/>
              <w:left w:w="90" w:type="dxa"/>
              <w:bottom w:w="90" w:type="dxa"/>
              <w:right w:w="90" w:type="dxa"/>
            </w:tcMar>
            <w:hideMark/>
          </w:tcPr>
          <w:p w:rsidR="00EB2ECB" w:rsidRDefault="00EB2ECB">
            <w:pPr>
              <w:spacing w:before="96" w:after="216"/>
              <w:rPr>
                <w:rFonts w:ascii="Calibri" w:eastAsia="Times New Roman" w:hAnsi="Calibri" w:cs="Calibri"/>
                <w:sz w:val="20"/>
                <w:szCs w:val="20"/>
              </w:rPr>
            </w:pPr>
            <w:r>
              <w:rPr>
                <w:rFonts w:ascii="Calibri" w:eastAsia="Times New Roman" w:hAnsi="Calibri" w:cs="Calibri"/>
                <w:sz w:val="20"/>
                <w:szCs w:val="20"/>
              </w:rPr>
              <w:t>T1 · S3.1</w:t>
            </w:r>
          </w:p>
        </w:tc>
        <w:tc>
          <w:tcPr>
            <w:tcW w:w="0" w:type="auto"/>
            <w:tcMar>
              <w:top w:w="90" w:type="dxa"/>
              <w:left w:w="90" w:type="dxa"/>
              <w:bottom w:w="90" w:type="dxa"/>
              <w:right w:w="90" w:type="dxa"/>
            </w:tcMar>
            <w:hideMark/>
          </w:tcPr>
          <w:p w:rsidR="00EB2ECB" w:rsidRDefault="00EB2ECB">
            <w:pPr>
              <w:spacing w:before="96" w:after="216"/>
              <w:rPr>
                <w:rFonts w:ascii="Calibri" w:eastAsia="Times New Roman" w:hAnsi="Calibri" w:cs="Calibri"/>
                <w:sz w:val="20"/>
                <w:szCs w:val="20"/>
              </w:rPr>
            </w:pPr>
            <w:r>
              <w:rPr>
                <w:rFonts w:ascii="Calibri" w:eastAsia="Times New Roman" w:hAnsi="Calibri" w:cs="Calibri"/>
                <w:sz w:val="20"/>
                <w:szCs w:val="20"/>
              </w:rPr>
              <w:t>L'élève présente sa famille d'outils et ses OVNI à voix haute devant l'atelier voisin, avec des phrases compréhensibles, et répond aux questions posées sans se limiter à un mot isolé.</w:t>
            </w:r>
          </w:p>
        </w:tc>
      </w:tr>
      <w:tr w:rsidR="00000000">
        <w:trPr>
          <w:divId w:val="1862738207"/>
        </w:trPr>
        <w:tc>
          <w:tcPr>
            <w:tcW w:w="0" w:type="auto"/>
            <w:tcMar>
              <w:top w:w="90" w:type="dxa"/>
              <w:left w:w="90" w:type="dxa"/>
              <w:bottom w:w="90" w:type="dxa"/>
              <w:right w:w="90" w:type="dxa"/>
            </w:tcMar>
            <w:hideMark/>
          </w:tcPr>
          <w:p w:rsidR="00EB2ECB" w:rsidRDefault="00EB2ECB">
            <w:pPr>
              <w:spacing w:before="96" w:after="216"/>
              <w:rPr>
                <w:rFonts w:ascii="Calibri" w:eastAsia="Times New Roman" w:hAnsi="Calibri" w:cs="Calibri"/>
                <w:sz w:val="20"/>
                <w:szCs w:val="20"/>
              </w:rPr>
            </w:pPr>
            <w:r>
              <w:rPr>
                <w:rFonts w:ascii="Calibri" w:eastAsia="Times New Roman" w:hAnsi="Calibri" w:cs="Calibri"/>
                <w:b/>
                <w:bCs/>
                <w:sz w:val="20"/>
                <w:szCs w:val="20"/>
              </w:rPr>
              <w:t>C2.2</w:t>
            </w:r>
          </w:p>
        </w:tc>
        <w:tc>
          <w:tcPr>
            <w:tcW w:w="0" w:type="auto"/>
            <w:tcMar>
              <w:top w:w="90" w:type="dxa"/>
              <w:left w:w="90" w:type="dxa"/>
              <w:bottom w:w="90" w:type="dxa"/>
              <w:right w:w="90" w:type="dxa"/>
            </w:tcMar>
            <w:hideMark/>
          </w:tcPr>
          <w:p w:rsidR="00EB2ECB" w:rsidRDefault="00EB2ECB">
            <w:pPr>
              <w:spacing w:before="96" w:after="216"/>
              <w:rPr>
                <w:rFonts w:ascii="Calibri" w:eastAsia="Times New Roman" w:hAnsi="Calibri" w:cs="Calibri"/>
                <w:sz w:val="20"/>
                <w:szCs w:val="20"/>
              </w:rPr>
            </w:pPr>
            <w:r>
              <w:rPr>
                <w:rFonts w:ascii="Calibri" w:eastAsia="Times New Roman" w:hAnsi="Calibri" w:cs="Calibri"/>
                <w:sz w:val="20"/>
                <w:szCs w:val="20"/>
              </w:rPr>
              <w:t>Contrôler les éléments nécessaires à la réalisation</w:t>
            </w:r>
          </w:p>
        </w:tc>
        <w:tc>
          <w:tcPr>
            <w:tcW w:w="0" w:type="auto"/>
            <w:tcMar>
              <w:top w:w="90" w:type="dxa"/>
              <w:left w:w="90" w:type="dxa"/>
              <w:bottom w:w="90" w:type="dxa"/>
              <w:right w:w="90" w:type="dxa"/>
            </w:tcMar>
            <w:hideMark/>
          </w:tcPr>
          <w:p w:rsidR="00EB2ECB" w:rsidRDefault="00EB2ECB">
            <w:pPr>
              <w:spacing w:before="96" w:after="216"/>
              <w:rPr>
                <w:rFonts w:ascii="Calibri" w:eastAsia="Times New Roman" w:hAnsi="Calibri" w:cs="Calibri"/>
                <w:sz w:val="20"/>
                <w:szCs w:val="20"/>
              </w:rPr>
            </w:pPr>
            <w:r>
              <w:rPr>
                <w:rFonts w:ascii="Calibri" w:eastAsia="Times New Roman" w:hAnsi="Calibri" w:cs="Calibri"/>
                <w:sz w:val="20"/>
                <w:szCs w:val="20"/>
              </w:rPr>
              <w:t>T6 · S2.1</w:t>
            </w:r>
          </w:p>
        </w:tc>
        <w:tc>
          <w:tcPr>
            <w:tcW w:w="0" w:type="auto"/>
            <w:tcMar>
              <w:top w:w="90" w:type="dxa"/>
              <w:left w:w="90" w:type="dxa"/>
              <w:bottom w:w="90" w:type="dxa"/>
              <w:right w:w="90" w:type="dxa"/>
            </w:tcMar>
            <w:hideMark/>
          </w:tcPr>
          <w:p w:rsidR="00EB2ECB" w:rsidRDefault="00EB2ECB">
            <w:pPr>
              <w:spacing w:before="96" w:after="216"/>
              <w:rPr>
                <w:rFonts w:ascii="Calibri" w:eastAsia="Times New Roman" w:hAnsi="Calibri" w:cs="Calibri"/>
                <w:sz w:val="20"/>
                <w:szCs w:val="20"/>
              </w:rPr>
            </w:pPr>
            <w:r>
              <w:rPr>
                <w:rFonts w:ascii="Calibri" w:eastAsia="Times New Roman" w:hAnsi="Calibri" w:cs="Calibri"/>
                <w:sz w:val="20"/>
                <w:szCs w:val="20"/>
              </w:rPr>
              <w:t>L'élève vérifie et confirme que son lot de 15 outils est complet et à l'état attendu, et reconnaît sans hésiter les familles présentées par sa propre équipe comme par l'atelier voisin.</w:t>
            </w:r>
          </w:p>
        </w:tc>
      </w:tr>
      <w:tr w:rsidR="00000000">
        <w:trPr>
          <w:divId w:val="1862738207"/>
        </w:trPr>
        <w:tc>
          <w:tcPr>
            <w:tcW w:w="0" w:type="auto"/>
            <w:tcMar>
              <w:top w:w="90" w:type="dxa"/>
              <w:left w:w="90" w:type="dxa"/>
              <w:bottom w:w="90" w:type="dxa"/>
              <w:right w:w="90" w:type="dxa"/>
            </w:tcMar>
            <w:hideMark/>
          </w:tcPr>
          <w:p w:rsidR="00EB2ECB" w:rsidRDefault="00EB2ECB">
            <w:pPr>
              <w:spacing w:before="96" w:after="216"/>
              <w:rPr>
                <w:rFonts w:ascii="Calibri" w:eastAsia="Times New Roman" w:hAnsi="Calibri" w:cs="Calibri"/>
                <w:sz w:val="20"/>
                <w:szCs w:val="20"/>
              </w:rPr>
            </w:pPr>
            <w:r>
              <w:rPr>
                <w:rFonts w:ascii="Calibri" w:eastAsia="Times New Roman" w:hAnsi="Calibri" w:cs="Calibri"/>
                <w:b/>
                <w:bCs/>
                <w:sz w:val="20"/>
                <w:szCs w:val="20"/>
              </w:rPr>
              <w:t>C3.1</w:t>
            </w:r>
          </w:p>
        </w:tc>
        <w:tc>
          <w:tcPr>
            <w:tcW w:w="0" w:type="auto"/>
            <w:tcMar>
              <w:top w:w="90" w:type="dxa"/>
              <w:left w:w="90" w:type="dxa"/>
              <w:bottom w:w="90" w:type="dxa"/>
              <w:right w:w="90" w:type="dxa"/>
            </w:tcMar>
            <w:hideMark/>
          </w:tcPr>
          <w:p w:rsidR="00EB2ECB" w:rsidRDefault="00EB2ECB">
            <w:pPr>
              <w:spacing w:before="96" w:after="216"/>
              <w:rPr>
                <w:rFonts w:ascii="Calibri" w:eastAsia="Times New Roman" w:hAnsi="Calibri" w:cs="Calibri"/>
                <w:sz w:val="20"/>
                <w:szCs w:val="20"/>
              </w:rPr>
            </w:pPr>
            <w:r>
              <w:rPr>
                <w:rFonts w:ascii="Calibri" w:eastAsia="Times New Roman" w:hAnsi="Calibri" w:cs="Calibri"/>
                <w:sz w:val="20"/>
                <w:szCs w:val="20"/>
              </w:rPr>
              <w:t>Organiser le poste de travail</w:t>
            </w:r>
          </w:p>
        </w:tc>
        <w:tc>
          <w:tcPr>
            <w:tcW w:w="0" w:type="auto"/>
            <w:tcMar>
              <w:top w:w="90" w:type="dxa"/>
              <w:left w:w="90" w:type="dxa"/>
              <w:bottom w:w="90" w:type="dxa"/>
              <w:right w:w="90" w:type="dxa"/>
            </w:tcMar>
            <w:hideMark/>
          </w:tcPr>
          <w:p w:rsidR="00EB2ECB" w:rsidRDefault="00EB2ECB">
            <w:pPr>
              <w:spacing w:before="96" w:after="216"/>
              <w:rPr>
                <w:rFonts w:ascii="Calibri" w:eastAsia="Times New Roman" w:hAnsi="Calibri" w:cs="Calibri"/>
                <w:sz w:val="20"/>
                <w:szCs w:val="20"/>
              </w:rPr>
            </w:pPr>
            <w:r>
              <w:rPr>
                <w:rFonts w:ascii="Calibri" w:eastAsia="Times New Roman" w:hAnsi="Calibri" w:cs="Calibri"/>
                <w:sz w:val="20"/>
                <w:szCs w:val="20"/>
              </w:rPr>
              <w:t>T6 · S0.2</w:t>
            </w:r>
          </w:p>
        </w:tc>
        <w:tc>
          <w:tcPr>
            <w:tcW w:w="0" w:type="auto"/>
            <w:tcMar>
              <w:top w:w="90" w:type="dxa"/>
              <w:left w:w="90" w:type="dxa"/>
              <w:bottom w:w="90" w:type="dxa"/>
              <w:right w:w="90" w:type="dxa"/>
            </w:tcMar>
            <w:hideMark/>
          </w:tcPr>
          <w:p w:rsidR="00EB2ECB" w:rsidRDefault="00EB2ECB">
            <w:pPr>
              <w:spacing w:before="96" w:after="216"/>
              <w:rPr>
                <w:rFonts w:ascii="Calibri" w:eastAsia="Times New Roman" w:hAnsi="Calibri" w:cs="Calibri"/>
                <w:sz w:val="20"/>
                <w:szCs w:val="20"/>
              </w:rPr>
            </w:pPr>
            <w:r>
              <w:rPr>
                <w:rFonts w:ascii="Calibri" w:eastAsia="Times New Roman" w:hAnsi="Calibri" w:cs="Calibri"/>
                <w:sz w:val="20"/>
                <w:szCs w:val="20"/>
              </w:rPr>
              <w:t>L'élève range son lot définitivement dans le rayon exact qui lui est assigné, sans déborder sur le rayon voisin, et respecte l'étiquetage en place.</w:t>
            </w:r>
          </w:p>
        </w:tc>
      </w:tr>
    </w:tbl>
    <w:p w:rsidR="00EB2ECB" w:rsidRDefault="00EB2ECB">
      <w:pPr>
        <w:pStyle w:val="dev"/>
        <w:shd w:val="clear" w:color="auto" w:fill="FFFFFF"/>
        <w:divId w:val="1862738207"/>
        <w:rPr>
          <w:rFonts w:ascii="Calibri" w:hAnsi="Calibri" w:cs="Calibri"/>
        </w:rPr>
      </w:pPr>
      <w:r>
        <w:rPr>
          <w:rFonts w:ascii="Calibri" w:hAnsi="Calibri" w:cs="Calibri"/>
        </w:rPr>
        <w:t>Ces trois compétences ne s'observent jamais isolément d'un contexte professionnel : la charte (§1) rappelle qu'une compétence ne s'évalue qu'au travers d'une situation authentique. Ici, la situation est l'ordre d'intervention de reprise en main du magasin — C1.1 se joue au moment précis où l'élève parle devant le public, C2.2 se joue dans la vérification silencieuse de son propre lot avant et pendant la présentation, C3.1 se joue dans le geste physique du rangement final. Le professeur peut donc positionner</w:t>
      </w:r>
      <w:r>
        <w:rPr>
          <w:rFonts w:ascii="Calibri" w:hAnsi="Calibri" w:cs="Calibri"/>
        </w:rPr>
        <w:t xml:space="preserve"> les trois compétences à des moments différents de la même heure et demie, sans avoir besoin d'un exercice séparé pour chacune.</w:t>
      </w:r>
    </w:p>
    <w:p w:rsidR="00EB2ECB" w:rsidRDefault="00EB2ECB">
      <w:pPr>
        <w:shd w:val="clear" w:color="auto" w:fill="FFFFFF"/>
        <w:divId w:val="1941519864"/>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r>
        <w:rPr>
          <w:rFonts w:ascii="Calibri" w:eastAsia="Times New Roman" w:hAnsi="Calibri" w:cs="Calibri"/>
          <w:sz w:val="16"/>
          <w:szCs w:val="16"/>
        </w:rPr>
        <w:t xml:space="preserve"> F. Henninot 2026 </w:t>
      </w:r>
      <w:r>
        <w:rPr>
          <w:rFonts w:ascii="Calibri" w:eastAsia="Times New Roman" w:hAnsi="Calibri" w:cs="Calibri"/>
          <w:sz w:val="16"/>
          <w:szCs w:val="16"/>
        </w:rPr>
        <w:t>—</w:t>
      </w:r>
      <w:r>
        <w:rPr>
          <w:rFonts w:ascii="Calibri" w:eastAsia="Times New Roman" w:hAnsi="Calibri" w:cs="Calibri"/>
          <w:sz w:val="16"/>
          <w:szCs w:val="16"/>
        </w:rPr>
        <w:t xml:space="preserve"> diffusion p</w:t>
      </w:r>
      <w:r>
        <w:rPr>
          <w:rFonts w:ascii="Calibri" w:eastAsia="Times New Roman" w:hAnsi="Calibri" w:cs="Calibri"/>
          <w:sz w:val="16"/>
          <w:szCs w:val="16"/>
        </w:rPr>
        <w:t>é</w:t>
      </w:r>
      <w:r>
        <w:rPr>
          <w:rFonts w:ascii="Calibri" w:eastAsia="Times New Roman" w:hAnsi="Calibri" w:cs="Calibri"/>
          <w:sz w:val="16"/>
          <w:szCs w:val="16"/>
        </w:rPr>
        <w:t>dagogique autoris</w:t>
      </w:r>
      <w:r>
        <w:rPr>
          <w:rFonts w:ascii="Calibri" w:eastAsia="Times New Roman" w:hAnsi="Calibri" w:cs="Calibri"/>
          <w:sz w:val="16"/>
          <w:szCs w:val="16"/>
        </w:rPr>
        <w:t>é</w:t>
      </w:r>
      <w:r>
        <w:rPr>
          <w:rFonts w:ascii="Calibri" w:eastAsia="Times New Roman" w:hAnsi="Calibri" w:cs="Calibri"/>
          <w:sz w:val="16"/>
          <w:szCs w:val="16"/>
        </w:rPr>
        <w:t xml:space="preserve">e, mention de l'origine requise </w:t>
      </w:r>
    </w:p>
    <w:p w:rsidR="00EB2ECB" w:rsidRDefault="00EB2ECB">
      <w:pPr>
        <w:shd w:val="clear" w:color="auto" w:fill="FFFFFF"/>
        <w:divId w:val="581137255"/>
        <w:rPr>
          <w:rFonts w:ascii="Calibri" w:eastAsia="Times New Roman" w:hAnsi="Calibri" w:cs="Calibri"/>
          <w:sz w:val="26"/>
          <w:szCs w:val="26"/>
        </w:rPr>
      </w:pPr>
      <w:r>
        <w:rPr>
          <w:rFonts w:ascii="Trebuchet MS" w:eastAsia="Times New Roman" w:hAnsi="Trebuchet MS" w:cs="Calibri"/>
          <w:b/>
          <w:bCs/>
          <w:spacing w:val="14"/>
          <w:sz w:val="26"/>
          <w:szCs w:val="26"/>
        </w:rPr>
        <w:t>LPP</w:t>
      </w:r>
      <w:r>
        <w:rPr>
          <w:rFonts w:ascii="Calibri" w:eastAsia="Times New Roman" w:hAnsi="Calibri" w:cs="Calibri"/>
          <w:sz w:val="26"/>
          <w:szCs w:val="26"/>
        </w:rPr>
        <w:br/>
      </w:r>
      <w:r>
        <w:rPr>
          <w:rFonts w:ascii="Trebuchet MS" w:eastAsia="Times New Roman" w:hAnsi="Trebuchet MS" w:cs="Calibri"/>
          <w:b/>
          <w:bCs/>
          <w:spacing w:val="7"/>
          <w:sz w:val="26"/>
          <w:szCs w:val="26"/>
        </w:rPr>
        <w:t>JACQUES RAYNAUD</w:t>
      </w:r>
    </w:p>
    <w:p w:rsidR="00EB2ECB" w:rsidRDefault="00EB2ECB">
      <w:pPr>
        <w:shd w:val="clear" w:color="auto" w:fill="FFFFFF"/>
        <w:jc w:val="right"/>
        <w:divId w:val="1794012072"/>
        <w:rPr>
          <w:rFonts w:ascii="Trebuchet MS" w:eastAsia="Times New Roman" w:hAnsi="Trebuchet MS" w:cs="Calibri"/>
          <w:sz w:val="18"/>
          <w:szCs w:val="18"/>
        </w:rPr>
      </w:pPr>
      <w:r>
        <w:rPr>
          <w:rFonts w:ascii="Trebuchet MS" w:eastAsia="Times New Roman" w:hAnsi="Trebuchet MS" w:cs="Calibri"/>
          <w:sz w:val="18"/>
          <w:szCs w:val="18"/>
        </w:rPr>
        <w:t>S0-Séance 3 · document de référence, version détaillée</w:t>
      </w:r>
    </w:p>
    <w:p w:rsidR="00EB2ECB" w:rsidRDefault="00EB2ECB">
      <w:pPr>
        <w:pStyle w:val="Titre3"/>
        <w:shd w:val="clear" w:color="auto" w:fill="FFFFFF"/>
        <w:spacing w:before="240"/>
        <w:divId w:val="887373354"/>
        <w:rPr>
          <w:rFonts w:eastAsia="Times New Roman" w:cs="Calibri"/>
          <w:sz w:val="28"/>
          <w:szCs w:val="28"/>
        </w:rPr>
      </w:pPr>
      <w:r>
        <w:rPr>
          <w:rFonts w:eastAsia="Times New Roman" w:cs="Calibri"/>
          <w:sz w:val="28"/>
          <w:szCs w:val="28"/>
        </w:rPr>
        <w:t>6. La ligne savoir-être : une exigence professionnelle, pas scolaire</w:t>
      </w:r>
    </w:p>
    <w:p w:rsidR="00EB2ECB" w:rsidRDefault="00EB2ECB">
      <w:pPr>
        <w:pStyle w:val="dev"/>
        <w:shd w:val="clear" w:color="auto" w:fill="FFFFFF"/>
        <w:divId w:val="887373354"/>
        <w:rPr>
          <w:rFonts w:ascii="Calibri" w:hAnsi="Calibri" w:cs="Calibri"/>
        </w:rPr>
      </w:pPr>
      <w:r>
        <w:rPr>
          <w:rFonts w:ascii="Calibri" w:hAnsi="Calibri" w:cs="Calibri"/>
        </w:rPr>
        <w:t xml:space="preserve">La grille d'évaluation porte, en plus des trois compétences, une ligne savoir-être obligatoire (charte §2) centrée sur le respect des rayons et des zones affectées. Il serait facile de la lire comme une simple règle de discipline de classe — « range tes affaires » — mais ce serait manquer ce qui la rend réellement professionnelle. Un magasin d'outillage partagé par trente élèves et deux ateliers ne fonctionne que si chaque famille d'outils reste exactement où elle est censée être : c'est une </w:t>
      </w:r>
      <w:r>
        <w:rPr>
          <w:rFonts w:ascii="Calibri" w:hAnsi="Calibri" w:cs="Calibri"/>
          <w:b/>
          <w:bCs/>
        </w:rPr>
        <w:t>responsabilité collective</w:t>
      </w:r>
      <w:r>
        <w:rPr>
          <w:rFonts w:ascii="Calibri" w:hAnsi="Calibri" w:cs="Calibri"/>
        </w:rPr>
        <w:t>, pas une préférence individuelle de rangement. Un outil déplacé sans raison, ou reposé au hasard après usage, ne disparaît pas seulement pour celui qui l'a mal rangé — il devient introuvable pour le camarade suivant qui en a besoin, et pour le professeur qui doit pouvoir s'y fier lors d'un contrôle rapide avant une intervention.</w:t>
      </w:r>
    </w:p>
    <w:p w:rsidR="00EB2ECB" w:rsidRDefault="00EB2ECB">
      <w:pPr>
        <w:pStyle w:val="dev"/>
        <w:shd w:val="clear" w:color="auto" w:fill="FFFFFF"/>
        <w:divId w:val="887373354"/>
        <w:rPr>
          <w:rFonts w:ascii="Calibri" w:hAnsi="Calibri" w:cs="Calibri"/>
        </w:rPr>
      </w:pPr>
      <w:r>
        <w:rPr>
          <w:rFonts w:ascii="Calibri" w:hAnsi="Calibri" w:cs="Calibri"/>
        </w:rPr>
        <w:t xml:space="preserve">C'est cette logique-là, et non une logique de sanction scolaire, qui justifie qu'un geste interdit (tester un outil électroportatif sans contrôle préalable, par exemple) entraîne automatiquement un niveau 1 sur le savoir-être, quelle que soit par ailleurs la qualité de la présentation orale de l'élève : la sécurité n'est jamais négociable contre une bonne performance sur un autre critère (charte §7). À l'inverse, le niveau le plus élevé de la grille savoir-être ne se limite pas à respecter son propre rayon </w:t>
      </w:r>
      <w:r>
        <w:rPr>
          <w:rFonts w:ascii="Calibri" w:hAnsi="Calibri" w:cs="Calibri"/>
        </w:rPr>
        <w:t>: il récompense l'élève qui veille aussi au rangement d'un camarade — la même logique de responsabilité collective, poussée d'un cran.</w:t>
      </w:r>
    </w:p>
    <w:p w:rsidR="00EB2ECB" w:rsidRDefault="00EB2ECB">
      <w:pPr>
        <w:pStyle w:val="Titre3"/>
        <w:shd w:val="clear" w:color="auto" w:fill="FFFFFF"/>
        <w:spacing w:before="240"/>
        <w:divId w:val="887373354"/>
        <w:rPr>
          <w:rFonts w:eastAsia="Times New Roman" w:cs="Calibri"/>
          <w:sz w:val="28"/>
          <w:szCs w:val="28"/>
        </w:rPr>
      </w:pPr>
      <w:r>
        <w:rPr>
          <w:rFonts w:eastAsia="Times New Roman" w:cs="Calibri"/>
          <w:sz w:val="28"/>
          <w:szCs w:val="28"/>
        </w:rPr>
        <w:t>7. L'échange des bacs TRANSFERT et la justesse de l'inventaire final</w:t>
      </w:r>
    </w:p>
    <w:p w:rsidR="00EB2ECB" w:rsidRDefault="00EB2ECB">
      <w:pPr>
        <w:pStyle w:val="dev"/>
        <w:shd w:val="clear" w:color="auto" w:fill="FFFFFF"/>
        <w:divId w:val="887373354"/>
        <w:rPr>
          <w:rFonts w:ascii="Calibri" w:hAnsi="Calibri" w:cs="Calibri"/>
        </w:rPr>
      </w:pPr>
      <w:r>
        <w:rPr>
          <w:rFonts w:ascii="Calibri" w:hAnsi="Calibri" w:cs="Calibri"/>
        </w:rPr>
        <w:t xml:space="preserve">Pendant le tri de la séance 1 et le contrôle de la séance 2, chaque équipe a nécessairement rencontré des outils qui n'appartiennent pas à son propre atelier — une cintreuse trouvée côté Électrique, une pince à dénuder trouvée côté Façonnage. Ces objets n'ont pas été inventoriés sur place : ils ont été posés dans un bac TRANSFERT propre à chaque atelier, en attendant précisément cette séance 3. La distinction avec un OVNI est nette et ne doit jamais être brouillée : un objet TRANSFERT est un outil </w:t>
      </w:r>
      <w:r>
        <w:rPr>
          <w:rFonts w:ascii="Calibri" w:hAnsi="Calibri" w:cs="Calibri"/>
          <w:b/>
          <w:bCs/>
        </w:rPr>
        <w:t>connu</w:t>
      </w:r>
      <w:r>
        <w:rPr>
          <w:rFonts w:ascii="Calibri" w:hAnsi="Calibri" w:cs="Calibri"/>
        </w:rPr>
        <w:t xml:space="preserve">, seulement rangé dans le mauvais atelier au moment du tri initial ; un OVNI est un outil dont l'usage reste </w:t>
      </w:r>
      <w:r>
        <w:rPr>
          <w:rFonts w:ascii="Calibri" w:hAnsi="Calibri" w:cs="Calibri"/>
          <w:b/>
          <w:bCs/>
        </w:rPr>
        <w:t>réellement inconnu</w:t>
      </w:r>
      <w:r>
        <w:rPr>
          <w:rFonts w:ascii="Calibri" w:hAnsi="Calibri" w:cs="Calibri"/>
        </w:rPr>
        <w:t xml:space="preserve"> de l'équipe qui l'a trouvé.</w:t>
      </w:r>
    </w:p>
    <w:p w:rsidR="00EB2ECB" w:rsidRDefault="00EB2ECB">
      <w:pPr>
        <w:pStyle w:val="dev"/>
        <w:shd w:val="clear" w:color="auto" w:fill="FFFFFF"/>
        <w:divId w:val="887373354"/>
        <w:rPr>
          <w:rFonts w:ascii="Calibri" w:hAnsi="Calibri" w:cs="Calibri"/>
        </w:rPr>
      </w:pPr>
      <w:r>
        <w:rPr>
          <w:rFonts w:ascii="Calibri" w:hAnsi="Calibri" w:cs="Calibri"/>
        </w:rPr>
        <w:t>L'échange a lieu juste après la restitution croisée, quinze minutes durant lesquelles chaque atelier remet physiquement son bac TRANSFERT à l'atelier voisin, qui compte alors les outils reçus par famille et les ajoute à ses propres compteurs — et à son lot de 15 si la famille concernée n'était pas encore complète. Cette étape n'est pas secondaire : sans elle, l'inventaire final resterait faux des deux côtés, puisque des outils bien réels, déjà physiquement présents dans l'atelier, n'auraient été comptés nul</w:t>
      </w:r>
      <w:r>
        <w:rPr>
          <w:rFonts w:ascii="Calibri" w:hAnsi="Calibri" w:cs="Calibri"/>
        </w:rPr>
        <w:t xml:space="preserve">le part. Le point de vigilance central, à rappeler explicitement aux deux équipes qui encadrent l'échange, est que les compteurs des </w:t>
      </w:r>
      <w:r>
        <w:rPr>
          <w:rFonts w:ascii="Calibri" w:hAnsi="Calibri" w:cs="Calibri"/>
          <w:b/>
          <w:bCs/>
        </w:rPr>
        <w:t>deux</w:t>
      </w:r>
      <w:r>
        <w:rPr>
          <w:rFonts w:ascii="Calibri" w:hAnsi="Calibri" w:cs="Calibri"/>
        </w:rPr>
        <w:t xml:space="preserve"> ateliers doivent être mis à jour au même moment — un oubli d'un seul côté suffit à fausser le résultat.</w:t>
      </w:r>
    </w:p>
    <w:p w:rsidR="00EB2ECB" w:rsidRDefault="00EB2ECB">
      <w:pPr>
        <w:pStyle w:val="Titre3"/>
        <w:shd w:val="clear" w:color="auto" w:fill="FFFFFF"/>
        <w:spacing w:before="240"/>
        <w:divId w:val="887373354"/>
        <w:rPr>
          <w:rFonts w:eastAsia="Times New Roman" w:cs="Calibri"/>
          <w:sz w:val="28"/>
          <w:szCs w:val="28"/>
        </w:rPr>
      </w:pPr>
      <w:r>
        <w:rPr>
          <w:rFonts w:eastAsia="Times New Roman" w:cs="Calibri"/>
          <w:sz w:val="28"/>
          <w:szCs w:val="28"/>
        </w:rPr>
        <w:t>8. La clôture de l'inventaire : ce qu'il reste à faire après la séance</w:t>
      </w:r>
    </w:p>
    <w:p w:rsidR="00EB2ECB" w:rsidRDefault="00EB2ECB">
      <w:pPr>
        <w:pStyle w:val="dev"/>
        <w:shd w:val="clear" w:color="auto" w:fill="FFFFFF"/>
        <w:divId w:val="887373354"/>
        <w:rPr>
          <w:rFonts w:ascii="Calibri" w:hAnsi="Calibri" w:cs="Calibri"/>
        </w:rPr>
      </w:pPr>
      <w:r>
        <w:rPr>
          <w:rFonts w:ascii="Calibri" w:hAnsi="Calibri" w:cs="Calibri"/>
        </w:rPr>
        <w:t>La séance 3 ne clôt pas l'inventaire au sens administratif du terme, elle en produit la matière définitive. Une fois les bacs TRANSFERT échangés et les lots rangés dans leurs rayons, les totaux par famille — désormais exacts des deux côtés — doivent être reportés dans l'outil numérique d'inventaire (</w:t>
      </w:r>
      <w:r>
        <w:rPr>
          <w:rStyle w:val="CodeHTML"/>
        </w:rPr>
        <w:t>outil-inventaire\Inventaire-atelier.html</w:t>
      </w:r>
      <w:r>
        <w:rPr>
          <w:rFonts w:ascii="Calibri" w:hAnsi="Calibri" w:cs="Calibri"/>
        </w:rPr>
        <w:t>), une page HTML autonome conçue pour ce report : elle permet de saisir nom de l'outil, atelier, famille, état et quantité, avec un compteur par famille qui donne d'un coup d'œil la progression vers l'objectif de 15. Cette page reste volontairement sans serveur ni base de données partagée — le stockage se fait en local dans le navigateur — mais elle propose un export au format CSV et un export au format JSON, pensés pour être réintégrés plus tard dans la page de gesti</w:t>
      </w:r>
      <w:r>
        <w:rPr>
          <w:rFonts w:ascii="Calibri" w:hAnsi="Calibri" w:cs="Calibri"/>
        </w:rPr>
        <w:t>on d'école que Franck Henninot développe par ailleurs, sans dépendance à un système qui n'existe pas encore à ce jour.</w:t>
      </w:r>
    </w:p>
    <w:p w:rsidR="00EB2ECB" w:rsidRDefault="00EB2ECB">
      <w:pPr>
        <w:pStyle w:val="dev"/>
        <w:shd w:val="clear" w:color="auto" w:fill="FFFFFF"/>
        <w:divId w:val="887373354"/>
        <w:rPr>
          <w:rFonts w:ascii="Calibri" w:hAnsi="Calibri" w:cs="Calibri"/>
        </w:rPr>
      </w:pPr>
      <w:r>
        <w:rPr>
          <w:rFonts w:ascii="Calibri" w:hAnsi="Calibri" w:cs="Calibri"/>
        </w:rPr>
        <w:t>Ce report n'est pas nécessairement fait par les élèves eux-mêmes pendant la séance : le cadrage laisse cette tâche au professeur, en fin ou après la séance, à partir des fiches papier complétées par chaque équipe. Restent également en attente, au moment de la rédaction de ce document : la date réelle de la séance dans le calendrier de la rentrée 2026, la place exacte de S0 dans la progression codée (avant S1 ou en semaine 1 jour 1, à trancher par Franck), et le remplacement des croquis provisoires (clé à mo</w:t>
      </w:r>
      <w:r>
        <w:rPr>
          <w:rFonts w:ascii="Calibri" w:hAnsi="Calibri" w:cs="Calibri"/>
        </w:rPr>
        <w:t xml:space="preserve">lette, tournevis testeur, cintreuse plombier) par des photographies réelles prises directement à l'atelier. Ces points sont consignés dans le </w:t>
      </w:r>
      <w:r>
        <w:rPr>
          <w:rStyle w:val="CodeHTML"/>
        </w:rPr>
        <w:t>_ETAT.md</w:t>
      </w:r>
      <w:r>
        <w:rPr>
          <w:rFonts w:ascii="Calibri" w:hAnsi="Calibri" w:cs="Calibri"/>
        </w:rPr>
        <w:t xml:space="preserve"> de la séquence, conformément à la règle de traçabilité de l'usine de contenu.</w:t>
      </w:r>
    </w:p>
    <w:p w:rsidR="00EB2ECB" w:rsidRDefault="00EB2ECB">
      <w:pPr>
        <w:pStyle w:val="NormalWeb"/>
        <w:shd w:val="clear" w:color="auto" w:fill="FFFFFF"/>
        <w:spacing w:before="240" w:beforeAutospacing="0"/>
        <w:divId w:val="887373354"/>
        <w:rPr>
          <w:rFonts w:ascii="Calibri" w:hAnsi="Calibri" w:cs="Calibri"/>
          <w:i/>
          <w:iCs/>
          <w:sz w:val="18"/>
          <w:szCs w:val="18"/>
        </w:rPr>
      </w:pPr>
      <w:r>
        <w:rPr>
          <w:rFonts w:ascii="Calibri" w:hAnsi="Calibri" w:cs="Calibri"/>
          <w:i/>
          <w:iCs/>
          <w:sz w:val="18"/>
          <w:szCs w:val="18"/>
        </w:rPr>
        <w:t>D'après : cadrage de séquence S0 (chef d'orchestre usine FrigorX, 02/09/2026) ; « 01-Outillages et protections » — Dossier matériels et équipements v001-2014 (F. Henninot) ; Liste outillage élèves — prise en charge caisse, Classe 1 CAP 2022/2023 (F. Henninot) ; Charte pédagogique FrigorX v1.0 ; Manuel de conception pédagogique FrigorX v1.0.</w:t>
      </w:r>
    </w:p>
    <w:p w:rsidR="00EB2ECB" w:rsidRDefault="00EB2ECB">
      <w:pPr>
        <w:shd w:val="clear" w:color="auto" w:fill="FFFFFF"/>
        <w:divId w:val="471560628"/>
        <w:rPr>
          <w:rFonts w:ascii="Calibri" w:eastAsia="Times New Roman" w:hAnsi="Calibri" w:cs="Calibri"/>
          <w:sz w:val="16"/>
          <w:szCs w:val="16"/>
        </w:rPr>
      </w:pPr>
      <w:r>
        <w:rPr>
          <w:rFonts w:ascii="Segoe UI Symbol" w:eastAsia="Times New Roman" w:hAnsi="Segoe UI Symbol" w:cs="Segoe UI Symbol"/>
          <w:sz w:val="16"/>
          <w:szCs w:val="16"/>
        </w:rPr>
        <w:t>❄</w:t>
      </w:r>
      <w:r>
        <w:rPr>
          <w:rFonts w:ascii="Calibri" w:eastAsia="Times New Roman" w:hAnsi="Calibri" w:cs="Calibri"/>
          <w:sz w:val="16"/>
          <w:szCs w:val="16"/>
        </w:rPr>
        <w:t xml:space="preserve"> inerWeb </w:t>
      </w:r>
      <w:r>
        <w:rPr>
          <w:rFonts w:ascii="Calibri" w:eastAsia="Times New Roman" w:hAnsi="Calibri" w:cs="Calibri"/>
          <w:sz w:val="16"/>
          <w:szCs w:val="16"/>
        </w:rPr>
        <w:t>É</w:t>
      </w:r>
      <w:r>
        <w:rPr>
          <w:rFonts w:ascii="Calibri" w:eastAsia="Times New Roman" w:hAnsi="Calibri" w:cs="Calibri"/>
          <w:sz w:val="16"/>
          <w:szCs w:val="16"/>
        </w:rPr>
        <w:t xml:space="preserve">du </w:t>
      </w:r>
      <w:r>
        <w:rPr>
          <w:rFonts w:ascii="Calibri" w:eastAsia="Times New Roman" w:hAnsi="Calibri" w:cs="Calibri"/>
          <w:sz w:val="16"/>
          <w:szCs w:val="16"/>
        </w:rPr>
        <w:t>—</w:t>
      </w:r>
      <w:r>
        <w:rPr>
          <w:rFonts w:ascii="Calibri" w:eastAsia="Times New Roman" w:hAnsi="Calibri" w:cs="Calibri"/>
          <w:sz w:val="16"/>
          <w:szCs w:val="16"/>
        </w:rPr>
        <w:t xml:space="preserve"> par F. Henninot </w:t>
      </w:r>
      <w:r>
        <w:rPr>
          <w:rFonts w:ascii="Calibri" w:eastAsia="Times New Roman" w:hAnsi="Calibri" w:cs="Calibri"/>
          <w:sz w:val="16"/>
          <w:szCs w:val="16"/>
        </w:rPr>
        <w:t>·</w:t>
      </w:r>
      <w:r>
        <w:rPr>
          <w:rFonts w:ascii="Calibri" w:eastAsia="Times New Roman" w:hAnsi="Calibri" w:cs="Calibri"/>
          <w:sz w:val="16"/>
          <w:szCs w:val="16"/>
        </w:rPr>
        <w:t xml:space="preserve"> LPP Jacques Raynaud </w:t>
      </w:r>
      <w:r>
        <w:rPr>
          <w:rFonts w:ascii="Calibri" w:eastAsia="Times New Roman" w:hAnsi="Calibri" w:cs="Calibri"/>
          <w:sz w:val="16"/>
          <w:szCs w:val="16"/>
        </w:rPr>
        <w:t>—</w:t>
      </w:r>
      <w:r>
        <w:rPr>
          <w:rFonts w:ascii="Calibri" w:eastAsia="Times New Roman" w:hAnsi="Calibri" w:cs="Calibri"/>
          <w:sz w:val="16"/>
          <w:szCs w:val="16"/>
        </w:rPr>
        <w:t xml:space="preserve"> Campus EQUATIO cr</w:t>
      </w:r>
      <w:r>
        <w:rPr>
          <w:rFonts w:ascii="Calibri" w:eastAsia="Times New Roman" w:hAnsi="Calibri" w:cs="Calibri"/>
          <w:sz w:val="16"/>
          <w:szCs w:val="16"/>
        </w:rPr>
        <w:t>éé</w:t>
      </w:r>
      <w:r>
        <w:rPr>
          <w:rFonts w:ascii="Calibri" w:eastAsia="Times New Roman" w:hAnsi="Calibri" w:cs="Calibri"/>
          <w:sz w:val="16"/>
          <w:szCs w:val="16"/>
        </w:rPr>
        <w:t xml:space="preserve"> le 02/09/2026 </w:t>
      </w:r>
      <w:r>
        <w:rPr>
          <w:rFonts w:ascii="Calibri" w:eastAsia="Times New Roman" w:hAnsi="Calibri" w:cs="Calibri"/>
          <w:sz w:val="16"/>
          <w:szCs w:val="16"/>
        </w:rPr>
        <w:t>·</w:t>
      </w:r>
      <w:r>
        <w:rPr>
          <w:rFonts w:ascii="Calibri" w:eastAsia="Times New Roman" w:hAnsi="Calibri" w:cs="Calibri"/>
          <w:sz w:val="16"/>
          <w:szCs w:val="16"/>
        </w:rPr>
        <w:t xml:space="preserve"> </w:t>
      </w:r>
      <w:r>
        <w:rPr>
          <w:rFonts w:ascii="Calibri" w:eastAsia="Times New Roman" w:hAnsi="Calibri" w:cs="Calibri"/>
          <w:sz w:val="16"/>
          <w:szCs w:val="16"/>
        </w:rPr>
        <w:t>©</w:t>
      </w:r>
      <w:r>
        <w:rPr>
          <w:rFonts w:ascii="Calibri" w:eastAsia="Times New Roman" w:hAnsi="Calibri" w:cs="Calibri"/>
          <w:sz w:val="16"/>
          <w:szCs w:val="16"/>
        </w:rPr>
        <w:t xml:space="preserve"> F. Henninot 2026 </w:t>
      </w:r>
      <w:r>
        <w:rPr>
          <w:rFonts w:ascii="Calibri" w:eastAsia="Times New Roman" w:hAnsi="Calibri" w:cs="Calibri"/>
          <w:sz w:val="16"/>
          <w:szCs w:val="16"/>
        </w:rPr>
        <w:t>—</w:t>
      </w:r>
      <w:r>
        <w:rPr>
          <w:rFonts w:ascii="Calibri" w:eastAsia="Times New Roman" w:hAnsi="Calibri" w:cs="Calibri"/>
          <w:sz w:val="16"/>
          <w:szCs w:val="16"/>
        </w:rPr>
        <w:t xml:space="preserve"> diffusion p</w:t>
      </w:r>
      <w:r>
        <w:rPr>
          <w:rFonts w:ascii="Calibri" w:eastAsia="Times New Roman" w:hAnsi="Calibri" w:cs="Calibri"/>
          <w:sz w:val="16"/>
          <w:szCs w:val="16"/>
        </w:rPr>
        <w:t>é</w:t>
      </w:r>
      <w:r>
        <w:rPr>
          <w:rFonts w:ascii="Calibri" w:eastAsia="Times New Roman" w:hAnsi="Calibri" w:cs="Calibri"/>
          <w:sz w:val="16"/>
          <w:szCs w:val="16"/>
        </w:rPr>
        <w:t>dagogique autoris</w:t>
      </w:r>
      <w:r>
        <w:rPr>
          <w:rFonts w:ascii="Calibri" w:eastAsia="Times New Roman" w:hAnsi="Calibri" w:cs="Calibri"/>
          <w:sz w:val="16"/>
          <w:szCs w:val="16"/>
        </w:rPr>
        <w:t>é</w:t>
      </w:r>
      <w:r>
        <w:rPr>
          <w:rFonts w:ascii="Calibri" w:eastAsia="Times New Roman" w:hAnsi="Calibri" w:cs="Calibri"/>
          <w:sz w:val="16"/>
          <w:szCs w:val="16"/>
        </w:rPr>
        <w:t xml:space="preserve">e, mention de l'origine requise </w:t>
      </w:r>
    </w:p>
    <w:sectPr w:rsidR="00EB2E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572E"/>
    <w:rsid w:val="004A572E"/>
    <w:rsid w:val="00B00978"/>
    <w:rsid w:val="00EB2E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76DA4F7-69E2-47BF-8CD1-67BB57D67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spacing w:after="84"/>
      <w:outlineLvl w:val="1"/>
    </w:pPr>
    <w:rPr>
      <w:rFonts w:ascii="Trebuchet MS" w:hAnsi="Trebuchet MS"/>
      <w:b/>
      <w:bCs/>
      <w:sz w:val="36"/>
      <w:szCs w:val="36"/>
    </w:rPr>
  </w:style>
  <w:style w:type="paragraph" w:styleId="Titre3">
    <w:name w:val="heading 3"/>
    <w:basedOn w:val="Normal"/>
    <w:link w:val="Titre3Car"/>
    <w:uiPriority w:val="9"/>
    <w:qFormat/>
    <w:pPr>
      <w:spacing w:after="84"/>
      <w:outlineLvl w:val="2"/>
    </w:pPr>
    <w:rPr>
      <w:rFonts w:ascii="Trebuchet MS" w:hAnsi="Trebuchet MS"/>
      <w:b/>
      <w:bCs/>
      <w:sz w:val="27"/>
      <w:szCs w:val="27"/>
    </w:rPr>
  </w:style>
  <w:style w:type="paragraph" w:styleId="Titre4">
    <w:name w:val="heading 4"/>
    <w:basedOn w:val="Normal"/>
    <w:link w:val="Titre4Car"/>
    <w:uiPriority w:val="9"/>
    <w:qFormat/>
    <w:pPr>
      <w:spacing w:after="84"/>
      <w:outlineLvl w:val="3"/>
    </w:pPr>
    <w:rPr>
      <w:rFonts w:ascii="Trebuchet MS" w:hAnsi="Trebuchet MS"/>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style>
  <w:style w:type="paragraph" w:customStyle="1" w:styleId="dev">
    <w:name w:val="dev"/>
    <w:basedOn w:val="Normal"/>
    <w:pPr>
      <w:spacing w:before="96" w:after="192"/>
    </w:pPr>
    <w:rPr>
      <w:sz w:val="23"/>
      <w:szCs w:val="23"/>
    </w:rPr>
  </w:style>
  <w:style w:type="paragraph" w:customStyle="1" w:styleId="feuille">
    <w:name w:val="feuille"/>
    <w:basedOn w:val="Normal"/>
    <w:pPr>
      <w:shd w:val="clear" w:color="auto" w:fill="FFFFFF"/>
      <w:spacing w:after="450"/>
    </w:pPr>
  </w:style>
  <w:style w:type="paragraph" w:customStyle="1" w:styleId="entete">
    <w:name w:val="entete"/>
    <w:basedOn w:val="Normal"/>
    <w:pPr>
      <w:spacing w:before="100" w:beforeAutospacing="1" w:after="150"/>
    </w:pPr>
  </w:style>
  <w:style w:type="paragraph" w:customStyle="1" w:styleId="lockup">
    <w:name w:val="lockup"/>
    <w:basedOn w:val="Normal"/>
    <w:pPr>
      <w:spacing w:before="100" w:beforeAutospacing="1" w:after="100" w:afterAutospacing="1"/>
    </w:pPr>
  </w:style>
  <w:style w:type="paragraph" w:customStyle="1" w:styleId="barre">
    <w:name w:val="barre"/>
    <w:basedOn w:val="Normal"/>
    <w:pPr>
      <w:spacing w:before="72" w:after="240"/>
    </w:pPr>
  </w:style>
  <w:style w:type="paragraph" w:customStyle="1" w:styleId="pied">
    <w:name w:val="pied"/>
    <w:basedOn w:val="Normal"/>
    <w:pPr>
      <w:spacing w:before="100" w:beforeAutospacing="1" w:after="100" w:afterAutospacing="1"/>
    </w:pPr>
    <w:rPr>
      <w:sz w:val="16"/>
      <w:szCs w:val="16"/>
    </w:rPr>
  </w:style>
  <w:style w:type="paragraph" w:customStyle="1" w:styleId="formule">
    <w:name w:val="formule"/>
    <w:basedOn w:val="Normal"/>
    <w:pPr>
      <w:spacing w:before="72" w:after="216"/>
    </w:pPr>
    <w:rPr>
      <w:sz w:val="19"/>
      <w:szCs w:val="19"/>
    </w:rPr>
  </w:style>
  <w:style w:type="paragraph" w:customStyle="1" w:styleId="statut">
    <w:name w:val="statut"/>
    <w:basedOn w:val="Normal"/>
    <w:pPr>
      <w:pBdr>
        <w:top w:val="single" w:sz="6" w:space="0" w:color="B9C8E0"/>
        <w:left w:val="single" w:sz="6" w:space="5" w:color="B9C8E0"/>
        <w:bottom w:val="single" w:sz="6" w:space="0" w:color="B9C8E0"/>
        <w:right w:val="single" w:sz="6" w:space="5" w:color="B9C8E0"/>
      </w:pBdr>
      <w:shd w:val="clear" w:color="auto" w:fill="E9EDF6"/>
      <w:spacing w:before="100" w:beforeAutospacing="1" w:after="100" w:afterAutospacing="1"/>
    </w:pPr>
    <w:rPr>
      <w:rFonts w:ascii="Trebuchet MS" w:hAnsi="Trebuchet MS"/>
      <w:b/>
      <w:bCs/>
      <w:color w:val="3A5A8C"/>
      <w:sz w:val="15"/>
      <w:szCs w:val="15"/>
    </w:rPr>
  </w:style>
  <w:style w:type="paragraph" w:customStyle="1" w:styleId="nuance">
    <w:name w:val="nuance"/>
    <w:basedOn w:val="Normal"/>
    <w:pPr>
      <w:spacing w:before="100" w:beforeAutospacing="1" w:after="100" w:afterAutospacing="1"/>
    </w:pPr>
    <w:rPr>
      <w:i/>
      <w:iCs/>
      <w:sz w:val="16"/>
      <w:szCs w:val="16"/>
    </w:rPr>
  </w:style>
  <w:style w:type="paragraph" w:customStyle="1" w:styleId="liste-num">
    <w:name w:val="liste-num"/>
    <w:basedOn w:val="Normal"/>
    <w:pPr>
      <w:spacing w:before="72" w:after="216"/>
    </w:pPr>
    <w:rPr>
      <w:sz w:val="22"/>
      <w:szCs w:val="22"/>
    </w:rPr>
  </w:style>
  <w:style w:type="paragraph" w:customStyle="1" w:styleId="reponse">
    <w:name w:val="reponse"/>
    <w:basedOn w:val="Normal"/>
    <w:pPr>
      <w:spacing w:before="96" w:after="216"/>
    </w:pPr>
    <w:rPr>
      <w:sz w:val="22"/>
      <w:szCs w:val="22"/>
    </w:rPr>
  </w:style>
  <w:style w:type="paragraph" w:customStyle="1" w:styleId="vigilance">
    <w:name w:val="vigilance"/>
    <w:basedOn w:val="Normal"/>
    <w:pPr>
      <w:shd w:val="clear" w:color="auto" w:fill="FFF7F3"/>
      <w:spacing w:before="96" w:after="216"/>
    </w:pPr>
    <w:rPr>
      <w:sz w:val="21"/>
      <w:szCs w:val="21"/>
    </w:rPr>
  </w:style>
  <w:style w:type="paragraph" w:customStyle="1" w:styleId="sigle">
    <w:name w:val="sigle"/>
    <w:basedOn w:val="Normal"/>
    <w:pPr>
      <w:spacing w:before="100" w:beforeAutospacing="1" w:after="100" w:afterAutospacing="1"/>
    </w:pPr>
  </w:style>
  <w:style w:type="paragraph" w:customStyle="1" w:styleId="nom">
    <w:name w:val="nom"/>
    <w:basedOn w:val="Normal"/>
    <w:pPr>
      <w:spacing w:before="100" w:beforeAutospacing="1" w:after="100" w:afterAutospacing="1"/>
    </w:pPr>
  </w:style>
  <w:style w:type="paragraph" w:customStyle="1" w:styleId="lib">
    <w:name w:val="lib"/>
    <w:basedOn w:val="Normal"/>
    <w:pPr>
      <w:spacing w:before="100" w:beforeAutospacing="1" w:after="100" w:afterAutospacing="1"/>
    </w:pPr>
  </w:style>
  <w:style w:type="paragraph" w:customStyle="1" w:styleId="grand">
    <w:name w:val="grand"/>
    <w:basedOn w:val="Normal"/>
    <w:pPr>
      <w:spacing w:before="100" w:beforeAutospacing="1" w:after="100" w:afterAutospacing="1"/>
    </w:pPr>
  </w:style>
  <w:style w:type="paragraph" w:customStyle="1" w:styleId="case">
    <w:name w:val="case"/>
    <w:basedOn w:val="Normal"/>
    <w:pPr>
      <w:spacing w:before="100" w:beforeAutospacing="1" w:after="100" w:afterAutospacing="1"/>
    </w:pPr>
  </w:style>
  <w:style w:type="paragraph" w:customStyle="1" w:styleId="sigle1">
    <w:name w:val="sigle1"/>
    <w:basedOn w:val="Normal"/>
    <w:pPr>
      <w:spacing w:before="100" w:beforeAutospacing="1" w:after="100" w:afterAutospacing="1"/>
    </w:pPr>
    <w:rPr>
      <w:rFonts w:ascii="Trebuchet MS" w:hAnsi="Trebuchet MS"/>
      <w:b/>
      <w:bCs/>
      <w:spacing w:val="14"/>
      <w:sz w:val="26"/>
      <w:szCs w:val="26"/>
    </w:rPr>
  </w:style>
  <w:style w:type="paragraph" w:customStyle="1" w:styleId="nom1">
    <w:name w:val="nom1"/>
    <w:basedOn w:val="Normal"/>
    <w:pPr>
      <w:spacing w:before="100" w:beforeAutospacing="1" w:after="100" w:afterAutospacing="1"/>
    </w:pPr>
    <w:rPr>
      <w:rFonts w:ascii="Trebuchet MS" w:hAnsi="Trebuchet MS"/>
      <w:b/>
      <w:bCs/>
      <w:spacing w:val="7"/>
      <w:sz w:val="26"/>
      <w:szCs w:val="26"/>
    </w:rPr>
  </w:style>
  <w:style w:type="paragraph" w:customStyle="1" w:styleId="lib1">
    <w:name w:val="lib1"/>
    <w:basedOn w:val="Normal"/>
    <w:pPr>
      <w:spacing w:before="100" w:beforeAutospacing="1" w:after="100" w:afterAutospacing="1"/>
    </w:pPr>
    <w:rPr>
      <w:rFonts w:ascii="Trebuchet MS" w:hAnsi="Trebuchet MS"/>
      <w:b/>
      <w:bCs/>
      <w:caps/>
      <w:spacing w:val="17"/>
      <w:sz w:val="17"/>
      <w:szCs w:val="17"/>
    </w:rPr>
  </w:style>
  <w:style w:type="paragraph" w:customStyle="1" w:styleId="grand1">
    <w:name w:val="grand1"/>
    <w:basedOn w:val="Normal"/>
    <w:pPr>
      <w:spacing w:before="100" w:beforeAutospacing="1" w:after="100" w:afterAutospacing="1"/>
    </w:pPr>
    <w:rPr>
      <w:rFonts w:ascii="Trebuchet MS" w:hAnsi="Trebuchet MS"/>
      <w:b/>
      <w:bCs/>
    </w:rPr>
  </w:style>
  <w:style w:type="paragraph" w:customStyle="1" w:styleId="case1">
    <w:name w:val="case1"/>
    <w:basedOn w:val="Normal"/>
    <w:pPr>
      <w:shd w:val="clear" w:color="auto" w:fill="FFFFFF"/>
      <w:spacing w:before="100" w:beforeAutospacing="1" w:after="100" w:afterAutospacing="1"/>
    </w:pPr>
  </w:style>
  <w:style w:type="character" w:customStyle="1" w:styleId="nuance1">
    <w:name w:val="nuance1"/>
    <w:basedOn w:val="Policepardfaut"/>
    <w:rPr>
      <w:i/>
      <w:iCs/>
      <w:sz w:val="16"/>
      <w:szCs w:val="16"/>
    </w:rPr>
  </w:style>
  <w:style w:type="character" w:customStyle="1" w:styleId="statut1">
    <w:name w:val="statut1"/>
    <w:basedOn w:val="Policepardfaut"/>
    <w:rPr>
      <w:rFonts w:ascii="Trebuchet MS" w:hAnsi="Trebuchet MS" w:hint="default"/>
      <w:b/>
      <w:bCs/>
      <w:color w:val="3A5A8C"/>
      <w:sz w:val="15"/>
      <w:szCs w:val="15"/>
      <w:bdr w:val="single" w:sz="6" w:space="0" w:color="B9C8E0" w:frame="1"/>
      <w:shd w:val="clear" w:color="auto" w:fill="E9EDF6"/>
    </w:rPr>
  </w:style>
  <w:style w:type="character" w:styleId="CodeHTML">
    <w:name w:val="HTML Code"/>
    <w:basedOn w:val="Policepardfaut"/>
    <w:uiPriority w:val="99"/>
    <w:semiHidden/>
    <w:unhideWhenUsed/>
    <w:rPr>
      <w:rFonts w:ascii="Courier New" w:eastAsiaTheme="minorEastAsia" w:hAnsi="Courier New" w:cs="Courier New"/>
      <w:sz w:val="20"/>
      <w:szCs w:val="20"/>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597355">
      <w:marLeft w:val="0"/>
      <w:marRight w:val="0"/>
      <w:marTop w:val="0"/>
      <w:marBottom w:val="450"/>
      <w:divBdr>
        <w:top w:val="none" w:sz="0" w:space="0" w:color="auto"/>
        <w:left w:val="none" w:sz="0" w:space="0" w:color="auto"/>
        <w:bottom w:val="none" w:sz="0" w:space="0" w:color="auto"/>
        <w:right w:val="none" w:sz="0" w:space="0" w:color="auto"/>
      </w:divBdr>
      <w:divsChild>
        <w:div w:id="973826440">
          <w:marLeft w:val="0"/>
          <w:marRight w:val="0"/>
          <w:marTop w:val="0"/>
          <w:marBottom w:val="150"/>
          <w:divBdr>
            <w:top w:val="none" w:sz="0" w:space="0" w:color="auto"/>
            <w:left w:val="none" w:sz="0" w:space="0" w:color="auto"/>
            <w:bottom w:val="none" w:sz="0" w:space="0" w:color="auto"/>
            <w:right w:val="none" w:sz="0" w:space="0" w:color="auto"/>
          </w:divBdr>
          <w:divsChild>
            <w:div w:id="1050879107">
              <w:marLeft w:val="0"/>
              <w:marRight w:val="0"/>
              <w:marTop w:val="0"/>
              <w:marBottom w:val="0"/>
              <w:divBdr>
                <w:top w:val="none" w:sz="0" w:space="0" w:color="auto"/>
                <w:left w:val="none" w:sz="0" w:space="0" w:color="auto"/>
                <w:bottom w:val="none" w:sz="0" w:space="0" w:color="auto"/>
                <w:right w:val="none" w:sz="0" w:space="0" w:color="auto"/>
              </w:divBdr>
            </w:div>
          </w:divsChild>
        </w:div>
        <w:div w:id="953291017">
          <w:marLeft w:val="0"/>
          <w:marRight w:val="0"/>
          <w:marTop w:val="100"/>
          <w:marBottom w:val="0"/>
          <w:divBdr>
            <w:top w:val="none" w:sz="0" w:space="0" w:color="auto"/>
            <w:left w:val="none" w:sz="0" w:space="0" w:color="auto"/>
            <w:bottom w:val="none" w:sz="0" w:space="0" w:color="auto"/>
            <w:right w:val="none" w:sz="0" w:space="0" w:color="auto"/>
          </w:divBdr>
        </w:div>
      </w:divsChild>
    </w:div>
    <w:div w:id="452095549">
      <w:marLeft w:val="0"/>
      <w:marRight w:val="0"/>
      <w:marTop w:val="0"/>
      <w:marBottom w:val="450"/>
      <w:divBdr>
        <w:top w:val="none" w:sz="0" w:space="0" w:color="auto"/>
        <w:left w:val="none" w:sz="0" w:space="0" w:color="auto"/>
        <w:bottom w:val="none" w:sz="0" w:space="0" w:color="auto"/>
        <w:right w:val="none" w:sz="0" w:space="0" w:color="auto"/>
      </w:divBdr>
      <w:divsChild>
        <w:div w:id="2031442937">
          <w:marLeft w:val="0"/>
          <w:marRight w:val="0"/>
          <w:marTop w:val="0"/>
          <w:marBottom w:val="150"/>
          <w:divBdr>
            <w:top w:val="none" w:sz="0" w:space="0" w:color="auto"/>
            <w:left w:val="none" w:sz="0" w:space="0" w:color="auto"/>
            <w:bottom w:val="none" w:sz="0" w:space="0" w:color="auto"/>
            <w:right w:val="none" w:sz="0" w:space="0" w:color="auto"/>
          </w:divBdr>
          <w:divsChild>
            <w:div w:id="2119641975">
              <w:marLeft w:val="0"/>
              <w:marRight w:val="0"/>
              <w:marTop w:val="0"/>
              <w:marBottom w:val="0"/>
              <w:divBdr>
                <w:top w:val="none" w:sz="0" w:space="0" w:color="auto"/>
                <w:left w:val="none" w:sz="0" w:space="0" w:color="auto"/>
                <w:bottom w:val="none" w:sz="0" w:space="0" w:color="auto"/>
                <w:right w:val="none" w:sz="0" w:space="0" w:color="auto"/>
              </w:divBdr>
            </w:div>
          </w:divsChild>
        </w:div>
        <w:div w:id="50348628">
          <w:marLeft w:val="0"/>
          <w:marRight w:val="0"/>
          <w:marTop w:val="100"/>
          <w:marBottom w:val="0"/>
          <w:divBdr>
            <w:top w:val="none" w:sz="0" w:space="0" w:color="auto"/>
            <w:left w:val="none" w:sz="0" w:space="0" w:color="auto"/>
            <w:bottom w:val="none" w:sz="0" w:space="0" w:color="auto"/>
            <w:right w:val="none" w:sz="0" w:space="0" w:color="auto"/>
          </w:divBdr>
        </w:div>
      </w:divsChild>
    </w:div>
    <w:div w:id="675621490">
      <w:marLeft w:val="0"/>
      <w:marRight w:val="0"/>
      <w:marTop w:val="0"/>
      <w:marBottom w:val="450"/>
      <w:divBdr>
        <w:top w:val="none" w:sz="0" w:space="0" w:color="auto"/>
        <w:left w:val="none" w:sz="0" w:space="0" w:color="auto"/>
        <w:bottom w:val="none" w:sz="0" w:space="0" w:color="auto"/>
        <w:right w:val="none" w:sz="0" w:space="0" w:color="auto"/>
      </w:divBdr>
      <w:divsChild>
        <w:div w:id="1483501390">
          <w:marLeft w:val="0"/>
          <w:marRight w:val="0"/>
          <w:marTop w:val="0"/>
          <w:marBottom w:val="150"/>
          <w:divBdr>
            <w:top w:val="none" w:sz="0" w:space="0" w:color="auto"/>
            <w:left w:val="none" w:sz="0" w:space="0" w:color="auto"/>
            <w:bottom w:val="none" w:sz="0" w:space="0" w:color="auto"/>
            <w:right w:val="none" w:sz="0" w:space="0" w:color="auto"/>
          </w:divBdr>
          <w:divsChild>
            <w:div w:id="1059286679">
              <w:marLeft w:val="0"/>
              <w:marRight w:val="0"/>
              <w:marTop w:val="0"/>
              <w:marBottom w:val="0"/>
              <w:divBdr>
                <w:top w:val="none" w:sz="0" w:space="0" w:color="auto"/>
                <w:left w:val="none" w:sz="0" w:space="0" w:color="auto"/>
                <w:bottom w:val="none" w:sz="0" w:space="0" w:color="auto"/>
                <w:right w:val="none" w:sz="0" w:space="0" w:color="auto"/>
              </w:divBdr>
            </w:div>
            <w:div w:id="1372459358">
              <w:marLeft w:val="0"/>
              <w:marRight w:val="0"/>
              <w:marTop w:val="0"/>
              <w:marBottom w:val="0"/>
              <w:divBdr>
                <w:top w:val="none" w:sz="0" w:space="0" w:color="auto"/>
                <w:left w:val="none" w:sz="0" w:space="0" w:color="auto"/>
                <w:bottom w:val="none" w:sz="0" w:space="0" w:color="auto"/>
                <w:right w:val="none" w:sz="0" w:space="0" w:color="auto"/>
              </w:divBdr>
            </w:div>
          </w:divsChild>
        </w:div>
        <w:div w:id="1662007969">
          <w:marLeft w:val="0"/>
          <w:marRight w:val="0"/>
          <w:marTop w:val="72"/>
          <w:marBottom w:val="240"/>
          <w:divBdr>
            <w:top w:val="none" w:sz="0" w:space="0" w:color="auto"/>
            <w:left w:val="none" w:sz="0" w:space="0" w:color="auto"/>
            <w:bottom w:val="none" w:sz="0" w:space="0" w:color="auto"/>
            <w:right w:val="none" w:sz="0" w:space="0" w:color="auto"/>
          </w:divBdr>
        </w:div>
        <w:div w:id="1159154719">
          <w:marLeft w:val="0"/>
          <w:marRight w:val="0"/>
          <w:marTop w:val="72"/>
          <w:marBottom w:val="216"/>
          <w:divBdr>
            <w:top w:val="none" w:sz="0" w:space="0" w:color="auto"/>
            <w:left w:val="none" w:sz="0" w:space="0" w:color="auto"/>
            <w:bottom w:val="none" w:sz="0" w:space="0" w:color="auto"/>
            <w:right w:val="none" w:sz="0" w:space="0" w:color="auto"/>
          </w:divBdr>
          <w:divsChild>
            <w:div w:id="1111242172">
              <w:marLeft w:val="0"/>
              <w:marRight w:val="0"/>
              <w:marTop w:val="0"/>
              <w:marBottom w:val="0"/>
              <w:divBdr>
                <w:top w:val="none" w:sz="0" w:space="0" w:color="auto"/>
                <w:left w:val="none" w:sz="0" w:space="0" w:color="auto"/>
                <w:bottom w:val="none" w:sz="0" w:space="0" w:color="auto"/>
                <w:right w:val="none" w:sz="0" w:space="0" w:color="auto"/>
              </w:divBdr>
            </w:div>
            <w:div w:id="267931981">
              <w:marLeft w:val="0"/>
              <w:marRight w:val="0"/>
              <w:marTop w:val="0"/>
              <w:marBottom w:val="0"/>
              <w:divBdr>
                <w:top w:val="none" w:sz="0" w:space="0" w:color="auto"/>
                <w:left w:val="none" w:sz="0" w:space="0" w:color="auto"/>
                <w:bottom w:val="none" w:sz="0" w:space="0" w:color="auto"/>
                <w:right w:val="none" w:sz="0" w:space="0" w:color="auto"/>
              </w:divBdr>
            </w:div>
            <w:div w:id="263266346">
              <w:marLeft w:val="0"/>
              <w:marRight w:val="0"/>
              <w:marTop w:val="0"/>
              <w:marBottom w:val="0"/>
              <w:divBdr>
                <w:top w:val="none" w:sz="0" w:space="0" w:color="auto"/>
                <w:left w:val="none" w:sz="0" w:space="0" w:color="auto"/>
                <w:bottom w:val="none" w:sz="0" w:space="0" w:color="auto"/>
                <w:right w:val="none" w:sz="0" w:space="0" w:color="auto"/>
              </w:divBdr>
            </w:div>
            <w:div w:id="186647020">
              <w:marLeft w:val="0"/>
              <w:marRight w:val="0"/>
              <w:marTop w:val="0"/>
              <w:marBottom w:val="0"/>
              <w:divBdr>
                <w:top w:val="none" w:sz="0" w:space="0" w:color="auto"/>
                <w:left w:val="none" w:sz="0" w:space="0" w:color="auto"/>
                <w:bottom w:val="none" w:sz="0" w:space="0" w:color="auto"/>
                <w:right w:val="none" w:sz="0" w:space="0" w:color="auto"/>
              </w:divBdr>
            </w:div>
          </w:divsChild>
        </w:div>
        <w:div w:id="1925187826">
          <w:marLeft w:val="0"/>
          <w:marRight w:val="0"/>
          <w:marTop w:val="100"/>
          <w:marBottom w:val="0"/>
          <w:divBdr>
            <w:top w:val="none" w:sz="0" w:space="0" w:color="auto"/>
            <w:left w:val="none" w:sz="0" w:space="0" w:color="auto"/>
            <w:bottom w:val="none" w:sz="0" w:space="0" w:color="auto"/>
            <w:right w:val="none" w:sz="0" w:space="0" w:color="auto"/>
          </w:divBdr>
        </w:div>
      </w:divsChild>
    </w:div>
    <w:div w:id="887373354">
      <w:marLeft w:val="0"/>
      <w:marRight w:val="0"/>
      <w:marTop w:val="0"/>
      <w:marBottom w:val="450"/>
      <w:divBdr>
        <w:top w:val="none" w:sz="0" w:space="0" w:color="auto"/>
        <w:left w:val="none" w:sz="0" w:space="0" w:color="auto"/>
        <w:bottom w:val="none" w:sz="0" w:space="0" w:color="auto"/>
        <w:right w:val="none" w:sz="0" w:space="0" w:color="auto"/>
      </w:divBdr>
      <w:divsChild>
        <w:div w:id="1794012072">
          <w:marLeft w:val="0"/>
          <w:marRight w:val="0"/>
          <w:marTop w:val="0"/>
          <w:marBottom w:val="150"/>
          <w:divBdr>
            <w:top w:val="none" w:sz="0" w:space="0" w:color="auto"/>
            <w:left w:val="none" w:sz="0" w:space="0" w:color="auto"/>
            <w:bottom w:val="none" w:sz="0" w:space="0" w:color="auto"/>
            <w:right w:val="none" w:sz="0" w:space="0" w:color="auto"/>
          </w:divBdr>
          <w:divsChild>
            <w:div w:id="581137255">
              <w:marLeft w:val="0"/>
              <w:marRight w:val="0"/>
              <w:marTop w:val="0"/>
              <w:marBottom w:val="0"/>
              <w:divBdr>
                <w:top w:val="none" w:sz="0" w:space="0" w:color="auto"/>
                <w:left w:val="none" w:sz="0" w:space="0" w:color="auto"/>
                <w:bottom w:val="none" w:sz="0" w:space="0" w:color="auto"/>
                <w:right w:val="none" w:sz="0" w:space="0" w:color="auto"/>
              </w:divBdr>
            </w:div>
          </w:divsChild>
        </w:div>
        <w:div w:id="471560628">
          <w:marLeft w:val="0"/>
          <w:marRight w:val="0"/>
          <w:marTop w:val="100"/>
          <w:marBottom w:val="0"/>
          <w:divBdr>
            <w:top w:val="none" w:sz="0" w:space="0" w:color="auto"/>
            <w:left w:val="none" w:sz="0" w:space="0" w:color="auto"/>
            <w:bottom w:val="none" w:sz="0" w:space="0" w:color="auto"/>
            <w:right w:val="none" w:sz="0" w:space="0" w:color="auto"/>
          </w:divBdr>
        </w:div>
      </w:divsChild>
    </w:div>
    <w:div w:id="1862738207">
      <w:marLeft w:val="0"/>
      <w:marRight w:val="0"/>
      <w:marTop w:val="0"/>
      <w:marBottom w:val="450"/>
      <w:divBdr>
        <w:top w:val="none" w:sz="0" w:space="0" w:color="auto"/>
        <w:left w:val="none" w:sz="0" w:space="0" w:color="auto"/>
        <w:bottom w:val="none" w:sz="0" w:space="0" w:color="auto"/>
        <w:right w:val="none" w:sz="0" w:space="0" w:color="auto"/>
      </w:divBdr>
      <w:divsChild>
        <w:div w:id="1436484050">
          <w:marLeft w:val="0"/>
          <w:marRight w:val="0"/>
          <w:marTop w:val="0"/>
          <w:marBottom w:val="150"/>
          <w:divBdr>
            <w:top w:val="none" w:sz="0" w:space="0" w:color="auto"/>
            <w:left w:val="none" w:sz="0" w:space="0" w:color="auto"/>
            <w:bottom w:val="none" w:sz="0" w:space="0" w:color="auto"/>
            <w:right w:val="none" w:sz="0" w:space="0" w:color="auto"/>
          </w:divBdr>
          <w:divsChild>
            <w:div w:id="117069198">
              <w:marLeft w:val="0"/>
              <w:marRight w:val="0"/>
              <w:marTop w:val="0"/>
              <w:marBottom w:val="0"/>
              <w:divBdr>
                <w:top w:val="none" w:sz="0" w:space="0" w:color="auto"/>
                <w:left w:val="none" w:sz="0" w:space="0" w:color="auto"/>
                <w:bottom w:val="none" w:sz="0" w:space="0" w:color="auto"/>
                <w:right w:val="none" w:sz="0" w:space="0" w:color="auto"/>
              </w:divBdr>
            </w:div>
          </w:divsChild>
        </w:div>
        <w:div w:id="1941519864">
          <w:marLeft w:val="0"/>
          <w:marRight w:val="0"/>
          <w:marTop w:val="10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3529</Words>
  <Characters>19410</Characters>
  <Application>Microsoft Office Word</Application>
  <DocSecurity>4</DocSecurity>
  <Lines>161</Lines>
  <Paragraphs>45</Paragraphs>
  <ScaleCrop>false</ScaleCrop>
  <Company/>
  <LinksUpToDate>false</LinksUpToDate>
  <CharactersWithSpaces>22894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référence — version détaillée — S0-Séance 3 · Restituer, ranger et évaluer</dc:title>
  <dc:subject/>
  <dc:creator>franck henninot</dc:creator>
  <cp:keywords/>
  <dc:description/>
  <cp:lastModifiedBy>franck henninot</cp:lastModifiedBy>
  <cp:revision>2</cp:revision>
  <dcterms:created xsi:type="dcterms:W3CDTF">2026-09-02T18:54:00Z</dcterms:created>
  <dcterms:modified xsi:type="dcterms:W3CDTF">2026-09-02T18:54:00Z</dcterms:modified>
</cp:coreProperties>
</file>