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Report - Coagulation Profile</w:t>
      </w:r>
    </w:p>
    <w:p>
      <w:r>
        <w:rPr>
          <w:i/>
        </w:rPr>
        <w:t>SAMPLE / FICTIONAL - for software testing only. Not medical advice.</w:t>
      </w:r>
    </w:p>
    <w:p>
      <w:r>
        <w:t>Patient: asad    Age/Sex: 29 / Male    Patient ID: PAT-003</w:t>
      </w:r>
    </w:p>
    <w:p>
      <w:r>
        <w:t>Sample collected: 30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Prothrombin time</w:t>
            </w:r>
          </w:p>
        </w:tc>
        <w:tc>
          <w:tcPr>
            <w:tcW w:type="dxa" w:w="2880"/>
          </w:tcPr>
          <w:p>
            <w:r>
              <w:t>29.4 sec</w:t>
            </w:r>
          </w:p>
        </w:tc>
        <w:tc>
          <w:tcPr>
            <w:tcW w:type="dxa" w:w="2880"/>
          </w:tcPr>
          <w:p>
            <w:r>
              <w:t>11 - 14 sec</w:t>
            </w:r>
          </w:p>
        </w:tc>
      </w:tr>
      <w:tr>
        <w:tc>
          <w:tcPr>
            <w:tcW w:type="dxa" w:w="2880"/>
          </w:tcPr>
          <w:p>
            <w:r>
              <w:t>INR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Target 2.0 - 3.0 on warfarin</w:t>
            </w:r>
          </w:p>
        </w:tc>
      </w:tr>
      <w:tr>
        <w:tc>
          <w:tcPr>
            <w:tcW w:type="dxa" w:w="2880"/>
          </w:tcPr>
          <w:p>
            <w:r>
              <w:t>Platelets</w:t>
            </w:r>
          </w:p>
        </w:tc>
        <w:tc>
          <w:tcPr>
            <w:tcW w:type="dxa" w:w="2880"/>
          </w:tcPr>
          <w:p>
            <w:r>
              <w:t>230,000 /uL</w:t>
            </w:r>
          </w:p>
        </w:tc>
        <w:tc>
          <w:tcPr>
            <w:tcW w:type="dxa" w:w="2880"/>
          </w:tcPr>
          <w:p>
            <w:r>
              <w:t>150,000 - 450,000</w:t>
            </w:r>
          </w:p>
        </w:tc>
      </w:tr>
    </w:tbl>
    <w:p/>
    <w:p>
      <w:r>
        <w:t>Clinical note: patient is on warfarin 5 mg daily for atrial fibrillation. Next INR check due 14 October 2026.</w:t>
      </w:r>
    </w:p>
    <w:p>
      <w:r>
        <w:t>Dental planning note: extraction of tooth 38 is planned for 2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