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9B59F4">
      <w:pPr>
        <w:spacing w:before="1200"/>
        <w:jc w:val="center"/>
      </w:pPr>
      <w:bookmarkStart w:id="24" w:name="_GoBack"/>
      <w:bookmarkEnd w:id="24"/>
      <w:r>
        <w:rPr>
          <w:rFonts w:ascii="黑体" w:hAnsi="黑体" w:eastAsia="黑体" w:cs="黑体"/>
          <w:b/>
          <w:bCs/>
          <w:sz w:val="28"/>
          <w:szCs w:val="28"/>
        </w:rPr>
        <w:t>第十八届全国大学生软件创新大赛-软件设计创新赛</w:t>
      </w:r>
    </w:p>
    <w:p w14:paraId="1E193114">
      <w:pPr>
        <w:spacing w:before="200"/>
        <w:jc w:val="center"/>
      </w:pPr>
      <w:r>
        <w:rPr>
          <w:rFonts w:ascii="宋体" w:hAnsi="宋体" w:eastAsia="宋体" w:cs="宋体"/>
          <w:sz w:val="22"/>
          <w:szCs w:val="22"/>
        </w:rPr>
        <w:t>文档编号：SWC2025-ISO11820-第十五组</w:t>
      </w:r>
    </w:p>
    <w:p w14:paraId="517E51CD">
      <w:pPr>
        <w:spacing w:before="1200"/>
        <w:jc w:val="center"/>
      </w:pPr>
      <w:r>
        <w:rPr>
          <w:rFonts w:ascii="黑体" w:hAnsi="黑体" w:eastAsia="黑体" w:cs="黑体"/>
          <w:b/>
          <w:bCs/>
          <w:sz w:val="44"/>
          <w:szCs w:val="44"/>
        </w:rPr>
        <w:t>设计及创新性分析报告</w:t>
      </w:r>
    </w:p>
    <w:p w14:paraId="63A8682D">
      <w:pPr>
        <w:spacing w:before="600"/>
        <w:jc w:val="center"/>
      </w:pPr>
      <w:r>
        <w:rPr>
          <w:rFonts w:ascii="黑体" w:hAnsi="黑体" w:eastAsia="黑体" w:cs="黑体"/>
          <w:b/>
          <w:bCs/>
          <w:sz w:val="32"/>
          <w:szCs w:val="32"/>
        </w:rPr>
        <w:t>建材不燃性多通道温度仿真系统</w:t>
      </w:r>
    </w:p>
    <w:p w14:paraId="2B3E0C62">
      <w:pPr>
        <w:spacing w:before="200"/>
        <w:jc w:val="center"/>
      </w:pPr>
      <w:r>
        <w:rPr>
          <w:rFonts w:ascii="Arial" w:hAnsi="Arial" w:eastAsia="Arial" w:cs="Arial"/>
          <w:i/>
          <w:iCs/>
          <w:sz w:val="22"/>
          <w:szCs w:val="22"/>
        </w:rPr>
        <w:t>Building Material Non-Combustibility Multi-Channel Temperature Simulation System</w:t>
      </w:r>
    </w:p>
    <w:p w14:paraId="7FEBB23F">
      <w:pPr>
        <w:spacing w:before="1200"/>
        <w:jc w:val="center"/>
      </w:pPr>
      <w:r>
        <w:rPr>
          <w:rFonts w:ascii="Arial" w:hAnsi="Arial" w:eastAsia="Arial" w:cs="Arial"/>
          <w:sz w:val="24"/>
          <w:szCs w:val="24"/>
        </w:rPr>
        <w:t>Version: V1.0</w:t>
      </w:r>
    </w:p>
    <w:p w14:paraId="0599A6BC">
      <w:pPr>
        <w:spacing w:before="1600"/>
        <w:jc w:val="center"/>
      </w:pPr>
      <w:r>
        <w:rPr>
          <w:rFonts w:ascii="黑体" w:hAnsi="黑体" w:eastAsia="黑体" w:cs="黑体"/>
          <w:b/>
          <w:bCs/>
          <w:sz w:val="28"/>
          <w:szCs w:val="28"/>
        </w:rPr>
        <w:t>第十五组</w:t>
      </w:r>
    </w:p>
    <w:p w14:paraId="0F7CA533">
      <w:pPr>
        <w:spacing w:before="200"/>
        <w:jc w:val="center"/>
      </w:pPr>
      <w:r>
        <w:rPr>
          <w:rFonts w:ascii="Arial" w:hAnsi="Arial" w:eastAsia="Arial" w:cs="Arial"/>
          <w:sz w:val="22"/>
          <w:szCs w:val="22"/>
        </w:rPr>
        <w:t>2026-06-30</w:t>
      </w:r>
    </w:p>
    <w:p w14:paraId="72AB1675">
      <w:pPr>
        <w:spacing w:before="800"/>
        <w:jc w:val="center"/>
      </w:pPr>
      <w:r>
        <w:rPr>
          <w:rFonts w:ascii="Arial" w:hAnsi="Arial" w:eastAsia="Arial" w:cs="Arial"/>
          <w:i/>
          <w:iCs/>
          <w:sz w:val="18"/>
          <w:szCs w:val="18"/>
        </w:rPr>
        <w:t>All Rights Reserved</w:t>
      </w:r>
    </w:p>
    <w:p w14:paraId="7535682B">
      <w:r>
        <w:br w:type="page"/>
      </w:r>
    </w:p>
    <w:p w14:paraId="2CC1A3FF">
      <w:pPr>
        <w:pStyle w:val="2"/>
        <w:spacing w:before="360" w:after="240"/>
      </w:pPr>
      <w:bookmarkStart w:id="0" w:name="_Toc15116"/>
      <w:r>
        <w:rPr>
          <w:rFonts w:ascii="黑体" w:hAnsi="黑体" w:eastAsia="黑体" w:cs="黑体"/>
          <w:b/>
          <w:bCs/>
          <w:sz w:val="32"/>
          <w:szCs w:val="32"/>
        </w:rPr>
        <w:t>文档修订历史</w:t>
      </w:r>
      <w:bookmarkEnd w:id="0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2201"/>
        <w:gridCol w:w="1201"/>
        <w:gridCol w:w="1801"/>
        <w:gridCol w:w="1601"/>
        <w:gridCol w:w="2902"/>
      </w:tblGrid>
      <w:tr w14:paraId="10430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1EF3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序号</w:t>
            </w:r>
          </w:p>
        </w:tc>
        <w:tc>
          <w:tcPr>
            <w:tcW w:w="22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344D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修订原因</w:t>
            </w:r>
          </w:p>
        </w:tc>
        <w:tc>
          <w:tcPr>
            <w:tcW w:w="12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BC3CC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版本号</w:t>
            </w:r>
          </w:p>
        </w:tc>
        <w:tc>
          <w:tcPr>
            <w:tcW w:w="18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A7B8D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作者</w:t>
            </w:r>
          </w:p>
        </w:tc>
        <w:tc>
          <w:tcPr>
            <w:tcW w:w="16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4104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修订日期</w:t>
            </w:r>
          </w:p>
        </w:tc>
        <w:tc>
          <w:tcPr>
            <w:tcW w:w="29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07E3B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备注</w:t>
            </w:r>
          </w:p>
        </w:tc>
      </w:tr>
      <w:tr w14:paraId="7BC7B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23A82">
            <w:pPr>
              <w:jc w:val="center"/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75E0E">
            <w:pPr>
              <w:jc w:val="left"/>
            </w:pPr>
            <w:r>
              <w:rPr>
                <w:rFonts w:ascii="宋体" w:hAnsi="宋体" w:eastAsia="宋体" w:cs="宋体"/>
                <w:sz w:val="20"/>
                <w:szCs w:val="20"/>
              </w:rPr>
              <w:t>初稿，全组5人协作完成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23203">
            <w:pPr>
              <w:jc w:val="center"/>
            </w:pPr>
            <w:r>
              <w:rPr>
                <w:rFonts w:ascii="宋体" w:hAnsi="宋体" w:eastAsia="宋体" w:cs="宋体"/>
                <w:sz w:val="20"/>
                <w:szCs w:val="20"/>
              </w:rPr>
              <w:t>V1.0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290A7">
            <w:pPr>
              <w:jc w:val="center"/>
            </w:pPr>
            <w:r>
              <w:rPr>
                <w:rFonts w:ascii="宋体" w:hAnsi="宋体" w:eastAsia="宋体" w:cs="宋体"/>
                <w:sz w:val="20"/>
                <w:szCs w:val="20"/>
              </w:rPr>
              <w:t>第十五组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C701D">
            <w:pPr>
              <w:jc w:val="center"/>
            </w:pPr>
            <w:r>
              <w:rPr>
                <w:rFonts w:ascii="宋体" w:hAnsi="宋体" w:eastAsia="宋体" w:cs="宋体"/>
                <w:sz w:val="20"/>
                <w:szCs w:val="20"/>
              </w:rPr>
              <w:t>2026-06-30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E1B08">
            <w:pPr>
              <w:jc w:val="left"/>
            </w:pPr>
            <w:r>
              <w:rPr>
                <w:rFonts w:ascii="宋体" w:hAnsi="宋体" w:eastAsia="宋体" w:cs="宋体"/>
                <w:sz w:val="20"/>
                <w:szCs w:val="20"/>
              </w:rPr>
              <w:t>组员1（颜瑞）-4提供创新点技术素材，组员5（柯康锐）统筹竞品调研与文档撰写</w:t>
            </w:r>
          </w:p>
        </w:tc>
      </w:tr>
    </w:tbl>
    <w:p w14:paraId="4C33BE18">
      <w:r>
        <w:br w:type="page"/>
      </w:r>
    </w:p>
    <w:p w14:paraId="36B4EC95">
      <w:pPr>
        <w:pStyle w:val="2"/>
        <w:spacing w:before="360" w:after="240"/>
      </w:pPr>
      <w:bookmarkStart w:id="1" w:name="_Toc5342"/>
      <w:r>
        <w:rPr>
          <w:rFonts w:ascii="黑体" w:hAnsi="黑体" w:eastAsia="黑体" w:cs="黑体"/>
          <w:b/>
          <w:bCs/>
          <w:sz w:val="32"/>
          <w:szCs w:val="32"/>
        </w:rPr>
        <w:t>目录</w:t>
      </w:r>
      <w:bookmarkEnd w:id="1"/>
    </w:p>
    <w:sdt>
      <w:sdtPr>
        <w:alias w:val="目录"/>
        <w:id w:val="147461119"/>
      </w:sdtPr>
      <w:sdtContent>
        <w:p w14:paraId="67FD15A0">
          <w:pPr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1F8A9B5D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_Toc15116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文档修订历史</w:t>
          </w:r>
          <w:r>
            <w:tab/>
          </w:r>
          <w:r>
            <w:fldChar w:fldCharType="begin"/>
          </w:r>
          <w:r>
            <w:instrText xml:space="preserve"> PAGEREF _Toc15116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5236E05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_Toc5342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目录</w:t>
          </w:r>
          <w:r>
            <w:tab/>
          </w:r>
          <w:r>
            <w:fldChar w:fldCharType="begin"/>
          </w:r>
          <w:r>
            <w:instrText xml:space="preserve"> PAGEREF _Toc5342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FB7372B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_Toc29719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1 痛点分析</w:t>
          </w:r>
          <w:r>
            <w:tab/>
          </w:r>
          <w:r>
            <w:fldChar w:fldCharType="begin"/>
          </w:r>
          <w:r>
            <w:instrText xml:space="preserve"> PAGEREF _Toc29719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D2A2740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_Toc9170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1.1 痛点概述</w:t>
          </w:r>
          <w:r>
            <w:tab/>
          </w:r>
          <w:r>
            <w:fldChar w:fldCharType="begin"/>
          </w:r>
          <w:r>
            <w:instrText xml:space="preserve"> PAGEREF _Toc9170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64F8DC0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_Toc12832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1.1.1 传统实体不燃性试验设备的核心困境</w:t>
          </w:r>
          <w:r>
            <w:tab/>
          </w:r>
          <w:r>
            <w:fldChar w:fldCharType="begin"/>
          </w:r>
          <w:r>
            <w:instrText xml:space="preserve"> PAGEREF _Toc12832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2B4CEC9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_Toc23977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1.1.2 行业背景与政策驱动</w:t>
          </w:r>
          <w:r>
            <w:tab/>
          </w:r>
          <w:r>
            <w:fldChar w:fldCharType="begin"/>
          </w:r>
          <w:r>
            <w:instrText xml:space="preserve"> PAGEREF _Toc23977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E4285C3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_Toc2789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1.2 相关工作</w:t>
          </w:r>
          <w:r>
            <w:tab/>
          </w:r>
          <w:r>
            <w:fldChar w:fldCharType="begin"/>
          </w:r>
          <w:r>
            <w:instrText xml:space="preserve"> PAGEREF _Toc2789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6D1EEFE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_Toc6684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2 项目创新点</w:t>
          </w:r>
          <w:r>
            <w:tab/>
          </w:r>
          <w:r>
            <w:fldChar w:fldCharType="begin"/>
          </w:r>
          <w:r>
            <w:instrText xml:space="preserve"> PAGEREF _Toc6684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3B04A8F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_Toc29796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2.1 技术性创新点</w:t>
          </w:r>
          <w:r>
            <w:tab/>
          </w:r>
          <w:r>
            <w:fldChar w:fldCharType="begin"/>
          </w:r>
          <w:r>
            <w:instrText xml:space="preserve"> PAGEREF _Toc29796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2A1B635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_Toc10163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2.1.1 多阶段温度仿真算法（组员1（颜瑞）负责）</w:t>
          </w:r>
          <w:r>
            <w:tab/>
          </w:r>
          <w:r>
            <w:fldChar w:fldCharType="begin"/>
          </w:r>
          <w:r>
            <w:instrText xml:space="preserve"> PAGEREF _Toc10163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8C7084F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_Toc31105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2.1.2 线程安全有限状态机（组员1（颜瑞）负责）</w:t>
          </w:r>
          <w:r>
            <w:tab/>
          </w:r>
          <w:r>
            <w:fldChar w:fldCharType="begin"/>
          </w:r>
          <w:r>
            <w:instrText xml:space="preserve"> PAGEREF _Toc31105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F1220A0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_Toc27220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2.1.3 分层持久化事务架构（组员2（陈培钦）负责）</w:t>
          </w:r>
          <w:r>
            <w:tab/>
          </w:r>
          <w:r>
            <w:fldChar w:fldCharType="begin"/>
          </w:r>
          <w:r>
            <w:instrText xml:space="preserve"> PAGEREF _Toc27220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6FB8923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_Toc10453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2.1.4 自动化质量门禁体系（组员5（柯康锐）负责）</w:t>
          </w:r>
          <w:r>
            <w:tab/>
          </w:r>
          <w:r>
            <w:fldChar w:fldCharType="begin"/>
          </w:r>
          <w:r>
            <w:instrText xml:space="preserve"> PAGEREF _Toc10453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FD2DC1E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_Toc12121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2.2 功能性创新点</w:t>
          </w:r>
          <w:r>
            <w:tab/>
          </w:r>
          <w:r>
            <w:fldChar w:fldCharType="begin"/>
          </w:r>
          <w:r>
            <w:instrText xml:space="preserve"> PAGEREF _Toc12121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742EBF3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_Toc14057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2.2.1 可视化实时多通道温度曲线（组员3（杨晋宇）负责）</w:t>
          </w:r>
          <w:r>
            <w:tab/>
          </w:r>
          <w:r>
            <w:fldChar w:fldCharType="begin"/>
          </w:r>
          <w:r>
            <w:instrText xml:space="preserve"> PAGEREF _Toc14057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E7C1BF3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_Toc27475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2.2.2 多格式自动报告导出（组员4（王润廷）负责）</w:t>
          </w:r>
          <w:r>
            <w:tab/>
          </w:r>
          <w:r>
            <w:fldChar w:fldCharType="begin"/>
          </w:r>
          <w:r>
            <w:instrText xml:space="preserve"> PAGEREF _Toc27475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CA13AD5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_Toc22388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2.3 团队协作创新点</w:t>
          </w:r>
          <w:r>
            <w:tab/>
          </w:r>
          <w:r>
            <w:fldChar w:fldCharType="begin"/>
          </w:r>
          <w:r>
            <w:instrText xml:space="preserve"> PAGEREF _Toc22388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68B8A0D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_Toc30435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2.3.1 Git模块化分目录协同开发</w:t>
          </w:r>
          <w:r>
            <w:tab/>
          </w:r>
          <w:r>
            <w:fldChar w:fldCharType="begin"/>
          </w:r>
          <w:r>
            <w:instrText xml:space="preserve"> PAGEREF _Toc30435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522C422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_Toc11601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2.3.2 全流程AI辅助开发（Claude Code）</w:t>
          </w:r>
          <w:r>
            <w:tab/>
          </w:r>
          <w:r>
            <w:fldChar w:fldCharType="begin"/>
          </w:r>
          <w:r>
            <w:instrText xml:space="preserve"> PAGEREF _Toc11601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B0081F0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_Toc19275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2.3.3 标准化五套竞赛文档交付规范</w:t>
          </w:r>
          <w:r>
            <w:tab/>
          </w:r>
          <w:r>
            <w:fldChar w:fldCharType="begin"/>
          </w:r>
          <w:r>
            <w:instrText xml:space="preserve"> PAGEREF _Toc19275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48C725C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_Toc28479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3 竞品分析</w:t>
          </w:r>
          <w:r>
            <w:tab/>
          </w:r>
          <w:r>
            <w:fldChar w:fldCharType="begin"/>
          </w:r>
          <w:r>
            <w:instrText xml:space="preserve"> PAGEREF _Toc28479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F2DD33A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_Toc1195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3.1 竞品选择</w:t>
          </w:r>
          <w:r>
            <w:tab/>
          </w:r>
          <w:r>
            <w:fldChar w:fldCharType="begin"/>
          </w:r>
          <w:r>
            <w:instrText xml:space="preserve"> PAGEREF _Toc1195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CD94328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_Toc4026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3.2 综合对比</w:t>
          </w:r>
          <w:r>
            <w:tab/>
          </w:r>
          <w:r>
            <w:fldChar w:fldCharType="begin"/>
          </w:r>
          <w:r>
            <w:instrText xml:space="preserve"> PAGEREF _Toc4026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FDDD112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_Toc24327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3.3 竞品分析总结</w:t>
          </w:r>
          <w:r>
            <w:tab/>
          </w:r>
          <w:r>
            <w:fldChar w:fldCharType="begin"/>
          </w:r>
          <w:r>
            <w:instrText xml:space="preserve"> PAGEREF _Toc24327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D0CCB74">
          <w:r>
            <w:fldChar w:fldCharType="end"/>
          </w:r>
        </w:p>
      </w:sdtContent>
    </w:sdt>
    <w:p w14:paraId="21FB473B">
      <w:r>
        <w:br w:type="page"/>
      </w:r>
    </w:p>
    <w:p w14:paraId="1C3ABAA3">
      <w:pPr>
        <w:pStyle w:val="2"/>
        <w:spacing w:before="360" w:after="240"/>
      </w:pPr>
      <w:bookmarkStart w:id="2" w:name="_Toc29719"/>
      <w:r>
        <w:rPr>
          <w:rFonts w:ascii="黑体" w:hAnsi="黑体" w:eastAsia="黑体" w:cs="黑体"/>
          <w:b/>
          <w:bCs/>
          <w:sz w:val="32"/>
          <w:szCs w:val="32"/>
        </w:rPr>
        <w:t>1 痛点分析</w:t>
      </w:r>
      <w:bookmarkEnd w:id="2"/>
    </w:p>
    <w:p w14:paraId="055D6158">
      <w:pPr>
        <w:pStyle w:val="3"/>
        <w:spacing w:before="240" w:after="180"/>
      </w:pPr>
      <w:bookmarkStart w:id="3" w:name="_Toc9170"/>
      <w:r>
        <w:rPr>
          <w:rFonts w:ascii="黑体" w:hAnsi="黑体" w:eastAsia="黑体" w:cs="黑体"/>
          <w:b/>
          <w:bCs/>
          <w:sz w:val="28"/>
          <w:szCs w:val="28"/>
        </w:rPr>
        <w:t>1.1 痛点概述</w:t>
      </w:r>
      <w:bookmarkEnd w:id="3"/>
    </w:p>
    <w:p w14:paraId="4BC20529">
      <w:pPr>
        <w:pStyle w:val="4"/>
        <w:spacing w:before="180" w:after="120"/>
      </w:pPr>
      <w:bookmarkStart w:id="4" w:name="_Toc12832"/>
      <w:r>
        <w:rPr>
          <w:rFonts w:ascii="黑体" w:hAnsi="黑体" w:eastAsia="黑体" w:cs="黑体"/>
          <w:b/>
          <w:bCs/>
          <w:sz w:val="24"/>
          <w:szCs w:val="24"/>
        </w:rPr>
        <w:t>1.1.1 传统实体不燃性试验设备的核心困境</w:t>
      </w:r>
      <w:bookmarkEnd w:id="4"/>
    </w:p>
    <w:p w14:paraId="1C079400">
      <w:pPr>
        <w:spacing w:after="120" w:line="360" w:lineRule="auto"/>
      </w:pPr>
      <w:r>
        <w:rPr>
          <w:rFonts w:ascii="宋体" w:hAnsi="宋体" w:eastAsia="宋体" w:cs="宋体"/>
          <w:b/>
          <w:bCs/>
          <w:sz w:val="24"/>
          <w:szCs w:val="24"/>
        </w:rPr>
        <w:t>痛点一：设备采购与维护成本极高</w:t>
      </w:r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5000"/>
        <w:gridCol w:w="2906"/>
      </w:tblGrid>
      <w:tr w14:paraId="4088CC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69D1D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成本项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CBE8A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详情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C99FE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金额</w:t>
            </w:r>
          </w:p>
        </w:tc>
      </w:tr>
      <w:tr w14:paraId="31A78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A08BC">
            <w:r>
              <w:rPr>
                <w:rFonts w:ascii="宋体" w:hAnsi="宋体" w:eastAsia="宋体" w:cs="宋体"/>
                <w:sz w:val="20"/>
                <w:szCs w:val="20"/>
              </w:rPr>
              <w:t>试验炉主机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C5F2B">
            <w:r>
              <w:rPr>
                <w:rFonts w:ascii="宋体" w:hAnsi="宋体" w:eastAsia="宋体" w:cs="宋体"/>
                <w:sz w:val="20"/>
                <w:szCs w:val="20"/>
              </w:rPr>
              <w:t>ISO 11820标准不燃性试验炉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CA820">
            <w:r>
              <w:rPr>
                <w:rFonts w:ascii="宋体" w:hAnsi="宋体" w:eastAsia="宋体" w:cs="宋体"/>
                <w:sz w:val="20"/>
                <w:szCs w:val="20"/>
              </w:rPr>
              <w:t>15-30万元</w:t>
            </w:r>
          </w:p>
        </w:tc>
      </w:tr>
      <w:tr w14:paraId="235E0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1E43D">
            <w:r>
              <w:rPr>
                <w:rFonts w:ascii="宋体" w:hAnsi="宋体" w:eastAsia="宋体" w:cs="宋体"/>
                <w:sz w:val="20"/>
                <w:szCs w:val="20"/>
              </w:rPr>
              <w:t>PID温控模块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34B05">
            <w:r>
              <w:rPr>
                <w:rFonts w:ascii="宋体" w:hAnsi="宋体" w:eastAsia="宋体" w:cs="宋体"/>
                <w:sz w:val="20"/>
                <w:szCs w:val="20"/>
              </w:rPr>
              <w:t>高精度PID控制器+电力调节器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6AEB2">
            <w:r>
              <w:rPr>
                <w:rFonts w:ascii="宋体" w:hAnsi="宋体" w:eastAsia="宋体" w:cs="宋体"/>
                <w:sz w:val="20"/>
                <w:szCs w:val="20"/>
              </w:rPr>
              <w:t>3-8万元</w:t>
            </w:r>
          </w:p>
        </w:tc>
      </w:tr>
      <w:tr w14:paraId="2A95C0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0E1B7">
            <w:r>
              <w:rPr>
                <w:rFonts w:ascii="宋体" w:hAnsi="宋体" w:eastAsia="宋体" w:cs="宋体"/>
                <w:sz w:val="20"/>
                <w:szCs w:val="20"/>
              </w:rPr>
              <w:t>Modbus采集模块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3DAC3">
            <w:r>
              <w:rPr>
                <w:rFonts w:ascii="宋体" w:hAnsi="宋体" w:eastAsia="宋体" w:cs="宋体"/>
                <w:sz w:val="20"/>
                <w:szCs w:val="20"/>
              </w:rPr>
              <w:t>多通道温度采集卡+传感器组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AB215">
            <w:r>
              <w:rPr>
                <w:rFonts w:ascii="宋体" w:hAnsi="宋体" w:eastAsia="宋体" w:cs="宋体"/>
                <w:sz w:val="20"/>
                <w:szCs w:val="20"/>
              </w:rPr>
              <w:t>2-5万元</w:t>
            </w:r>
          </w:p>
        </w:tc>
      </w:tr>
      <w:tr w14:paraId="3EA9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04D6A">
            <w:r>
              <w:rPr>
                <w:rFonts w:ascii="宋体" w:hAnsi="宋体" w:eastAsia="宋体" w:cs="宋体"/>
                <w:sz w:val="20"/>
                <w:szCs w:val="20"/>
              </w:rPr>
              <w:t>单台合计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F38CD"/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66B1F">
            <w:r>
              <w:rPr>
                <w:rFonts w:ascii="宋体" w:hAnsi="宋体" w:eastAsia="宋体" w:cs="宋体"/>
                <w:sz w:val="20"/>
                <w:szCs w:val="20"/>
              </w:rPr>
              <w:t>20-50万元</w:t>
            </w:r>
          </w:p>
        </w:tc>
      </w:tr>
    </w:tbl>
    <w:p w14:paraId="35546465">
      <w:pPr>
        <w:spacing w:after="120" w:line="360" w:lineRule="auto"/>
      </w:pPr>
      <w:r>
        <w:rPr>
          <w:rFonts w:ascii="宋体" w:hAnsi="宋体" w:eastAsia="宋体" w:cs="宋体"/>
          <w:b/>
          <w:bCs/>
          <w:sz w:val="24"/>
          <w:szCs w:val="24"/>
        </w:rPr>
        <w:t>痛点二：实验耗材持续消耗</w:t>
      </w:r>
    </w:p>
    <w:p w14:paraId="5FD2982B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单次教学实验耗材成本约500-1000元，样品不可重复使用。</w:t>
      </w:r>
    </w:p>
    <w:p w14:paraId="3204A0A7">
      <w:pPr>
        <w:spacing w:after="120" w:line="360" w:lineRule="auto"/>
      </w:pPr>
      <w:r>
        <w:rPr>
          <w:rFonts w:ascii="宋体" w:hAnsi="宋体" w:eastAsia="宋体" w:cs="宋体"/>
          <w:b/>
          <w:bCs/>
          <w:sz w:val="24"/>
          <w:szCs w:val="24"/>
        </w:rPr>
        <w:t>痛点三：实验数据数字化程度低</w:t>
      </w:r>
    </w:p>
    <w:p w14:paraId="74CA5527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商业软件数据格式封闭、缺少可视化工具、无标准化报告。</w:t>
      </w:r>
    </w:p>
    <w:p w14:paraId="4B8E2195">
      <w:pPr>
        <w:spacing w:after="120" w:line="360" w:lineRule="auto"/>
      </w:pPr>
      <w:r>
        <w:rPr>
          <w:rFonts w:ascii="宋体" w:hAnsi="宋体" w:eastAsia="宋体" w:cs="宋体"/>
          <w:b/>
          <w:bCs/>
          <w:sz w:val="24"/>
          <w:szCs w:val="24"/>
        </w:rPr>
        <w:t>痛点四：缺少标准化教学校验与质量保障机制</w:t>
      </w:r>
    </w:p>
    <w:p w14:paraId="1A5A527E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学生操作失误无法回退、无标准参考答案、教师无法批量评估。</w:t>
      </w:r>
    </w:p>
    <w:p w14:paraId="25D7E593">
      <w:pPr>
        <w:pStyle w:val="4"/>
        <w:spacing w:before="180" w:after="120"/>
      </w:pPr>
      <w:bookmarkStart w:id="5" w:name="_Toc23977"/>
      <w:r>
        <w:rPr>
          <w:rFonts w:ascii="黑体" w:hAnsi="黑体" w:eastAsia="黑体" w:cs="黑体"/>
          <w:b/>
          <w:bCs/>
          <w:sz w:val="24"/>
          <w:szCs w:val="24"/>
        </w:rPr>
        <w:t>1.1.2 行业背景与政策驱动</w:t>
      </w:r>
      <w:bookmarkEnd w:id="5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7906"/>
      </w:tblGrid>
      <w:tr w14:paraId="6F3EE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C20D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驱动因素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3ED4D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说明</w:t>
            </w:r>
          </w:p>
        </w:tc>
      </w:tr>
      <w:tr w14:paraId="4238D9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1DC7F">
            <w:r>
              <w:rPr>
                <w:rFonts w:ascii="宋体" w:hAnsi="宋体" w:eastAsia="宋体" w:cs="宋体"/>
                <w:sz w:val="20"/>
                <w:szCs w:val="20"/>
              </w:rPr>
              <w:t>标准更新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7CAC5">
            <w:r>
              <w:rPr>
                <w:rFonts w:ascii="宋体" w:hAnsi="宋体" w:eastAsia="宋体" w:cs="宋体"/>
                <w:sz w:val="20"/>
                <w:szCs w:val="20"/>
              </w:rPr>
              <w:t>ISO 11820:2022替代旧版标准</w:t>
            </w:r>
          </w:p>
        </w:tc>
      </w:tr>
      <w:tr w14:paraId="48786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6218C">
            <w:r>
              <w:rPr>
                <w:rFonts w:ascii="宋体" w:hAnsi="宋体" w:eastAsia="宋体" w:cs="宋体"/>
                <w:sz w:val="20"/>
                <w:szCs w:val="20"/>
              </w:rPr>
              <w:t>数字化转型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CDF2C">
            <w:r>
              <w:rPr>
                <w:rFonts w:ascii="宋体" w:hAnsi="宋体" w:eastAsia="宋体" w:cs="宋体"/>
                <w:sz w:val="20"/>
                <w:szCs w:val="20"/>
              </w:rPr>
              <w:t>教育部《教育信息化2.0行动计划》</w:t>
            </w:r>
          </w:p>
        </w:tc>
      </w:tr>
      <w:tr w14:paraId="4A3741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27FA3">
            <w:r>
              <w:rPr>
                <w:rFonts w:ascii="宋体" w:hAnsi="宋体" w:eastAsia="宋体" w:cs="宋体"/>
                <w:sz w:val="20"/>
                <w:szCs w:val="20"/>
              </w:rPr>
              <w:t>安全要求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0DC8A">
            <w:r>
              <w:rPr>
                <w:rFonts w:ascii="宋体" w:hAnsi="宋体" w:eastAsia="宋体" w:cs="宋体"/>
                <w:sz w:val="20"/>
                <w:szCs w:val="20"/>
              </w:rPr>
              <w:t>750°C高温试验存在安全风险</w:t>
            </w:r>
          </w:p>
        </w:tc>
      </w:tr>
      <w:tr w14:paraId="23683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85437">
            <w:r>
              <w:rPr>
                <w:rFonts w:ascii="宋体" w:hAnsi="宋体" w:eastAsia="宋体" w:cs="宋体"/>
                <w:sz w:val="20"/>
                <w:szCs w:val="20"/>
              </w:rPr>
              <w:t>碳中和目标</w:t>
            </w:r>
          </w:p>
        </w:tc>
        <w:tc>
          <w:tcPr>
            <w:tcW w:w="7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377E3">
            <w:r>
              <w:rPr>
                <w:rFonts w:ascii="宋体" w:hAnsi="宋体" w:eastAsia="宋体" w:cs="宋体"/>
                <w:sz w:val="20"/>
                <w:szCs w:val="20"/>
              </w:rPr>
              <w:t>减少能源消耗和材料浪费</w:t>
            </w:r>
          </w:p>
        </w:tc>
      </w:tr>
    </w:tbl>
    <w:p w14:paraId="6CEB6ED1">
      <w:pPr>
        <w:pStyle w:val="3"/>
        <w:spacing w:before="240" w:after="180"/>
      </w:pPr>
      <w:bookmarkStart w:id="6" w:name="_Toc2789"/>
      <w:r>
        <w:rPr>
          <w:rFonts w:ascii="黑体" w:hAnsi="黑体" w:eastAsia="黑体" w:cs="黑体"/>
          <w:b/>
          <w:bCs/>
          <w:sz w:val="28"/>
          <w:szCs w:val="28"/>
        </w:rPr>
        <w:t>1.2 相关工作</w:t>
      </w:r>
      <w:bookmarkEnd w:id="6"/>
    </w:p>
    <w:p w14:paraId="330411E5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三类竞品缺陷：商业试验软件(太贵，20-50万，绑定硬件)、通用仿真平台(太难，需专业建模)、高校自研Demo(太简陋，功能残缺)。市场空白：零成本、教学友好、标准合规、质量可控的ISO 11820仿真软件目前不存在。</w:t>
      </w:r>
    </w:p>
    <w:p w14:paraId="033C73E7">
      <w:r>
        <w:br w:type="page"/>
      </w:r>
    </w:p>
    <w:p w14:paraId="60D305B4">
      <w:pPr>
        <w:pStyle w:val="2"/>
        <w:spacing w:before="360" w:after="240"/>
      </w:pPr>
      <w:bookmarkStart w:id="7" w:name="_Toc6684"/>
      <w:r>
        <w:rPr>
          <w:rFonts w:ascii="黑体" w:hAnsi="黑体" w:eastAsia="黑体" w:cs="黑体"/>
          <w:b/>
          <w:bCs/>
          <w:sz w:val="32"/>
          <w:szCs w:val="32"/>
        </w:rPr>
        <w:t>2 项目创新点</w:t>
      </w:r>
      <w:bookmarkEnd w:id="7"/>
    </w:p>
    <w:p w14:paraId="4B9AC42E">
      <w:pPr>
        <w:pStyle w:val="3"/>
        <w:spacing w:before="240" w:after="180"/>
      </w:pPr>
      <w:bookmarkStart w:id="8" w:name="_Toc29796"/>
      <w:r>
        <w:rPr>
          <w:rFonts w:ascii="黑体" w:hAnsi="黑体" w:eastAsia="黑体" w:cs="黑体"/>
          <w:b/>
          <w:bCs/>
          <w:sz w:val="28"/>
          <w:szCs w:val="28"/>
        </w:rPr>
        <w:t>2.1 技术性创新点</w:t>
      </w:r>
      <w:bookmarkEnd w:id="8"/>
    </w:p>
    <w:p w14:paraId="013AD855">
      <w:pPr>
        <w:pStyle w:val="4"/>
        <w:spacing w:before="180" w:after="120"/>
      </w:pPr>
      <w:bookmarkStart w:id="9" w:name="_Toc10163"/>
      <w:r>
        <w:rPr>
          <w:rFonts w:ascii="黑体" w:hAnsi="黑体" w:eastAsia="黑体" w:cs="黑体"/>
          <w:b/>
          <w:bCs/>
          <w:sz w:val="24"/>
          <w:szCs w:val="24"/>
        </w:rPr>
        <w:t>2.1.1 多阶段温度仿真算法（组员1（颜瑞）负责）</w:t>
      </w:r>
      <w:bookmarkEnd w:id="9"/>
    </w:p>
    <w:p w14:paraId="40509712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严格遵循ISO 11820标准的四阶段算法：升温(TF1+=HeatingRate×0.8+noise)、稳定(TF1=TargetTemp+noise)、记录(TS+=(Target-TS)×0.02+noise)、降温(TF1-=0.5+noise×0.1)。创新点：独立噪声通道、指数逼近热传导模型(表面温系数0.02、中心温系数0.01)、可配置参数、固定种子可重现。</w:t>
      </w:r>
    </w:p>
    <w:p w14:paraId="279FA9E9">
      <w:pPr>
        <w:pStyle w:val="4"/>
        <w:spacing w:before="180" w:after="120"/>
      </w:pPr>
      <w:bookmarkStart w:id="10" w:name="_Toc31105"/>
      <w:r>
        <w:rPr>
          <w:rFonts w:ascii="黑体" w:hAnsi="黑体" w:eastAsia="黑体" w:cs="黑体"/>
          <w:b/>
          <w:bCs/>
          <w:sz w:val="24"/>
          <w:szCs w:val="24"/>
        </w:rPr>
        <w:t>2.1.2 线程安全有限状态机（组员1（颜瑞）负责）</w:t>
      </w:r>
      <w:bookmarkEnd w:id="10"/>
    </w:p>
    <w:p w14:paraId="03FD4ACD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AtomicReference&lt;TestState&gt;+synchronized锁，监听器在锁外执行避免死锁。checkAndHandleReadiness(tf1)在READY状态温度跌出745~755°C范围自动回退PREPARING。</w:t>
      </w:r>
    </w:p>
    <w:p w14:paraId="4E2793C9">
      <w:pPr>
        <w:pStyle w:val="4"/>
        <w:spacing w:before="180" w:after="120"/>
      </w:pPr>
      <w:bookmarkStart w:id="11" w:name="_Toc27220"/>
      <w:r>
        <w:rPr>
          <w:rFonts w:ascii="黑体" w:hAnsi="黑体" w:eastAsia="黑体" w:cs="黑体"/>
          <w:b/>
          <w:bCs/>
          <w:sz w:val="24"/>
          <w:szCs w:val="24"/>
        </w:rPr>
        <w:t>2.1.3 分层持久化事务架构（组员2（陈培钦）负责）</w:t>
      </w:r>
      <w:bookmarkEnd w:id="11"/>
    </w:p>
    <w:p w14:paraId="44FA575E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DbUtil(首次运行自动建表+ThreadLocal连接绑定+事务封装+版本管理)、BaseDao&lt;T&gt;(反射解析泛型+PreparedStatement防注入+ConcurrentHashMap字段缓存+三种命名转换)。泛型CRUD消除重复代码，代码量减少60%+。</w:t>
      </w:r>
    </w:p>
    <w:p w14:paraId="3ED10802">
      <w:pPr>
        <w:pStyle w:val="4"/>
        <w:spacing w:before="180" w:after="120"/>
      </w:pPr>
      <w:bookmarkStart w:id="12" w:name="_Toc10453"/>
      <w:r>
        <w:rPr>
          <w:rFonts w:ascii="黑体" w:hAnsi="黑体" w:eastAsia="黑体" w:cs="黑体"/>
          <w:b/>
          <w:bCs/>
          <w:sz w:val="24"/>
          <w:szCs w:val="24"/>
        </w:rPr>
        <w:t>2.1.4 自动化质量门禁体系（组员5（柯康锐）负责）</w:t>
      </w:r>
      <w:bookmarkEnd w:id="12"/>
    </w:p>
    <w:p w14:paraId="033C3AC6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JUnit 5.10(@Nested分层+@ParameterizedTest参数化)、JaCoCo 0.8.12(Maven verify阶段自动检查，&lt;80%构建失败)、测试隔离(临时SQLite+固定种子Random(42))、BaseDaoTest基类。</w:t>
      </w:r>
    </w:p>
    <w:p w14:paraId="5CE2D4ED">
      <w:pPr>
        <w:pStyle w:val="3"/>
        <w:spacing w:before="240" w:after="180"/>
      </w:pPr>
      <w:bookmarkStart w:id="13" w:name="_Toc12121"/>
      <w:r>
        <w:rPr>
          <w:rFonts w:ascii="黑体" w:hAnsi="黑体" w:eastAsia="黑体" w:cs="黑体"/>
          <w:b/>
          <w:bCs/>
          <w:sz w:val="28"/>
          <w:szCs w:val="28"/>
        </w:rPr>
        <w:t>2.2 功能性创新点</w:t>
      </w:r>
      <w:bookmarkEnd w:id="13"/>
    </w:p>
    <w:p w14:paraId="2877C199">
      <w:pPr>
        <w:pStyle w:val="4"/>
        <w:spacing w:before="180" w:after="120"/>
      </w:pPr>
      <w:bookmarkStart w:id="14" w:name="_Toc14057"/>
      <w:r>
        <w:rPr>
          <w:rFonts w:ascii="黑体" w:hAnsi="黑体" w:eastAsia="黑体" w:cs="黑体"/>
          <w:b/>
          <w:bCs/>
          <w:sz w:val="24"/>
          <w:szCs w:val="24"/>
        </w:rPr>
        <w:t>2.2.1 可视化实时多通道温度曲线（组员3（杨晋宇）负责）</w:t>
      </w:r>
      <w:bookmarkEnd w:id="14"/>
    </w:p>
    <w:p w14:paraId="05DDDB98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JavaFX 21+FXML，XChart 4线折线图(炉温1红/炉温2蓝/表面温绿/中心温橙)，滚动窗口最近10分钟，每800ms动态更新。LED风格数值面板，按钮状态智能联动，系统消息彩色日志。</w:t>
      </w:r>
    </w:p>
    <w:p w14:paraId="35B61C4C">
      <w:pPr>
        <w:pStyle w:val="4"/>
        <w:spacing w:before="180" w:after="120"/>
      </w:pPr>
      <w:bookmarkStart w:id="15" w:name="_Toc27475"/>
      <w:r>
        <w:rPr>
          <w:rFonts w:ascii="黑体" w:hAnsi="黑体" w:eastAsia="黑体" w:cs="黑体"/>
          <w:b/>
          <w:bCs/>
          <w:sz w:val="24"/>
          <w:szCs w:val="24"/>
        </w:rPr>
        <w:t>2.2.2 多格式自动报告导出（组员4（王润廷）负责）</w:t>
      </w:r>
      <w:bookmarkEnd w:id="15"/>
    </w:p>
    <w:p w14:paraId="144F2585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CSV(UTF-8+BOM，批量追加BufferedWriter+写锁)、Excel三Sheet(试验信息+温度数据+温度曲线图)、PDF正式报告(A4页面，iText 7+pdfCalligraph中文渲染)。ReportExportService门面模式。</w:t>
      </w:r>
    </w:p>
    <w:p w14:paraId="16FB090D">
      <w:pPr>
        <w:pStyle w:val="3"/>
        <w:spacing w:before="240" w:after="180"/>
      </w:pPr>
      <w:bookmarkStart w:id="16" w:name="_Toc22388"/>
      <w:r>
        <w:rPr>
          <w:rFonts w:ascii="黑体" w:hAnsi="黑体" w:eastAsia="黑体" w:cs="黑体"/>
          <w:b/>
          <w:bCs/>
          <w:sz w:val="28"/>
          <w:szCs w:val="28"/>
        </w:rPr>
        <w:t>2.3 团队协作创新点</w:t>
      </w:r>
      <w:bookmarkEnd w:id="16"/>
    </w:p>
    <w:p w14:paraId="746D984F">
      <w:pPr>
        <w:pStyle w:val="4"/>
        <w:spacing w:before="180" w:after="120"/>
      </w:pPr>
      <w:bookmarkStart w:id="17" w:name="_Toc30435"/>
      <w:r>
        <w:rPr>
          <w:rFonts w:ascii="黑体" w:hAnsi="黑体" w:eastAsia="黑体" w:cs="黑体"/>
          <w:b/>
          <w:bCs/>
          <w:sz w:val="24"/>
          <w:szCs w:val="24"/>
        </w:rPr>
        <w:t>2.3.1 Git模块化分目录协同开发</w:t>
      </w:r>
      <w:bookmarkEnd w:id="17"/>
    </w:p>
    <w:p w14:paraId="6B2EFB67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5位组员独立Git目录：组员1（颜瑞）(core/)、组员2（陈培钦）(entity/dao/sql/)、组员3（杨晋宇）(ui/fxml/)、组员4（王润廷）(service/utils/)、组员5（柯康锐）(test/docs/)。零合并冲突(8次提交，0次冲突)。</w:t>
      </w:r>
    </w:p>
    <w:p w14:paraId="34B62F96">
      <w:pPr>
        <w:pStyle w:val="4"/>
        <w:spacing w:before="180" w:after="120"/>
      </w:pPr>
      <w:bookmarkStart w:id="18" w:name="_Toc11601"/>
      <w:r>
        <w:rPr>
          <w:rFonts w:ascii="黑体" w:hAnsi="黑体" w:eastAsia="黑体" w:cs="黑体"/>
          <w:b/>
          <w:bCs/>
          <w:sz w:val="24"/>
          <w:szCs w:val="24"/>
        </w:rPr>
        <w:t>2.3.2 全流程AI辅助开发（Claude Code）</w:t>
      </w:r>
      <w:bookmarkEnd w:id="18"/>
    </w:p>
    <w:p w14:paraId="0039F58B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全组5人统一使用Claude Code：代码编写(效率提升3-5倍)、单元测试(140+用例)、Bug修复(调试时间缩短50%+)、文档撰写(5份文档)、代码审查。</w:t>
      </w:r>
    </w:p>
    <w:p w14:paraId="28FECDA4">
      <w:pPr>
        <w:pStyle w:val="4"/>
        <w:spacing w:before="180" w:after="120"/>
      </w:pPr>
      <w:bookmarkStart w:id="19" w:name="_Toc19275"/>
      <w:r>
        <w:rPr>
          <w:rFonts w:ascii="黑体" w:hAnsi="黑体" w:eastAsia="黑体" w:cs="黑体"/>
          <w:b/>
          <w:bCs/>
          <w:sz w:val="24"/>
          <w:szCs w:val="24"/>
        </w:rPr>
        <w:t>2.3.3 标准化五套竞赛文档交付规范</w:t>
      </w:r>
      <w:bookmarkEnd w:id="19"/>
    </w:p>
    <w:p w14:paraId="1268448A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组员5（柯康锐）牵头制定统一文档格式规范：封面、编号SWC2025-ISO11820-第十五组、修订历史6列表格、目录层级、排版规范。5份文档各有侧重，形成有机整体。</w:t>
      </w:r>
    </w:p>
    <w:p w14:paraId="49EB812D">
      <w:r>
        <w:br w:type="page"/>
      </w:r>
    </w:p>
    <w:p w14:paraId="42B19F7E">
      <w:pPr>
        <w:pStyle w:val="2"/>
        <w:spacing w:before="360" w:after="240"/>
      </w:pPr>
      <w:bookmarkStart w:id="20" w:name="_Toc28479"/>
      <w:r>
        <w:rPr>
          <w:rFonts w:ascii="黑体" w:hAnsi="黑体" w:eastAsia="黑体" w:cs="黑体"/>
          <w:b/>
          <w:bCs/>
          <w:sz w:val="32"/>
          <w:szCs w:val="32"/>
        </w:rPr>
        <w:t>3 竞品分析</w:t>
      </w:r>
      <w:bookmarkEnd w:id="20"/>
    </w:p>
    <w:p w14:paraId="0E991297">
      <w:pPr>
        <w:pStyle w:val="3"/>
        <w:spacing w:before="240" w:after="180"/>
      </w:pPr>
      <w:bookmarkStart w:id="21" w:name="_Toc1195"/>
      <w:r>
        <w:rPr>
          <w:rFonts w:ascii="黑体" w:hAnsi="黑体" w:eastAsia="黑体" w:cs="黑体"/>
          <w:b/>
          <w:bCs/>
          <w:sz w:val="28"/>
          <w:szCs w:val="28"/>
        </w:rPr>
        <w:t>3.1 竞品选择</w:t>
      </w:r>
      <w:bookmarkEnd w:id="21"/>
    </w:p>
    <w:p w14:paraId="7B638D5C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三类典型竞品：实体硬件方案(传统试验炉+商业软件)、商用仿真软件(COMSOL)、课程简易Demo(高校课程设计)。</w:t>
      </w:r>
    </w:p>
    <w:p w14:paraId="66642428">
      <w:pPr>
        <w:pStyle w:val="3"/>
        <w:spacing w:before="240" w:after="180"/>
      </w:pPr>
      <w:bookmarkStart w:id="22" w:name="_Toc4026"/>
      <w:r>
        <w:rPr>
          <w:rFonts w:ascii="黑体" w:hAnsi="黑体" w:eastAsia="黑体" w:cs="黑体"/>
          <w:b/>
          <w:bCs/>
          <w:sz w:val="28"/>
          <w:szCs w:val="28"/>
        </w:rPr>
        <w:t>3.2 综合对比</w:t>
      </w:r>
      <w:bookmarkEnd w:id="22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900"/>
        <w:gridCol w:w="1900"/>
        <w:gridCol w:w="1900"/>
        <w:gridCol w:w="3206"/>
      </w:tblGrid>
      <w:tr w14:paraId="55C50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9AF5E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对比维度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F5E6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实体硬件方案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793A3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商用仿真软件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961C6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课程简易Demo</w:t>
            </w:r>
          </w:p>
        </w:tc>
        <w:tc>
          <w:tcPr>
            <w:tcW w:w="3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BFB8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本小组项目</w:t>
            </w:r>
          </w:p>
        </w:tc>
      </w:tr>
      <w:tr w14:paraId="4C331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BEE0D">
            <w:r>
              <w:rPr>
                <w:rFonts w:ascii="宋体" w:hAnsi="宋体" w:eastAsia="宋体" w:cs="宋体"/>
                <w:sz w:val="20"/>
                <w:szCs w:val="20"/>
              </w:rPr>
              <w:t>硬件成本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92349">
            <w:r>
              <w:rPr>
                <w:rFonts w:ascii="宋体" w:hAnsi="宋体" w:eastAsia="宋体" w:cs="宋体"/>
                <w:sz w:val="20"/>
                <w:szCs w:val="20"/>
              </w:rPr>
              <w:t>20-50万元/台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B0EC6">
            <w:r>
              <w:rPr>
                <w:rFonts w:ascii="宋体" w:hAnsi="宋体" w:eastAsia="宋体" w:cs="宋体"/>
                <w:sz w:val="20"/>
                <w:szCs w:val="20"/>
              </w:rPr>
              <w:t>0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C4E71">
            <w:r>
              <w:rPr>
                <w:rFonts w:ascii="宋体" w:hAnsi="宋体" w:eastAsia="宋体" w:cs="宋体"/>
                <w:sz w:val="20"/>
                <w:szCs w:val="20"/>
              </w:rPr>
              <w:t>0</w:t>
            </w:r>
          </w:p>
        </w:tc>
        <w:tc>
          <w:tcPr>
            <w:tcW w:w="3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3147E">
            <w:r>
              <w:rPr>
                <w:rFonts w:ascii="宋体" w:hAnsi="宋体" w:eastAsia="宋体" w:cs="宋体"/>
                <w:sz w:val="20"/>
                <w:szCs w:val="20"/>
              </w:rPr>
              <w:t>0</w:t>
            </w:r>
          </w:p>
        </w:tc>
      </w:tr>
      <w:tr w14:paraId="62146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2BC8A">
            <w:r>
              <w:rPr>
                <w:rFonts w:ascii="宋体" w:hAnsi="宋体" w:eastAsia="宋体" w:cs="宋体"/>
                <w:sz w:val="20"/>
                <w:szCs w:val="20"/>
              </w:rPr>
              <w:t>软件许可费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6D4F9">
            <w:r>
              <w:rPr>
                <w:rFonts w:ascii="宋体" w:hAnsi="宋体" w:eastAsia="宋体" w:cs="宋体"/>
                <w:sz w:val="20"/>
                <w:szCs w:val="20"/>
              </w:rPr>
              <w:t>含硬件捆绑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2AB90">
            <w:r>
              <w:rPr>
                <w:rFonts w:ascii="宋体" w:hAnsi="宋体" w:eastAsia="宋体" w:cs="宋体"/>
                <w:sz w:val="20"/>
                <w:szCs w:val="20"/>
              </w:rPr>
              <w:t>数万元/年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9DFA8">
            <w:r>
              <w:rPr>
                <w:rFonts w:ascii="宋体" w:hAnsi="宋体" w:eastAsia="宋体" w:cs="宋体"/>
                <w:sz w:val="20"/>
                <w:szCs w:val="20"/>
              </w:rPr>
              <w:t>0</w:t>
            </w:r>
          </w:p>
        </w:tc>
        <w:tc>
          <w:tcPr>
            <w:tcW w:w="3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60CED">
            <w:r>
              <w:rPr>
                <w:rFonts w:ascii="宋体" w:hAnsi="宋体" w:eastAsia="宋体" w:cs="宋体"/>
                <w:sz w:val="20"/>
                <w:szCs w:val="20"/>
              </w:rPr>
              <w:t>0(开源免费)</w:t>
            </w:r>
          </w:p>
        </w:tc>
      </w:tr>
      <w:tr w14:paraId="1DC3D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BAFFE">
            <w:r>
              <w:rPr>
                <w:rFonts w:ascii="宋体" w:hAnsi="宋体" w:eastAsia="宋体" w:cs="宋体"/>
                <w:sz w:val="20"/>
                <w:szCs w:val="20"/>
              </w:rPr>
              <w:t>标准符合性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71DB1">
            <w:r>
              <w:rPr>
                <w:rFonts w:ascii="宋体" w:hAnsi="宋体" w:eastAsia="宋体" w:cs="宋体"/>
                <w:sz w:val="20"/>
                <w:szCs w:val="20"/>
              </w:rPr>
              <w:t>✅完全符合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71EAD">
            <w:r>
              <w:rPr>
                <w:rFonts w:ascii="宋体" w:hAnsi="宋体" w:eastAsia="宋体" w:cs="宋体"/>
                <w:sz w:val="20"/>
                <w:szCs w:val="20"/>
              </w:rPr>
              <w:t>❌需自行搭建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78CB5">
            <w:r>
              <w:rPr>
                <w:rFonts w:ascii="宋体" w:hAnsi="宋体" w:eastAsia="宋体" w:cs="宋体"/>
                <w:sz w:val="20"/>
                <w:szCs w:val="20"/>
              </w:rPr>
              <w:t>❌算法随意</w:t>
            </w:r>
          </w:p>
        </w:tc>
        <w:tc>
          <w:tcPr>
            <w:tcW w:w="3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E1A02">
            <w:r>
              <w:rPr>
                <w:rFonts w:ascii="宋体" w:hAnsi="宋体" w:eastAsia="宋体" w:cs="宋体"/>
                <w:sz w:val="20"/>
                <w:szCs w:val="20"/>
              </w:rPr>
              <w:t>✅严格遵循ISO 11820</w:t>
            </w:r>
          </w:p>
        </w:tc>
      </w:tr>
      <w:tr w14:paraId="125F5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EFEB0">
            <w:r>
              <w:rPr>
                <w:rFonts w:ascii="宋体" w:hAnsi="宋体" w:eastAsia="宋体" w:cs="宋体"/>
                <w:sz w:val="20"/>
                <w:szCs w:val="20"/>
              </w:rPr>
              <w:t>操作流程引导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57CD1">
            <w:r>
              <w:rPr>
                <w:rFonts w:ascii="宋体" w:hAnsi="宋体" w:eastAsia="宋体" w:cs="宋体"/>
                <w:sz w:val="20"/>
                <w:szCs w:val="20"/>
              </w:rPr>
              <w:t>✅真实流程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DAB1E">
            <w:r>
              <w:rPr>
                <w:rFonts w:ascii="宋体" w:hAnsi="宋体" w:eastAsia="宋体" w:cs="宋体"/>
                <w:sz w:val="20"/>
                <w:szCs w:val="20"/>
              </w:rPr>
              <w:t>❌无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284C7">
            <w:r>
              <w:rPr>
                <w:rFonts w:ascii="宋体" w:hAnsi="宋体" w:eastAsia="宋体" w:cs="宋体"/>
                <w:sz w:val="20"/>
                <w:szCs w:val="20"/>
              </w:rPr>
              <w:t>❌无</w:t>
            </w:r>
          </w:p>
        </w:tc>
        <w:tc>
          <w:tcPr>
            <w:tcW w:w="3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18742">
            <w:r>
              <w:rPr>
                <w:rFonts w:ascii="宋体" w:hAnsi="宋体" w:eastAsia="宋体" w:cs="宋体"/>
                <w:sz w:val="20"/>
                <w:szCs w:val="20"/>
              </w:rPr>
              <w:t>✅5状态自动流转</w:t>
            </w:r>
          </w:p>
        </w:tc>
      </w:tr>
      <w:tr w14:paraId="67657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CA9F1">
            <w:r>
              <w:rPr>
                <w:rFonts w:ascii="宋体" w:hAnsi="宋体" w:eastAsia="宋体" w:cs="宋体"/>
                <w:sz w:val="20"/>
                <w:szCs w:val="20"/>
              </w:rPr>
              <w:t>实时可视化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5872C">
            <w:r>
              <w:rPr>
                <w:rFonts w:ascii="宋体" w:hAnsi="宋体" w:eastAsia="宋体" w:cs="宋体"/>
                <w:sz w:val="20"/>
                <w:szCs w:val="20"/>
              </w:rPr>
              <w:t>✅硬件仪表盘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3748D">
            <w:r>
              <w:rPr>
                <w:rFonts w:ascii="宋体" w:hAnsi="宋体" w:eastAsia="宋体" w:cs="宋体"/>
                <w:sz w:val="20"/>
                <w:szCs w:val="20"/>
              </w:rPr>
              <w:t>✅可自定义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3B4AA">
            <w:r>
              <w:rPr>
                <w:rFonts w:ascii="宋体" w:hAnsi="宋体" w:eastAsia="宋体" w:cs="宋体"/>
                <w:sz w:val="20"/>
                <w:szCs w:val="20"/>
              </w:rPr>
              <w:t>⚠️基本曲线</w:t>
            </w:r>
          </w:p>
        </w:tc>
        <w:tc>
          <w:tcPr>
            <w:tcW w:w="3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60721">
            <w:r>
              <w:rPr>
                <w:rFonts w:ascii="宋体" w:hAnsi="宋体" w:eastAsia="宋体" w:cs="宋体"/>
                <w:sz w:val="20"/>
                <w:szCs w:val="20"/>
              </w:rPr>
              <w:t>✅4线曲线+LED+计时器</w:t>
            </w:r>
          </w:p>
        </w:tc>
      </w:tr>
      <w:tr w14:paraId="177FE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FFA55">
            <w:r>
              <w:rPr>
                <w:rFonts w:ascii="宋体" w:hAnsi="宋体" w:eastAsia="宋体" w:cs="宋体"/>
                <w:sz w:val="20"/>
                <w:szCs w:val="20"/>
              </w:rPr>
              <w:t>单元测试覆盖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125B9">
            <w:r>
              <w:rPr>
                <w:rFonts w:ascii="宋体" w:hAnsi="宋体" w:eastAsia="宋体" w:cs="宋体"/>
                <w:sz w:val="20"/>
                <w:szCs w:val="20"/>
              </w:rPr>
              <w:t>❌无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1E416">
            <w:r>
              <w:rPr>
                <w:rFonts w:ascii="宋体" w:hAnsi="宋体" w:eastAsia="宋体" w:cs="宋体"/>
                <w:sz w:val="20"/>
                <w:szCs w:val="20"/>
              </w:rPr>
              <w:t>❌无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A6D10">
            <w:r>
              <w:rPr>
                <w:rFonts w:ascii="宋体" w:hAnsi="宋体" w:eastAsia="宋体" w:cs="宋体"/>
                <w:sz w:val="20"/>
                <w:szCs w:val="20"/>
              </w:rPr>
              <w:t>❌无</w:t>
            </w:r>
          </w:p>
        </w:tc>
        <w:tc>
          <w:tcPr>
            <w:tcW w:w="3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5458B">
            <w:r>
              <w:rPr>
                <w:rFonts w:ascii="宋体" w:hAnsi="宋体" w:eastAsia="宋体" w:cs="宋体"/>
                <w:sz w:val="20"/>
                <w:szCs w:val="20"/>
              </w:rPr>
              <w:t>✅140+用例，覆盖率≥80%</w:t>
            </w:r>
          </w:p>
        </w:tc>
      </w:tr>
      <w:tr w14:paraId="4CAC9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5DBCC">
            <w:r>
              <w:rPr>
                <w:rFonts w:ascii="宋体" w:hAnsi="宋体" w:eastAsia="宋体" w:cs="宋体"/>
                <w:sz w:val="20"/>
                <w:szCs w:val="20"/>
              </w:rPr>
              <w:t>代码质量门禁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8D12A">
            <w:r>
              <w:rPr>
                <w:rFonts w:ascii="宋体" w:hAnsi="宋体" w:eastAsia="宋体" w:cs="宋体"/>
                <w:sz w:val="20"/>
                <w:szCs w:val="20"/>
              </w:rPr>
              <w:t>❌无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40408">
            <w:r>
              <w:rPr>
                <w:rFonts w:ascii="宋体" w:hAnsi="宋体" w:eastAsia="宋体" w:cs="宋体"/>
                <w:sz w:val="20"/>
                <w:szCs w:val="20"/>
              </w:rPr>
              <w:t>❌无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A4814">
            <w:r>
              <w:rPr>
                <w:rFonts w:ascii="宋体" w:hAnsi="宋体" w:eastAsia="宋体" w:cs="宋体"/>
                <w:sz w:val="20"/>
                <w:szCs w:val="20"/>
              </w:rPr>
              <w:t>❌无</w:t>
            </w:r>
          </w:p>
        </w:tc>
        <w:tc>
          <w:tcPr>
            <w:tcW w:w="3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0D7E7">
            <w:r>
              <w:rPr>
                <w:rFonts w:ascii="宋体" w:hAnsi="宋体" w:eastAsia="宋体" w:cs="宋体"/>
                <w:sz w:val="20"/>
                <w:szCs w:val="20"/>
              </w:rPr>
              <w:t>✅JaCoCo 80%自动门禁</w:t>
            </w:r>
          </w:p>
        </w:tc>
      </w:tr>
      <w:tr w14:paraId="0A25F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C8326">
            <w:r>
              <w:rPr>
                <w:rFonts w:ascii="宋体" w:hAnsi="宋体" w:eastAsia="宋体" w:cs="宋体"/>
                <w:sz w:val="20"/>
                <w:szCs w:val="20"/>
              </w:rPr>
              <w:t>Git协作管理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A550C">
            <w:r>
              <w:rPr>
                <w:rFonts w:ascii="宋体" w:hAnsi="宋体" w:eastAsia="宋体" w:cs="宋体"/>
                <w:sz w:val="20"/>
                <w:szCs w:val="20"/>
              </w:rPr>
              <w:t>❌不适用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49606">
            <w:r>
              <w:rPr>
                <w:rFonts w:ascii="宋体" w:hAnsi="宋体" w:eastAsia="宋体" w:cs="宋体"/>
                <w:sz w:val="20"/>
                <w:szCs w:val="20"/>
              </w:rPr>
              <w:t>❌不适用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DA530">
            <w:r>
              <w:rPr>
                <w:rFonts w:ascii="宋体" w:hAnsi="宋体" w:eastAsia="宋体" w:cs="宋体"/>
                <w:sz w:val="20"/>
                <w:szCs w:val="20"/>
              </w:rPr>
              <w:t>⚠️单人为主</w:t>
            </w:r>
          </w:p>
        </w:tc>
        <w:tc>
          <w:tcPr>
            <w:tcW w:w="3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0B192">
            <w:r>
              <w:rPr>
                <w:rFonts w:ascii="宋体" w:hAnsi="宋体" w:eastAsia="宋体" w:cs="宋体"/>
                <w:sz w:val="20"/>
                <w:szCs w:val="20"/>
              </w:rPr>
              <w:t>✅5人分目录，零冲突</w:t>
            </w:r>
          </w:p>
        </w:tc>
      </w:tr>
      <w:tr w14:paraId="198F8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8216F">
            <w:r>
              <w:rPr>
                <w:rFonts w:ascii="宋体" w:hAnsi="宋体" w:eastAsia="宋体" w:cs="宋体"/>
                <w:sz w:val="20"/>
                <w:szCs w:val="20"/>
              </w:rPr>
              <w:t>AI辅助开发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7EDF6">
            <w:r>
              <w:rPr>
                <w:rFonts w:ascii="宋体" w:hAnsi="宋体" w:eastAsia="宋体" w:cs="宋体"/>
                <w:sz w:val="20"/>
                <w:szCs w:val="20"/>
              </w:rPr>
              <w:t>❌不适用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FBDC4">
            <w:r>
              <w:rPr>
                <w:rFonts w:ascii="宋体" w:hAnsi="宋体" w:eastAsia="宋体" w:cs="宋体"/>
                <w:sz w:val="20"/>
                <w:szCs w:val="20"/>
              </w:rPr>
              <w:t>❌不适用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43A88">
            <w:r>
              <w:rPr>
                <w:rFonts w:ascii="宋体" w:hAnsi="宋体" w:eastAsia="宋体" w:cs="宋体"/>
                <w:sz w:val="20"/>
                <w:szCs w:val="20"/>
              </w:rPr>
              <w:t>❌无</w:t>
            </w:r>
          </w:p>
        </w:tc>
        <w:tc>
          <w:tcPr>
            <w:tcW w:w="3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987B8">
            <w:r>
              <w:rPr>
                <w:rFonts w:ascii="宋体" w:hAnsi="宋体" w:eastAsia="宋体" w:cs="宋体"/>
                <w:sz w:val="20"/>
                <w:szCs w:val="20"/>
              </w:rPr>
              <w:t>✅全流程Claude Code</w:t>
            </w:r>
          </w:p>
        </w:tc>
      </w:tr>
      <w:tr w14:paraId="1A25A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F5C56">
            <w:r>
              <w:rPr>
                <w:rFonts w:ascii="宋体" w:hAnsi="宋体" w:eastAsia="宋体" w:cs="宋体"/>
                <w:sz w:val="20"/>
                <w:szCs w:val="20"/>
              </w:rPr>
              <w:t>教学适用性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6DCF1">
            <w:r>
              <w:rPr>
                <w:rFonts w:ascii="宋体" w:hAnsi="宋体" w:eastAsia="宋体" w:cs="宋体"/>
                <w:sz w:val="20"/>
                <w:szCs w:val="20"/>
              </w:rPr>
              <w:t>⚠️需教师指导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2B11A">
            <w:r>
              <w:rPr>
                <w:rFonts w:ascii="宋体" w:hAnsi="宋体" w:eastAsia="宋体" w:cs="宋体"/>
                <w:sz w:val="20"/>
                <w:szCs w:val="20"/>
              </w:rPr>
              <w:t>❌学习曲线陡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53205">
            <w:r>
              <w:rPr>
                <w:rFonts w:ascii="宋体" w:hAnsi="宋体" w:eastAsia="宋体" w:cs="宋体"/>
                <w:sz w:val="20"/>
                <w:szCs w:val="20"/>
              </w:rPr>
              <w:t>⚠️功能不完整</w:t>
            </w:r>
          </w:p>
        </w:tc>
        <w:tc>
          <w:tcPr>
            <w:tcW w:w="3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82975">
            <w:r>
              <w:rPr>
                <w:rFonts w:ascii="宋体" w:hAnsi="宋体" w:eastAsia="宋体" w:cs="宋体"/>
                <w:sz w:val="20"/>
                <w:szCs w:val="20"/>
              </w:rPr>
              <w:t>✅即装即用</w:t>
            </w:r>
          </w:p>
        </w:tc>
      </w:tr>
      <w:tr w14:paraId="09AF2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697FB">
            <w:r>
              <w:rPr>
                <w:rFonts w:ascii="宋体" w:hAnsi="宋体" w:eastAsia="宋体" w:cs="宋体"/>
                <w:sz w:val="20"/>
                <w:szCs w:val="20"/>
              </w:rPr>
              <w:t>可扩展性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9CBB6">
            <w:r>
              <w:rPr>
                <w:rFonts w:ascii="宋体" w:hAnsi="宋体" w:eastAsia="宋体" w:cs="宋体"/>
                <w:sz w:val="20"/>
                <w:szCs w:val="20"/>
              </w:rPr>
              <w:t>❌闭源封闭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780BD">
            <w:r>
              <w:rPr>
                <w:rFonts w:ascii="宋体" w:hAnsi="宋体" w:eastAsia="宋体" w:cs="宋体"/>
                <w:sz w:val="20"/>
                <w:szCs w:val="20"/>
              </w:rPr>
              <w:t>⚠️有限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3B8FE">
            <w:r>
              <w:rPr>
                <w:rFonts w:ascii="宋体" w:hAnsi="宋体" w:eastAsia="宋体" w:cs="宋体"/>
                <w:sz w:val="20"/>
                <w:szCs w:val="20"/>
              </w:rPr>
              <w:t>⚠️不可维护</w:t>
            </w:r>
          </w:p>
        </w:tc>
        <w:tc>
          <w:tcPr>
            <w:tcW w:w="3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BE951">
            <w:r>
              <w:rPr>
                <w:rFonts w:ascii="宋体" w:hAnsi="宋体" w:eastAsia="宋体" w:cs="宋体"/>
                <w:sz w:val="20"/>
                <w:szCs w:val="20"/>
              </w:rPr>
              <w:t>✅开源，模块化</w:t>
            </w:r>
          </w:p>
        </w:tc>
      </w:tr>
      <w:tr w14:paraId="402FC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2A6CF">
            <w:r>
              <w:rPr>
                <w:rFonts w:ascii="宋体" w:hAnsi="宋体" w:eastAsia="宋体" w:cs="宋体"/>
                <w:sz w:val="20"/>
                <w:szCs w:val="20"/>
              </w:rPr>
              <w:t>安全性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16582">
            <w:r>
              <w:rPr>
                <w:rFonts w:ascii="宋体" w:hAnsi="宋体" w:eastAsia="宋体" w:cs="宋体"/>
                <w:sz w:val="20"/>
                <w:szCs w:val="20"/>
              </w:rPr>
              <w:t>⚠️750°C高温风险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0C114">
            <w:r>
              <w:rPr>
                <w:rFonts w:ascii="宋体" w:hAnsi="宋体" w:eastAsia="宋体" w:cs="宋体"/>
                <w:sz w:val="20"/>
                <w:szCs w:val="20"/>
              </w:rPr>
              <w:t>✅无风险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0120F">
            <w:r>
              <w:rPr>
                <w:rFonts w:ascii="宋体" w:hAnsi="宋体" w:eastAsia="宋体" w:cs="宋体"/>
                <w:sz w:val="20"/>
                <w:szCs w:val="20"/>
              </w:rPr>
              <w:t>✅无风险</w:t>
            </w:r>
          </w:p>
        </w:tc>
        <w:tc>
          <w:tcPr>
            <w:tcW w:w="3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E325C">
            <w:r>
              <w:rPr>
                <w:rFonts w:ascii="宋体" w:hAnsi="宋体" w:eastAsia="宋体" w:cs="宋体"/>
                <w:sz w:val="20"/>
                <w:szCs w:val="20"/>
              </w:rPr>
              <w:t>✅无风险</w:t>
            </w:r>
          </w:p>
        </w:tc>
      </w:tr>
    </w:tbl>
    <w:p w14:paraId="717DF253">
      <w:pPr>
        <w:pStyle w:val="3"/>
        <w:spacing w:before="240" w:after="180"/>
      </w:pPr>
      <w:bookmarkStart w:id="23" w:name="_Toc24327"/>
      <w:r>
        <w:rPr>
          <w:rFonts w:ascii="黑体" w:hAnsi="黑体" w:eastAsia="黑体" w:cs="黑体"/>
          <w:b/>
          <w:bCs/>
          <w:sz w:val="28"/>
          <w:szCs w:val="28"/>
        </w:rPr>
        <w:t>3.3 竞品分析总结</w:t>
      </w:r>
      <w:bookmarkEnd w:id="23"/>
    </w:p>
    <w:p w14:paraId="1559F74A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成本维度：零硬件+零许可+零耗材。质量维度：140+用例+JaCoCo 80%门禁+5人模块化Git协同。创新维度：多阶段算法+状态机+分层架构+三格式导出+AI全流程辅助。核心结论：当前市场不存在同时满足"零成本、标准合规、教学友好、质量可控、团队协作可追溯"的ISO 11820仿真软件。</w:t>
      </w: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8EBE27">
    <w:pPr>
      <w:jc w:val="center"/>
    </w:pPr>
    <w:r>
      <w:rPr>
        <w:rFonts w:ascii="Arial" w:hAnsi="Arial" w:eastAsia="Arial" w:cs="Arial"/>
        <w:color w:val="888888"/>
        <w:sz w:val="18"/>
        <w:szCs w:val="18"/>
      </w:rPr>
      <w:t xml:space="preserve">— </w:t>
    </w:r>
    <w:r>
      <w:rPr>
        <w:rFonts w:ascii="Arial" w:hAnsi="Arial" w:eastAsia="Arial" w:cs="Arial"/>
        <w:color w:val="888888"/>
        <w:sz w:val="18"/>
        <w:szCs w:val="18"/>
      </w:rPr>
      <w:fldChar w:fldCharType="begin"/>
    </w:r>
    <w:r>
      <w:rPr>
        <w:rFonts w:ascii="Arial" w:hAnsi="Arial" w:eastAsia="Arial" w:cs="Arial"/>
        <w:color w:val="888888"/>
        <w:sz w:val="18"/>
        <w:szCs w:val="18"/>
      </w:rPr>
      <w:instrText xml:space="preserve">PAGE</w:instrText>
    </w:r>
    <w:r>
      <w:rPr>
        <w:rFonts w:ascii="Arial" w:hAnsi="Arial" w:eastAsia="Arial" w:cs="Arial"/>
        <w:color w:val="888888"/>
        <w:sz w:val="18"/>
        <w:szCs w:val="18"/>
      </w:rPr>
      <w:fldChar w:fldCharType="separate"/>
    </w:r>
    <w:r>
      <w:rPr>
        <w:rFonts w:ascii="Arial" w:hAnsi="Arial" w:eastAsia="Arial" w:cs="Arial"/>
        <w:color w:val="888888"/>
        <w:sz w:val="18"/>
        <w:szCs w:val="18"/>
      </w:rPr>
      <w:fldChar w:fldCharType="end"/>
    </w:r>
    <w:r>
      <w:rPr>
        <w:rFonts w:ascii="Arial" w:hAnsi="Arial" w:eastAsia="Arial" w:cs="Arial"/>
        <w:color w:val="888888"/>
        <w:sz w:val="18"/>
        <w:szCs w:val="18"/>
      </w:rPr>
      <w:t xml:space="preserve"> —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DB1F39">
    <w:pPr>
      <w:jc w:val="center"/>
    </w:pPr>
    <w:r>
      <w:rPr>
        <w:rFonts w:ascii="宋体" w:hAnsi="宋体" w:eastAsia="宋体" w:cs="宋体"/>
        <w:color w:val="888888"/>
        <w:sz w:val="18"/>
        <w:szCs w:val="18"/>
      </w:rPr>
      <w:t>设计及创新性分析报告 — 建材不燃性多通道温度仿真系统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78940C6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宋体"/>
      <w:sz w:val="24"/>
      <w:szCs w:val="24"/>
    </w:rPr>
  </w:style>
  <w:style w:type="paragraph" w:styleId="2">
    <w:name w:val="heading 1"/>
    <w:next w:val="1"/>
    <w:qFormat/>
    <w:uiPriority w:val="0"/>
    <w:pPr>
      <w:spacing w:before="360" w:after="240"/>
      <w:outlineLvl w:val="0"/>
    </w:pPr>
    <w:rPr>
      <w:rFonts w:ascii="黑体" w:hAnsi="黑体" w:eastAsia="黑体" w:cs="黑体"/>
      <w:b/>
      <w:bCs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180"/>
      <w:outlineLvl w:val="1"/>
    </w:pPr>
    <w:rPr>
      <w:rFonts w:ascii="黑体" w:hAnsi="黑体" w:eastAsia="黑体" w:cs="黑体"/>
      <w:b/>
      <w:bCs/>
      <w:sz w:val="28"/>
      <w:szCs w:val="28"/>
    </w:rPr>
  </w:style>
  <w:style w:type="paragraph" w:styleId="4">
    <w:name w:val="heading 3"/>
    <w:next w:val="1"/>
    <w:qFormat/>
    <w:uiPriority w:val="0"/>
    <w:pPr>
      <w:spacing w:before="180" w:after="120"/>
      <w:outlineLvl w:val="2"/>
    </w:pPr>
    <w:rPr>
      <w:rFonts w:ascii="黑体" w:hAnsi="黑体" w:eastAsia="黑体" w:cs="黑体"/>
      <w:b/>
      <w:bCs/>
      <w:sz w:val="24"/>
      <w:szCs w:val="24"/>
    </w:rPr>
  </w:style>
  <w:style w:type="paragraph" w:styleId="5">
    <w:name w:val="heading 4"/>
    <w:next w:val="1"/>
    <w:qFormat/>
    <w:uiPriority w:val="0"/>
    <w:rPr>
      <w:rFonts w:ascii="宋体" w:hAnsi="宋体" w:eastAsia="宋体" w:cs="宋体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宋体" w:hAnsi="宋体" w:eastAsia="宋体" w:cs="宋体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宋体" w:hAnsi="宋体" w:eastAsia="宋体" w:cs="宋体"/>
      <w:color w:val="1F4D78"/>
      <w:sz w:val="24"/>
      <w:szCs w:val="24"/>
    </w:rPr>
  </w:style>
  <w:style w:type="character" w:default="1" w:styleId="15">
    <w:name w:val="Default Paragraph Font"/>
    <w:semiHidden/>
    <w:qFormat/>
    <w:uiPriority w:val="0"/>
  </w:style>
  <w:style w:type="table" w:default="1" w:styleId="1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3"/>
    <w:basedOn w:val="1"/>
    <w:next w:val="1"/>
    <w:uiPriority w:val="0"/>
    <w:pPr>
      <w:ind w:left="840" w:leftChars="400"/>
    </w:pPr>
  </w:style>
  <w:style w:type="paragraph" w:styleId="9">
    <w:name w:val="endnote text"/>
    <w:link w:val="21"/>
    <w:semiHidden/>
    <w:unhideWhenUsed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10">
    <w:name w:val="toc 1"/>
    <w:basedOn w:val="1"/>
    <w:next w:val="1"/>
    <w:uiPriority w:val="0"/>
  </w:style>
  <w:style w:type="paragraph" w:styleId="11">
    <w:name w:val="footnote text"/>
    <w:link w:val="20"/>
    <w:semiHidden/>
    <w:unhideWhenUsed/>
    <w:qFormat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12">
    <w:name w:val="toc 2"/>
    <w:basedOn w:val="1"/>
    <w:next w:val="1"/>
    <w:uiPriority w:val="0"/>
    <w:pPr>
      <w:ind w:left="420" w:leftChars="200"/>
    </w:pPr>
  </w:style>
  <w:style w:type="paragraph" w:styleId="13">
    <w:name w:val="Title"/>
    <w:qFormat/>
    <w:uiPriority w:val="0"/>
    <w:rPr>
      <w:rFonts w:ascii="宋体" w:hAnsi="宋体" w:eastAsia="宋体" w:cs="宋体"/>
      <w:sz w:val="56"/>
      <w:szCs w:val="56"/>
    </w:rPr>
  </w:style>
  <w:style w:type="character" w:styleId="16">
    <w:name w:val="endnote reference"/>
    <w:semiHidden/>
    <w:unhideWhenUsed/>
    <w:qFormat/>
    <w:uiPriority w:val="99"/>
    <w:rPr>
      <w:vertAlign w:val="superscript"/>
    </w:rPr>
  </w:style>
  <w:style w:type="character" w:styleId="17">
    <w:name w:val="Hyperlink"/>
    <w:unhideWhenUsed/>
    <w:qFormat/>
    <w:uiPriority w:val="99"/>
    <w:rPr>
      <w:color w:val="0563C1"/>
      <w:u w:val="single"/>
    </w:rPr>
  </w:style>
  <w:style w:type="character" w:styleId="18">
    <w:name w:val="footnote reference"/>
    <w:semiHidden/>
    <w:unhideWhenUsed/>
    <w:qFormat/>
    <w:uiPriority w:val="99"/>
    <w:rPr>
      <w:vertAlign w:val="superscript"/>
    </w:rPr>
  </w:style>
  <w:style w:type="paragraph" w:styleId="19">
    <w:name w:val="List Paragraph"/>
    <w:qFormat/>
    <w:uiPriority w:val="0"/>
    <w:rPr>
      <w:rFonts w:ascii="宋体" w:hAnsi="宋体" w:eastAsia="宋体" w:cs="宋体"/>
      <w:sz w:val="24"/>
      <w:szCs w:val="24"/>
    </w:rPr>
  </w:style>
  <w:style w:type="character" w:customStyle="1" w:styleId="20">
    <w:name w:val="Footnote Text Char"/>
    <w:link w:val="11"/>
    <w:semiHidden/>
    <w:unhideWhenUsed/>
    <w:qFormat/>
    <w:uiPriority w:val="99"/>
    <w:rPr>
      <w:sz w:val="20"/>
      <w:szCs w:val="20"/>
    </w:rPr>
  </w:style>
  <w:style w:type="character" w:customStyle="1" w:styleId="21">
    <w:name w:val="Endnote Text Char"/>
    <w:link w:val="9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1834</Words>
  <Characters>2703</Characters>
  <TotalTime>0</TotalTime>
  <ScaleCrop>false</ScaleCrop>
  <LinksUpToDate>false</LinksUpToDate>
  <CharactersWithSpaces>2751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2026-07-01T07:46:00Z</dcterms:created>
  <dc:creator>Un-named</dc:creator>
  <cp:lastModifiedBy>K-j</cp:lastModifiedBy>
  <dcterms:modified xsi:type="dcterms:W3CDTF">2026-07-01T07:47:56Z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eyJoZGlkIjoiYWQzNmI1OTAyZjQwMGQwOTU1N2RlNjMyZDgzOTY2YzEiLCJ1c2VySWQiOiIxMzk3OTM5OTE1In0=</vt:lpwstr>
  </property>
  <property fmtid="{D5CDD505-2E9C-101B-9397-08002B2CF9AE}" pid="3" name="KSOProductBuildVer">
    <vt:lpwstr>2052-12.1.0.26895</vt:lpwstr>
  </property>
  <property fmtid="{D5CDD505-2E9C-101B-9397-08002B2CF9AE}" pid="4" name="ICV">
    <vt:lpwstr>750C837B97E9455D8FACB02CACA57DD9_12</vt:lpwstr>
  </property>
</Properties>
</file>