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6FF59">
      <w:pPr>
        <w:spacing w:before="1200"/>
        <w:jc w:val="center"/>
      </w:pPr>
      <w:bookmarkStart w:id="24" w:name="_GoBack"/>
      <w:bookmarkEnd w:id="24"/>
      <w:r>
        <w:rPr>
          <w:rFonts w:ascii="黑体" w:hAnsi="黑体" w:eastAsia="黑体" w:cs="黑体"/>
          <w:b/>
          <w:bCs/>
          <w:sz w:val="28"/>
          <w:szCs w:val="28"/>
        </w:rPr>
        <w:t>第十八届全国大学生软件创新大赛-软件设计创新赛</w:t>
      </w:r>
    </w:p>
    <w:p w14:paraId="4453F47A">
      <w:pPr>
        <w:spacing w:before="200"/>
        <w:jc w:val="center"/>
      </w:pPr>
      <w:r>
        <w:rPr>
          <w:rFonts w:ascii="宋体" w:hAnsi="宋体" w:eastAsia="宋体" w:cs="宋体"/>
          <w:sz w:val="22"/>
          <w:szCs w:val="22"/>
        </w:rPr>
        <w:t>文档编号：SWC2025-ISO11820-第十五组</w:t>
      </w:r>
    </w:p>
    <w:p w14:paraId="2172919E">
      <w:pPr>
        <w:spacing w:before="12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设计及创新性分析报告</w:t>
      </w:r>
    </w:p>
    <w:p w14:paraId="5CB26313">
      <w:pPr>
        <w:spacing w:before="6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建材不燃性多通道温度仿真系统</w:t>
      </w:r>
    </w:p>
    <w:p w14:paraId="74C9AE1A">
      <w:pPr>
        <w:spacing w:before="200"/>
        <w:jc w:val="center"/>
      </w:pPr>
      <w:r>
        <w:rPr>
          <w:rFonts w:ascii="Arial" w:hAnsi="Arial" w:eastAsia="Arial" w:cs="Arial"/>
          <w:i/>
          <w:iCs/>
          <w:sz w:val="22"/>
          <w:szCs w:val="22"/>
        </w:rPr>
        <w:t>Building Material Non-Combustibility Multi-Channel Temperature Simulation System</w:t>
      </w:r>
    </w:p>
    <w:p w14:paraId="40E0BB44">
      <w:pPr>
        <w:spacing w:before="1200"/>
        <w:jc w:val="center"/>
      </w:pPr>
      <w:r>
        <w:rPr>
          <w:rFonts w:ascii="Arial" w:hAnsi="Arial" w:eastAsia="Arial" w:cs="Arial"/>
          <w:sz w:val="24"/>
          <w:szCs w:val="24"/>
        </w:rPr>
        <w:t>Version: V1.0</w:t>
      </w:r>
    </w:p>
    <w:p w14:paraId="3DDBA968">
      <w:pPr>
        <w:spacing w:before="1600"/>
        <w:jc w:val="center"/>
      </w:pPr>
      <w:r>
        <w:rPr>
          <w:rFonts w:ascii="黑体" w:hAnsi="黑体" w:eastAsia="黑体" w:cs="黑体"/>
          <w:b/>
          <w:bCs/>
          <w:sz w:val="28"/>
          <w:szCs w:val="28"/>
        </w:rPr>
        <w:t>第十五组</w:t>
      </w:r>
    </w:p>
    <w:p w14:paraId="46E2268C">
      <w:pPr>
        <w:spacing w:before="200"/>
        <w:jc w:val="center"/>
      </w:pPr>
      <w:r>
        <w:rPr>
          <w:rFonts w:ascii="Arial" w:hAnsi="Arial" w:eastAsia="Arial" w:cs="Arial"/>
          <w:sz w:val="22"/>
          <w:szCs w:val="22"/>
        </w:rPr>
        <w:t>2026-06-30</w:t>
      </w:r>
    </w:p>
    <w:p w14:paraId="40C945C3">
      <w:pPr>
        <w:spacing w:before="800"/>
        <w:jc w:val="center"/>
      </w:pPr>
      <w:r>
        <w:rPr>
          <w:rFonts w:ascii="Arial" w:hAnsi="Arial" w:eastAsia="Arial" w:cs="Arial"/>
          <w:i/>
          <w:iCs/>
          <w:sz w:val="18"/>
          <w:szCs w:val="18"/>
        </w:rPr>
        <w:t>All Rights Reserved</w:t>
      </w:r>
    </w:p>
    <w:p w14:paraId="6E7436AD">
      <w:r>
        <w:br w:type="page"/>
      </w:r>
    </w:p>
    <w:p w14:paraId="0176F711">
      <w:pPr>
        <w:pStyle w:val="2"/>
        <w:spacing w:before="360" w:after="240"/>
      </w:pPr>
      <w:bookmarkStart w:id="0" w:name="_Toc16291"/>
      <w:r>
        <w:rPr>
          <w:rFonts w:ascii="黑体" w:hAnsi="黑体" w:eastAsia="黑体" w:cs="黑体"/>
          <w:b/>
          <w:bCs/>
          <w:sz w:val="32"/>
          <w:szCs w:val="32"/>
        </w:rPr>
        <w:t>文档修订历史</w:t>
      </w:r>
      <w:bookmarkEnd w:id="0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1"/>
        <w:gridCol w:w="1201"/>
        <w:gridCol w:w="1801"/>
        <w:gridCol w:w="1601"/>
        <w:gridCol w:w="2902"/>
      </w:tblGrid>
      <w:tr w14:paraId="2949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4E69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AE2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修订原因</w:t>
            </w:r>
          </w:p>
        </w:tc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336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8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2A6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作者</w:t>
            </w:r>
          </w:p>
        </w:tc>
        <w:tc>
          <w:tcPr>
            <w:tcW w:w="16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E9E1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修订日期</w:t>
            </w:r>
          </w:p>
        </w:tc>
        <w:tc>
          <w:tcPr>
            <w:tcW w:w="29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FD9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41B2E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65915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B5E5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初稿，全组5人协作完成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B41B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V1.0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E280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第十五组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7A41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2026-06-30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BB21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组员1-4提供创新点技术素材，组员5统筹竞品调研与文档撰写</w:t>
            </w:r>
          </w:p>
        </w:tc>
      </w:tr>
    </w:tbl>
    <w:p w14:paraId="73E40030">
      <w:r>
        <w:br w:type="page"/>
      </w:r>
    </w:p>
    <w:p w14:paraId="79564522">
      <w:pPr>
        <w:pStyle w:val="2"/>
        <w:spacing w:before="360" w:after="240"/>
      </w:pPr>
      <w:bookmarkStart w:id="1" w:name="_Toc425"/>
      <w:r>
        <w:rPr>
          <w:rFonts w:ascii="黑体" w:hAnsi="黑体" w:eastAsia="黑体" w:cs="黑体"/>
          <w:b/>
          <w:bCs/>
          <w:sz w:val="32"/>
          <w:szCs w:val="32"/>
        </w:rPr>
        <w:t>目录</w:t>
      </w:r>
      <w:bookmarkEnd w:id="1"/>
    </w:p>
    <w:sdt>
      <w:sdtPr>
        <w:alias w:val="目录"/>
        <w:id w:val="147469554"/>
      </w:sdtPr>
      <w:sdtContent>
        <w:p w14:paraId="52770694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A6D352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_Toc16291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文档修订历史</w:t>
          </w:r>
          <w:r>
            <w:tab/>
          </w:r>
          <w:r>
            <w:fldChar w:fldCharType="begin"/>
          </w:r>
          <w:r>
            <w:instrText xml:space="preserve"> PAGEREF _Toc16291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1503052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_Toc425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_Toc425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30BB2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_Toc16214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1 痛点分析</w:t>
          </w:r>
          <w:r>
            <w:tab/>
          </w:r>
          <w:r>
            <w:fldChar w:fldCharType="begin"/>
          </w:r>
          <w:r>
            <w:instrText xml:space="preserve"> PAGEREF _Toc16214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02189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_Toc18756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痛点概述</w:t>
          </w:r>
          <w:r>
            <w:tab/>
          </w:r>
          <w:r>
            <w:fldChar w:fldCharType="begin"/>
          </w:r>
          <w:r>
            <w:instrText xml:space="preserve"> PAGEREF _Toc18756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5B743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_Toc14344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1.1.1 传统实体不燃性试验设备的核心困境</w:t>
          </w:r>
          <w:r>
            <w:tab/>
          </w:r>
          <w:r>
            <w:fldChar w:fldCharType="begin"/>
          </w:r>
          <w:r>
            <w:instrText xml:space="preserve"> PAGEREF _Toc14344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C18BBD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_Toc1480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1.1.2 行业背景与政策驱动</w:t>
          </w:r>
          <w:r>
            <w:tab/>
          </w:r>
          <w:r>
            <w:fldChar w:fldCharType="begin"/>
          </w:r>
          <w:r>
            <w:instrText xml:space="preserve"> PAGEREF _Toc1480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D43A0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_Toc20308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相关工作</w:t>
          </w:r>
          <w:r>
            <w:tab/>
          </w:r>
          <w:r>
            <w:fldChar w:fldCharType="begin"/>
          </w:r>
          <w:r>
            <w:instrText xml:space="preserve"> PAGEREF _Toc20308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E73CC2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_Toc6006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2 项目创新点</w:t>
          </w:r>
          <w:r>
            <w:tab/>
          </w:r>
          <w:r>
            <w:fldChar w:fldCharType="begin"/>
          </w:r>
          <w:r>
            <w:instrText xml:space="preserve"> PAGEREF _Toc6006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2BAB63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_Toc22826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技术性创新点</w:t>
          </w:r>
          <w:r>
            <w:tab/>
          </w:r>
          <w:r>
            <w:fldChar w:fldCharType="begin"/>
          </w:r>
          <w:r>
            <w:instrText xml:space="preserve"> PAGEREF _Toc22826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64537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_Toc27761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2.1.1 多阶段温度仿真算法（组员1负责）</w:t>
          </w:r>
          <w:r>
            <w:tab/>
          </w:r>
          <w:r>
            <w:fldChar w:fldCharType="begin"/>
          </w:r>
          <w:r>
            <w:instrText xml:space="preserve"> PAGEREF _Toc27761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26FD2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_Toc30054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2.1.2 线程安全有限状态机（组员1负责）</w:t>
          </w:r>
          <w:r>
            <w:tab/>
          </w:r>
          <w:r>
            <w:fldChar w:fldCharType="begin"/>
          </w:r>
          <w:r>
            <w:instrText xml:space="preserve"> PAGEREF _Toc30054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3377E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_Toc28250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2.1.3 分层持久化事务架构（组员2负责）</w:t>
          </w:r>
          <w:r>
            <w:tab/>
          </w:r>
          <w:r>
            <w:fldChar w:fldCharType="begin"/>
          </w:r>
          <w:r>
            <w:instrText xml:space="preserve"> PAGEREF _Toc28250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C6780A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_Toc29553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2.1.4 自动化质量门禁体系（组员5负责）</w:t>
          </w:r>
          <w:r>
            <w:tab/>
          </w:r>
          <w:r>
            <w:fldChar w:fldCharType="begin"/>
          </w:r>
          <w:r>
            <w:instrText xml:space="preserve"> PAGEREF _Toc29553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79C58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_Toc20993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功能性创新点</w:t>
          </w:r>
          <w:r>
            <w:tab/>
          </w:r>
          <w:r>
            <w:fldChar w:fldCharType="begin"/>
          </w:r>
          <w:r>
            <w:instrText xml:space="preserve"> PAGEREF _Toc20993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3B55F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_Toc29635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2.2.1 可视化实时多通道温度曲线与全流程交互（组员3负责）</w:t>
          </w:r>
          <w:r>
            <w:tab/>
          </w:r>
          <w:r>
            <w:fldChar w:fldCharType="begin"/>
          </w:r>
          <w:r>
            <w:instrText xml:space="preserve"> PAGEREF _Toc29635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BB2C7D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_Toc346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2.2.2 多格式自动报告导出（组员4负责）</w:t>
          </w:r>
          <w:r>
            <w:tab/>
          </w:r>
          <w:r>
            <w:fldChar w:fldCharType="begin"/>
          </w:r>
          <w:r>
            <w:instrText xml:space="preserve"> PAGEREF _Toc346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C6902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_Toc15983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2.3 团队协作创新点</w:t>
          </w:r>
          <w:r>
            <w:tab/>
          </w:r>
          <w:r>
            <w:fldChar w:fldCharType="begin"/>
          </w:r>
          <w:r>
            <w:instrText xml:space="preserve"> PAGEREF _Toc15983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58D1CE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_Toc23125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2.3.1 Git模块化分目录协同开发</w:t>
          </w:r>
          <w:r>
            <w:tab/>
          </w:r>
          <w:r>
            <w:fldChar w:fldCharType="begin"/>
          </w:r>
          <w:r>
            <w:instrText xml:space="preserve"> PAGEREF _Toc23125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083954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_Toc16168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2.3.2 全流程AI辅助开发（Claude Code）</w:t>
          </w:r>
          <w:r>
            <w:tab/>
          </w:r>
          <w:r>
            <w:fldChar w:fldCharType="begin"/>
          </w:r>
          <w:r>
            <w:instrText xml:space="preserve"> PAGEREF _Toc16168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C1FA8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_Toc4432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2.3.3 标准化五套竞赛文档交付规范</w:t>
          </w:r>
          <w:r>
            <w:tab/>
          </w:r>
          <w:r>
            <w:fldChar w:fldCharType="begin"/>
          </w:r>
          <w:r>
            <w:instrText xml:space="preserve"> PAGEREF _Toc4432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16E33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_Toc23138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3 竞品分析</w:t>
          </w:r>
          <w:r>
            <w:tab/>
          </w:r>
          <w:r>
            <w:fldChar w:fldCharType="begin"/>
          </w:r>
          <w:r>
            <w:instrText xml:space="preserve"> PAGEREF _Toc23138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4C33B6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_Toc15417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竞品选择</w:t>
          </w:r>
          <w:r>
            <w:tab/>
          </w:r>
          <w:r>
            <w:fldChar w:fldCharType="begin"/>
          </w:r>
          <w:r>
            <w:instrText xml:space="preserve"> PAGEREF _Toc15417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CA9D71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_Toc11386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3.2 综合对比</w:t>
          </w:r>
          <w:r>
            <w:tab/>
          </w:r>
          <w:r>
            <w:fldChar w:fldCharType="begin"/>
          </w:r>
          <w:r>
            <w:instrText xml:space="preserve"> PAGEREF _Toc11386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3FFFA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_Toc29595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3.3 竞品分析总结</w:t>
          </w:r>
          <w:r>
            <w:tab/>
          </w:r>
          <w:r>
            <w:fldChar w:fldCharType="begin"/>
          </w:r>
          <w:r>
            <w:instrText xml:space="preserve"> PAGEREF _Toc29595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7C5F6E">
          <w:r>
            <w:fldChar w:fldCharType="end"/>
          </w:r>
        </w:p>
      </w:sdtContent>
    </w:sdt>
    <w:p w14:paraId="5155ADD8">
      <w:r>
        <w:br w:type="page"/>
      </w:r>
    </w:p>
    <w:p w14:paraId="04C83D7D">
      <w:pPr>
        <w:pStyle w:val="2"/>
        <w:spacing w:before="360" w:after="240"/>
      </w:pPr>
      <w:bookmarkStart w:id="2" w:name="_Toc16214"/>
      <w:r>
        <w:rPr>
          <w:rFonts w:ascii="黑体" w:hAnsi="黑体" w:eastAsia="黑体" w:cs="黑体"/>
          <w:b/>
          <w:bCs/>
          <w:sz w:val="32"/>
          <w:szCs w:val="32"/>
        </w:rPr>
        <w:t>1 痛点分析</w:t>
      </w:r>
      <w:bookmarkEnd w:id="2"/>
    </w:p>
    <w:p w14:paraId="71D6D278">
      <w:pPr>
        <w:pStyle w:val="3"/>
        <w:spacing w:before="240" w:after="180"/>
      </w:pPr>
      <w:bookmarkStart w:id="3" w:name="_Toc18756"/>
      <w:r>
        <w:rPr>
          <w:rFonts w:ascii="黑体" w:hAnsi="黑体" w:eastAsia="黑体" w:cs="黑体"/>
          <w:b/>
          <w:bCs/>
          <w:sz w:val="28"/>
          <w:szCs w:val="28"/>
        </w:rPr>
        <w:t>1.1 痛点概述</w:t>
      </w:r>
      <w:bookmarkEnd w:id="3"/>
    </w:p>
    <w:p w14:paraId="79ECA57A">
      <w:pPr>
        <w:pStyle w:val="4"/>
        <w:spacing w:before="180" w:after="120"/>
      </w:pPr>
      <w:bookmarkStart w:id="4" w:name="_Toc14344"/>
      <w:r>
        <w:rPr>
          <w:rFonts w:ascii="黑体" w:hAnsi="黑体" w:eastAsia="黑体" w:cs="黑体"/>
          <w:b/>
          <w:bCs/>
          <w:sz w:val="24"/>
          <w:szCs w:val="24"/>
        </w:rPr>
        <w:t>1.1.1 传统实体不燃性试验设备的核心困境</w:t>
      </w:r>
      <w:bookmarkEnd w:id="4"/>
    </w:p>
    <w:p w14:paraId="1D736492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痛点一：设备采购与维护成本极高</w:t>
      </w:r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000"/>
        <w:gridCol w:w="2906"/>
      </w:tblGrid>
      <w:tr w14:paraId="4FCC6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362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成本项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EBA3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详情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EA1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金额</w:t>
            </w:r>
          </w:p>
        </w:tc>
      </w:tr>
      <w:tr w14:paraId="27AA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4CFF">
            <w:r>
              <w:rPr>
                <w:rFonts w:ascii="宋体" w:hAnsi="宋体" w:eastAsia="宋体" w:cs="宋体"/>
                <w:sz w:val="20"/>
                <w:szCs w:val="20"/>
              </w:rPr>
              <w:t>试验炉主机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DEDB">
            <w:r>
              <w:rPr>
                <w:rFonts w:ascii="宋体" w:hAnsi="宋体" w:eastAsia="宋体" w:cs="宋体"/>
                <w:sz w:val="20"/>
                <w:szCs w:val="20"/>
              </w:rPr>
              <w:t>ISO 11820标准不燃性试验炉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CA91">
            <w:r>
              <w:rPr>
                <w:rFonts w:ascii="宋体" w:hAnsi="宋体" w:eastAsia="宋体" w:cs="宋体"/>
                <w:sz w:val="20"/>
                <w:szCs w:val="20"/>
              </w:rPr>
              <w:t>15-30万元</w:t>
            </w:r>
          </w:p>
        </w:tc>
      </w:tr>
      <w:tr w14:paraId="5822E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D15C">
            <w:r>
              <w:rPr>
                <w:rFonts w:ascii="宋体" w:hAnsi="宋体" w:eastAsia="宋体" w:cs="宋体"/>
                <w:sz w:val="20"/>
                <w:szCs w:val="20"/>
              </w:rPr>
              <w:t>PID温控模块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568A">
            <w:r>
              <w:rPr>
                <w:rFonts w:ascii="宋体" w:hAnsi="宋体" w:eastAsia="宋体" w:cs="宋体"/>
                <w:sz w:val="20"/>
                <w:szCs w:val="20"/>
              </w:rPr>
              <w:t>高精度PID控制器+电力调节器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50CD0">
            <w:r>
              <w:rPr>
                <w:rFonts w:ascii="宋体" w:hAnsi="宋体" w:eastAsia="宋体" w:cs="宋体"/>
                <w:sz w:val="20"/>
                <w:szCs w:val="20"/>
              </w:rPr>
              <w:t>3-8万元</w:t>
            </w:r>
          </w:p>
        </w:tc>
      </w:tr>
      <w:tr w14:paraId="7E7F6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6AE61">
            <w:r>
              <w:rPr>
                <w:rFonts w:ascii="宋体" w:hAnsi="宋体" w:eastAsia="宋体" w:cs="宋体"/>
                <w:sz w:val="20"/>
                <w:szCs w:val="20"/>
              </w:rPr>
              <w:t>Modbus采集模块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6C75">
            <w:r>
              <w:rPr>
                <w:rFonts w:ascii="宋体" w:hAnsi="宋体" w:eastAsia="宋体" w:cs="宋体"/>
                <w:sz w:val="20"/>
                <w:szCs w:val="20"/>
              </w:rPr>
              <w:t>多通道温度采集卡+传感器组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8D2C">
            <w:r>
              <w:rPr>
                <w:rFonts w:ascii="宋体" w:hAnsi="宋体" w:eastAsia="宋体" w:cs="宋体"/>
                <w:sz w:val="20"/>
                <w:szCs w:val="20"/>
              </w:rPr>
              <w:t>2-5万元</w:t>
            </w:r>
          </w:p>
        </w:tc>
      </w:tr>
      <w:tr w14:paraId="1E751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7890">
            <w:r>
              <w:rPr>
                <w:rFonts w:ascii="宋体" w:hAnsi="宋体" w:eastAsia="宋体" w:cs="宋体"/>
                <w:sz w:val="20"/>
                <w:szCs w:val="20"/>
              </w:rPr>
              <w:t>串口通信硬件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1E45">
            <w:r>
              <w:rPr>
                <w:rFonts w:ascii="宋体" w:hAnsi="宋体" w:eastAsia="宋体" w:cs="宋体"/>
                <w:sz w:val="20"/>
                <w:szCs w:val="20"/>
              </w:rPr>
              <w:t>RS-485转换器、数据采集卡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AD60">
            <w:r>
              <w:rPr>
                <w:rFonts w:ascii="宋体" w:hAnsi="宋体" w:eastAsia="宋体" w:cs="宋体"/>
                <w:sz w:val="20"/>
                <w:szCs w:val="20"/>
              </w:rPr>
              <w:t>1-3万元</w:t>
            </w:r>
          </w:p>
        </w:tc>
      </w:tr>
      <w:tr w14:paraId="2BACA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0A06">
            <w:r>
              <w:rPr>
                <w:rFonts w:ascii="宋体" w:hAnsi="宋体" w:eastAsia="宋体" w:cs="宋体"/>
                <w:sz w:val="20"/>
                <w:szCs w:val="20"/>
              </w:rPr>
              <w:t>年度维护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1E58">
            <w:r>
              <w:rPr>
                <w:rFonts w:ascii="宋体" w:hAnsi="宋体" w:eastAsia="宋体" w:cs="宋体"/>
                <w:sz w:val="20"/>
                <w:szCs w:val="20"/>
              </w:rPr>
              <w:t>加热元件更换、热电偶校准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85B2">
            <w:r>
              <w:rPr>
                <w:rFonts w:ascii="宋体" w:hAnsi="宋体" w:eastAsia="宋体" w:cs="宋体"/>
                <w:sz w:val="20"/>
                <w:szCs w:val="20"/>
              </w:rPr>
              <w:t>2-5万元/年</w:t>
            </w:r>
          </w:p>
        </w:tc>
      </w:tr>
      <w:tr w14:paraId="4DC3D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4772">
            <w:r>
              <w:rPr>
                <w:rFonts w:ascii="宋体" w:hAnsi="宋体" w:eastAsia="宋体" w:cs="宋体"/>
                <w:sz w:val="20"/>
                <w:szCs w:val="20"/>
              </w:rPr>
              <w:t>单台合计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21FC"/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48C16">
            <w:r>
              <w:rPr>
                <w:rFonts w:ascii="宋体" w:hAnsi="宋体" w:eastAsia="宋体" w:cs="宋体"/>
                <w:sz w:val="20"/>
                <w:szCs w:val="20"/>
              </w:rPr>
              <w:t>20-50万元</w:t>
            </w:r>
          </w:p>
        </w:tc>
      </w:tr>
    </w:tbl>
    <w:p w14:paraId="6D72E25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对于高校实验室而言，通常仅能配置1-2台设备，而一个教学班30-40名学生，人均实操机会极为有限。</w:t>
      </w:r>
    </w:p>
    <w:p w14:paraId="717AB19A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痛点二：实验耗材持续消耗，教学成本叠加</w:t>
      </w:r>
    </w:p>
    <w:p w14:paraId="014F356F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每次真实试验需要消耗：建筑材料样品（单次10-50元）、热电偶可能因高温损坏（更换成本200-500元/支）、加热炉升温能耗（单次约15-20 kWh）。单次教学实验耗材成本约500-1000元。</w:t>
      </w:r>
    </w:p>
    <w:p w14:paraId="32A60E0F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痛点三：实验数据数字化程度低，教学分析困难</w:t>
      </w:r>
    </w:p>
    <w:p w14:paraId="6DA1D2DC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商业软件数据格式封闭、缺少数据可视化工具、无标准化报告生成、历史数据管理缺失。</w:t>
      </w:r>
    </w:p>
    <w:p w14:paraId="73FF6AF1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痛点四：缺少标准化教学校验与质量保障机制</w:t>
      </w:r>
    </w:p>
    <w:p w14:paraId="09F701B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学生操作失误无法回退重做、实验结果的准确性依赖设备状态无法提供标准参考答案、教师无法批量评估学生实验操作规范性。</w:t>
      </w:r>
    </w:p>
    <w:p w14:paraId="19D41DF1">
      <w:pPr>
        <w:pStyle w:val="4"/>
        <w:spacing w:before="180" w:after="120"/>
      </w:pPr>
      <w:bookmarkStart w:id="5" w:name="_Toc1480"/>
      <w:r>
        <w:rPr>
          <w:rFonts w:ascii="黑体" w:hAnsi="黑体" w:eastAsia="黑体" w:cs="黑体"/>
          <w:b/>
          <w:bCs/>
          <w:sz w:val="24"/>
          <w:szCs w:val="24"/>
        </w:rPr>
        <w:t>1.1.2 行业背景与政策驱动</w:t>
      </w:r>
      <w:bookmarkEnd w:id="5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906"/>
      </w:tblGrid>
      <w:tr w14:paraId="374E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ED8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驱动因素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751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4807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7610">
            <w:r>
              <w:rPr>
                <w:rFonts w:ascii="宋体" w:hAnsi="宋体" w:eastAsia="宋体" w:cs="宋体"/>
                <w:sz w:val="20"/>
                <w:szCs w:val="20"/>
              </w:rPr>
              <w:t>标准更新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CA35">
            <w:r>
              <w:rPr>
                <w:rFonts w:ascii="宋体" w:hAnsi="宋体" w:eastAsia="宋体" w:cs="宋体"/>
                <w:sz w:val="20"/>
                <w:szCs w:val="20"/>
              </w:rPr>
              <w:t>ISO 11820:2022替代旧版标准</w:t>
            </w:r>
          </w:p>
        </w:tc>
      </w:tr>
      <w:tr w14:paraId="4422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6575">
            <w:r>
              <w:rPr>
                <w:rFonts w:ascii="宋体" w:hAnsi="宋体" w:eastAsia="宋体" w:cs="宋体"/>
                <w:sz w:val="20"/>
                <w:szCs w:val="20"/>
              </w:rPr>
              <w:t>数字化转型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C405">
            <w:r>
              <w:rPr>
                <w:rFonts w:ascii="宋体" w:hAnsi="宋体" w:eastAsia="宋体" w:cs="宋体"/>
                <w:sz w:val="20"/>
                <w:szCs w:val="20"/>
              </w:rPr>
              <w:t>教育部《教育信息化2.0行动计划》</w:t>
            </w:r>
          </w:p>
        </w:tc>
      </w:tr>
      <w:tr w14:paraId="5799F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895B">
            <w:r>
              <w:rPr>
                <w:rFonts w:ascii="宋体" w:hAnsi="宋体" w:eastAsia="宋体" w:cs="宋体"/>
                <w:sz w:val="20"/>
                <w:szCs w:val="20"/>
              </w:rPr>
              <w:t>安全要求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690D">
            <w:r>
              <w:rPr>
                <w:rFonts w:ascii="宋体" w:hAnsi="宋体" w:eastAsia="宋体" w:cs="宋体"/>
                <w:sz w:val="20"/>
                <w:szCs w:val="20"/>
              </w:rPr>
              <w:t>750°C高温试验存在安全风险</w:t>
            </w:r>
          </w:p>
        </w:tc>
      </w:tr>
      <w:tr w14:paraId="311B7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5ED2">
            <w:r>
              <w:rPr>
                <w:rFonts w:ascii="宋体" w:hAnsi="宋体" w:eastAsia="宋体" w:cs="宋体"/>
                <w:sz w:val="20"/>
                <w:szCs w:val="20"/>
              </w:rPr>
              <w:t>碳中和目标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7597D">
            <w:r>
              <w:rPr>
                <w:rFonts w:ascii="宋体" w:hAnsi="宋体" w:eastAsia="宋体" w:cs="宋体"/>
                <w:sz w:val="20"/>
                <w:szCs w:val="20"/>
              </w:rPr>
              <w:t>减少能源消耗和材料浪费</w:t>
            </w:r>
          </w:p>
        </w:tc>
      </w:tr>
    </w:tbl>
    <w:p w14:paraId="3E1C9E3C">
      <w:pPr>
        <w:pStyle w:val="3"/>
        <w:spacing w:before="240" w:after="180"/>
      </w:pPr>
      <w:bookmarkStart w:id="6" w:name="_Toc20308"/>
      <w:r>
        <w:rPr>
          <w:rFonts w:ascii="黑体" w:hAnsi="黑体" w:eastAsia="黑体" w:cs="黑体"/>
          <w:b/>
          <w:bCs/>
          <w:sz w:val="28"/>
          <w:szCs w:val="28"/>
        </w:rPr>
        <w:t>1.2 相关工作</w:t>
      </w:r>
      <w:bookmarkEnd w:id="6"/>
    </w:p>
    <w:p w14:paraId="66CB196E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当前市场上与ISO 11820试验相关的软件产品主要分为三类：商业试验软件（Mettler Toledo STARe、NETZSCH Proteus）——绑定硬件、无仿真模式、数据格式封闭；通用仿真平台（MATLAB Simulink、COMSOL）——模型搭建复杂、无标准流程引导、学习成本高；高校自研简易Demo——功能残缺、无单元测试、无标准化文档。市场空白：零成本、教学友好、标准合规、质量可控的ISO 11820仿真软件目前不存在。</w:t>
      </w:r>
    </w:p>
    <w:p w14:paraId="04C85DCC">
      <w:r>
        <w:br w:type="page"/>
      </w:r>
    </w:p>
    <w:p w14:paraId="288B2ACC">
      <w:pPr>
        <w:pStyle w:val="2"/>
        <w:spacing w:before="360" w:after="240"/>
      </w:pPr>
      <w:bookmarkStart w:id="7" w:name="_Toc6006"/>
      <w:r>
        <w:rPr>
          <w:rFonts w:ascii="黑体" w:hAnsi="黑体" w:eastAsia="黑体" w:cs="黑体"/>
          <w:b/>
          <w:bCs/>
          <w:sz w:val="32"/>
          <w:szCs w:val="32"/>
        </w:rPr>
        <w:t>2 项目创新点</w:t>
      </w:r>
      <w:bookmarkEnd w:id="7"/>
    </w:p>
    <w:p w14:paraId="5D29987D">
      <w:pPr>
        <w:pStyle w:val="3"/>
        <w:spacing w:before="240" w:after="180"/>
      </w:pPr>
      <w:bookmarkStart w:id="8" w:name="_Toc22826"/>
      <w:r>
        <w:rPr>
          <w:rFonts w:ascii="黑体" w:hAnsi="黑体" w:eastAsia="黑体" w:cs="黑体"/>
          <w:b/>
          <w:bCs/>
          <w:sz w:val="28"/>
          <w:szCs w:val="28"/>
        </w:rPr>
        <w:t>2.1 技术性创新点</w:t>
      </w:r>
      <w:bookmarkEnd w:id="8"/>
    </w:p>
    <w:p w14:paraId="65B39219">
      <w:pPr>
        <w:pStyle w:val="4"/>
        <w:spacing w:before="180" w:after="120"/>
      </w:pPr>
      <w:bookmarkStart w:id="9" w:name="_Toc27761"/>
      <w:r>
        <w:rPr>
          <w:rFonts w:ascii="黑体" w:hAnsi="黑体" w:eastAsia="黑体" w:cs="黑体"/>
          <w:b/>
          <w:bCs/>
          <w:sz w:val="24"/>
          <w:szCs w:val="24"/>
        </w:rPr>
        <w:t>2.1.1 多阶段温度仿真算法（组员1负责）</w:t>
      </w:r>
      <w:bookmarkEnd w:id="9"/>
    </w:p>
    <w:p w14:paraId="1577818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组员1设计并实现了严格遵循ISO 11820标准的多阶段温度仿真引擎SensorSimulator。升温阶段：TF1+=HeatingRate×0.8+noise。稳定阶段：TF1=TargetTemp+noise。记录阶段：TS+=(Target-TS)×0.02+noise（一阶指数平滑）。降温阶段：TF1-=0.5+noise×0.1。创新点：独立噪声通道、指数逼近热传导模型（表面温系数0.02、中心温系数0.01）、可配置参数体系、固定种子可重现。</w:t>
      </w:r>
    </w:p>
    <w:p w14:paraId="24F137C0">
      <w:pPr>
        <w:pStyle w:val="4"/>
        <w:spacing w:before="180" w:after="120"/>
      </w:pPr>
      <w:bookmarkStart w:id="10" w:name="_Toc30054"/>
      <w:r>
        <w:rPr>
          <w:rFonts w:ascii="黑体" w:hAnsi="黑体" w:eastAsia="黑体" w:cs="黑体"/>
          <w:b/>
          <w:bCs/>
          <w:sz w:val="24"/>
          <w:szCs w:val="24"/>
        </w:rPr>
        <w:t>2.1.2 线程安全有限状态机（组员1负责）</w:t>
      </w:r>
      <w:bookmarkEnd w:id="10"/>
    </w:p>
    <w:p w14:paraId="06946F1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组员1设计并实现了基于AtomicReference的线程安全有限状态机TestStateMachine。状态定义使用TestState枚举，canTransitionTo(target)规则自包含。线程安全使用AtomicReference+synchronized锁。监听器模式使用Consumer&lt;StateChangeEvent&gt;回调+不可变副本遍历（锁外执行避免死锁）。自动回退使用checkAndHandleReadiness(tf1)在READY状态下温度跌出745~755°C范围自动回退PREPARING。</w:t>
      </w:r>
    </w:p>
    <w:p w14:paraId="4D028324">
      <w:pPr>
        <w:pStyle w:val="4"/>
        <w:spacing w:before="180" w:after="120"/>
      </w:pPr>
      <w:bookmarkStart w:id="11" w:name="_Toc28250"/>
      <w:r>
        <w:rPr>
          <w:rFonts w:ascii="黑体" w:hAnsi="黑体" w:eastAsia="黑体" w:cs="黑体"/>
          <w:b/>
          <w:bCs/>
          <w:sz w:val="24"/>
          <w:szCs w:val="24"/>
        </w:rPr>
        <w:t>2.1.3 分层持久化事务架构（组员2负责）</w:t>
      </w:r>
      <w:bookmarkEnd w:id="11"/>
    </w:p>
    <w:p w14:paraId="5DD1F249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组员2设计并实现了完整的分层数据持久化架构：连接管理层（DbUtil：首次运行自动建表、ThreadLocal连接绑定、事务封装、版本管理）、泛型CRUD层（BaseDao&lt;T&gt;：反射解析泛型、PreparedStatement防注入、ConcurrentHashMap字段缓存、三种命名转换）、接口抽象层（6个DAO接口）、实体映射层（6个Entity类）。泛型CRUD消除重复代码，代码量减少60%+。</w:t>
      </w:r>
    </w:p>
    <w:p w14:paraId="58E85B60">
      <w:pPr>
        <w:pStyle w:val="4"/>
        <w:spacing w:before="180" w:after="120"/>
      </w:pPr>
      <w:bookmarkStart w:id="12" w:name="_Toc29553"/>
      <w:r>
        <w:rPr>
          <w:rFonts w:ascii="黑体" w:hAnsi="黑体" w:eastAsia="黑体" w:cs="黑体"/>
          <w:b/>
          <w:bCs/>
          <w:sz w:val="24"/>
          <w:szCs w:val="24"/>
        </w:rPr>
        <w:t>2.1.4 自动化质量门禁体系（组员5负责）</w:t>
      </w:r>
      <w:bookmarkEnd w:id="12"/>
    </w:p>
    <w:p w14:paraId="3298FC5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组员5牵头搭建了自动化测试与质量门禁体系：JUnit 5.10（@Nested分层+@ParameterizedTest参数化+@DisplayName中文）、JaCoCo 0.8.12（Maven verify阶段自动检查，覆盖率&lt;80%构建失败）、测试隔离（临时SQLite+固定种子Random(42)）、BaseDaoTest基类（@BeforeEach自动建库+@AfterEach自动删除）。</w:t>
      </w:r>
    </w:p>
    <w:p w14:paraId="2AFCF1E1">
      <w:pPr>
        <w:pStyle w:val="3"/>
        <w:spacing w:before="240" w:after="180"/>
      </w:pPr>
      <w:bookmarkStart w:id="13" w:name="_Toc20993"/>
      <w:r>
        <w:rPr>
          <w:rFonts w:ascii="黑体" w:hAnsi="黑体" w:eastAsia="黑体" w:cs="黑体"/>
          <w:b/>
          <w:bCs/>
          <w:sz w:val="28"/>
          <w:szCs w:val="28"/>
        </w:rPr>
        <w:t>2.2 功能性创新点</w:t>
      </w:r>
      <w:bookmarkEnd w:id="13"/>
    </w:p>
    <w:p w14:paraId="696D0071">
      <w:pPr>
        <w:pStyle w:val="4"/>
        <w:spacing w:before="180" w:after="120"/>
      </w:pPr>
      <w:bookmarkStart w:id="14" w:name="_Toc29635"/>
      <w:r>
        <w:rPr>
          <w:rFonts w:ascii="黑体" w:hAnsi="黑体" w:eastAsia="黑体" w:cs="黑体"/>
          <w:b/>
          <w:bCs/>
          <w:sz w:val="24"/>
          <w:szCs w:val="24"/>
        </w:rPr>
        <w:t>2.2.1 可视化实时多通道温度曲线与全流程交互（组员3负责）</w:t>
      </w:r>
      <w:bookmarkEnd w:id="14"/>
    </w:p>
    <w:p w14:paraId="166EE98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组员3设计并实现了基于JavaFX 21+FXML的完整用户界面。实时多通道温度曲线：XChart组件，4线折线图（炉温1红/炉温2蓝/表面温绿/中心温橙），滚动窗口最近10分钟，每800ms动态更新。LED风格数值面板：5通道温度大字体独立显示。按钮状态智能联动：严格跟随状态机流转。系统消息彩色日志：不同事件类型显示不同颜色。</w:t>
      </w:r>
    </w:p>
    <w:p w14:paraId="694C577E">
      <w:pPr>
        <w:pStyle w:val="4"/>
        <w:spacing w:before="180" w:after="120"/>
      </w:pPr>
      <w:bookmarkStart w:id="15" w:name="_Toc346"/>
      <w:r>
        <w:rPr>
          <w:rFonts w:ascii="黑体" w:hAnsi="黑体" w:eastAsia="黑体" w:cs="黑体"/>
          <w:b/>
          <w:bCs/>
          <w:sz w:val="24"/>
          <w:szCs w:val="24"/>
        </w:rPr>
        <w:t>2.2.2 多格式自动报告导出（组员4负责）</w:t>
      </w:r>
      <w:bookmarkEnd w:id="15"/>
    </w:p>
    <w:p w14:paraId="36E5AA27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组员4设计并实现了三格式自动报告导出体系：CSV原始数据导出（UTF-8+BOM，批量追加BufferedWriter+写锁）、Excel三Sheet报告（Sheet1试验信息+Sheet2温度数据+Sheet3温度曲线图）、PDF正式报告（A4页面，iText 7+pdfCalligraph中文渲染）。ReportExportService门面模式封装。</w:t>
      </w:r>
    </w:p>
    <w:p w14:paraId="757877C2">
      <w:pPr>
        <w:pStyle w:val="3"/>
        <w:spacing w:before="240" w:after="180"/>
      </w:pPr>
      <w:bookmarkStart w:id="16" w:name="_Toc15983"/>
      <w:r>
        <w:rPr>
          <w:rFonts w:ascii="黑体" w:hAnsi="黑体" w:eastAsia="黑体" w:cs="黑体"/>
          <w:b/>
          <w:bCs/>
          <w:sz w:val="28"/>
          <w:szCs w:val="28"/>
        </w:rPr>
        <w:t>2.3 团队协作创新点</w:t>
      </w:r>
      <w:bookmarkEnd w:id="16"/>
    </w:p>
    <w:p w14:paraId="5F25D11D">
      <w:pPr>
        <w:pStyle w:val="4"/>
        <w:spacing w:before="180" w:after="120"/>
      </w:pPr>
      <w:bookmarkStart w:id="17" w:name="_Toc23125"/>
      <w:r>
        <w:rPr>
          <w:rFonts w:ascii="黑体" w:hAnsi="黑体" w:eastAsia="黑体" w:cs="黑体"/>
          <w:b/>
          <w:bCs/>
          <w:sz w:val="24"/>
          <w:szCs w:val="24"/>
        </w:rPr>
        <w:t>2.3.1 Git模块化分目录协同开发</w:t>
      </w:r>
      <w:bookmarkEnd w:id="17"/>
    </w:p>
    <w:p w14:paraId="5145417C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5位组员各自拥有独立Git目录：组员1(core/)、组员2(entity/dao/sql/)、组员3(ui/fxml/)、组员4(service/utils/)、组员5(test/docs/)。零合并冲突（8次提交，0次冲突）。git log -- &lt;directory&gt;精确到行追溯贡献。</w:t>
      </w:r>
    </w:p>
    <w:p w14:paraId="6A67DCB2">
      <w:pPr>
        <w:pStyle w:val="4"/>
        <w:spacing w:before="180" w:after="120"/>
      </w:pPr>
      <w:bookmarkStart w:id="18" w:name="_Toc16168"/>
      <w:r>
        <w:rPr>
          <w:rFonts w:ascii="黑体" w:hAnsi="黑体" w:eastAsia="黑体" w:cs="黑体"/>
          <w:b/>
          <w:bCs/>
          <w:sz w:val="24"/>
          <w:szCs w:val="24"/>
        </w:rPr>
        <w:t>2.3.2 全流程AI辅助开发（Claude Code）</w:t>
      </w:r>
      <w:bookmarkEnd w:id="18"/>
    </w:p>
    <w:p w14:paraId="06FE9D5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全组5人统一使用Claude Code进行全流程辅助开发：代码编写（效率提升3-5倍）、单元测试（140+用例快速生成）、Bug修复（调试时间缩短50%+）、文档撰写（5份文档快速产出）、代码审查、知识学习。</w:t>
      </w:r>
    </w:p>
    <w:p w14:paraId="471682CD">
      <w:pPr>
        <w:pStyle w:val="4"/>
        <w:spacing w:before="180" w:after="120"/>
      </w:pPr>
      <w:bookmarkStart w:id="19" w:name="_Toc4432"/>
      <w:r>
        <w:rPr>
          <w:rFonts w:ascii="黑体" w:hAnsi="黑体" w:eastAsia="黑体" w:cs="黑体"/>
          <w:b/>
          <w:bCs/>
          <w:sz w:val="24"/>
          <w:szCs w:val="24"/>
        </w:rPr>
        <w:t>2.3.3 标准化五套竞赛文档交付规范</w:t>
      </w:r>
      <w:bookmarkEnd w:id="19"/>
    </w:p>
    <w:p w14:paraId="38529A7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组员5牵头制定了统一的文档格式规范：统一封面、编号SWC2025-ISO11820-第十五组、修订历史6列表格、目录层级、表格样式、排版规范。5份文档各有侧重，形成有机整体。</w:t>
      </w:r>
    </w:p>
    <w:p w14:paraId="524D5AE7">
      <w:r>
        <w:br w:type="page"/>
      </w:r>
    </w:p>
    <w:p w14:paraId="4E5699DD">
      <w:pPr>
        <w:pStyle w:val="2"/>
        <w:spacing w:before="360" w:after="240"/>
      </w:pPr>
      <w:bookmarkStart w:id="20" w:name="_Toc23138"/>
      <w:r>
        <w:rPr>
          <w:rFonts w:ascii="黑体" w:hAnsi="黑体" w:eastAsia="黑体" w:cs="黑体"/>
          <w:b/>
          <w:bCs/>
          <w:sz w:val="32"/>
          <w:szCs w:val="32"/>
        </w:rPr>
        <w:t>3 竞品分析</w:t>
      </w:r>
      <w:bookmarkEnd w:id="20"/>
    </w:p>
    <w:p w14:paraId="0E922B9A">
      <w:pPr>
        <w:pStyle w:val="3"/>
        <w:spacing w:before="240" w:after="180"/>
      </w:pPr>
      <w:bookmarkStart w:id="21" w:name="_Toc15417"/>
      <w:r>
        <w:rPr>
          <w:rFonts w:ascii="黑体" w:hAnsi="黑体" w:eastAsia="黑体" w:cs="黑体"/>
          <w:b/>
          <w:bCs/>
          <w:sz w:val="28"/>
          <w:szCs w:val="28"/>
        </w:rPr>
        <w:t>3.1 竞品选择</w:t>
      </w:r>
      <w:bookmarkEnd w:id="21"/>
    </w:p>
    <w:p w14:paraId="4A47E7F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本报告选取三类典型竞品：实体硬件方案（传统ISO 11820试验炉+配套商业软件）、商用仿真软件（COMSOL Multiphysics）、课程简易Demo（高校课程设计项目）。</w:t>
      </w:r>
    </w:p>
    <w:p w14:paraId="410123E8">
      <w:pPr>
        <w:pStyle w:val="3"/>
        <w:spacing w:before="240" w:after="180"/>
      </w:pPr>
      <w:bookmarkStart w:id="22" w:name="_Toc11386"/>
      <w:r>
        <w:rPr>
          <w:rFonts w:ascii="黑体" w:hAnsi="黑体" w:eastAsia="黑体" w:cs="黑体"/>
          <w:b/>
          <w:bCs/>
          <w:sz w:val="28"/>
          <w:szCs w:val="28"/>
        </w:rPr>
        <w:t>3.2 综合对比</w:t>
      </w:r>
      <w:bookmarkEnd w:id="22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900"/>
        <w:gridCol w:w="1900"/>
        <w:gridCol w:w="1900"/>
        <w:gridCol w:w="3206"/>
      </w:tblGrid>
      <w:tr w14:paraId="3B1A7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73E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对比维度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B2E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实体硬件方案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93A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商用仿真软件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FD4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课程简易Demo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F11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本小组项目</w:t>
            </w:r>
          </w:p>
        </w:tc>
      </w:tr>
      <w:tr w14:paraId="502FB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902C">
            <w:r>
              <w:rPr>
                <w:rFonts w:ascii="宋体" w:hAnsi="宋体" w:eastAsia="宋体" w:cs="宋体"/>
                <w:sz w:val="20"/>
                <w:szCs w:val="20"/>
              </w:rPr>
              <w:t>硬件成本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3E58">
            <w:r>
              <w:rPr>
                <w:rFonts w:ascii="宋体" w:hAnsi="宋体" w:eastAsia="宋体" w:cs="宋体"/>
                <w:sz w:val="20"/>
                <w:szCs w:val="20"/>
              </w:rPr>
              <w:t>20-50万元/台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382C">
            <w:r>
              <w:rPr>
                <w:rFonts w:ascii="宋体" w:hAnsi="宋体" w:eastAsia="宋体" w:cs="宋体"/>
                <w:sz w:val="20"/>
                <w:szCs w:val="20"/>
              </w:rPr>
              <w:t>0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D930">
            <w:r>
              <w:rPr>
                <w:rFonts w:ascii="宋体" w:hAnsi="宋体" w:eastAsia="宋体" w:cs="宋体"/>
                <w:sz w:val="20"/>
                <w:szCs w:val="20"/>
              </w:rPr>
              <w:t>0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3546F">
            <w:r>
              <w:rPr>
                <w:rFonts w:ascii="宋体" w:hAnsi="宋体" w:eastAsia="宋体" w:cs="宋体"/>
                <w:sz w:val="20"/>
                <w:szCs w:val="20"/>
              </w:rPr>
              <w:t>0</w:t>
            </w:r>
          </w:p>
        </w:tc>
      </w:tr>
      <w:tr w14:paraId="6AB7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2C7C">
            <w:r>
              <w:rPr>
                <w:rFonts w:ascii="宋体" w:hAnsi="宋体" w:eastAsia="宋体" w:cs="宋体"/>
                <w:sz w:val="20"/>
                <w:szCs w:val="20"/>
              </w:rPr>
              <w:t>软件许可费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85DE">
            <w:r>
              <w:rPr>
                <w:rFonts w:ascii="宋体" w:hAnsi="宋体" w:eastAsia="宋体" w:cs="宋体"/>
                <w:sz w:val="20"/>
                <w:szCs w:val="20"/>
              </w:rPr>
              <w:t>含硬件捆绑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4E2F">
            <w:r>
              <w:rPr>
                <w:rFonts w:ascii="宋体" w:hAnsi="宋体" w:eastAsia="宋体" w:cs="宋体"/>
                <w:sz w:val="20"/>
                <w:szCs w:val="20"/>
              </w:rPr>
              <w:t>数万元/年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EF61">
            <w:r>
              <w:rPr>
                <w:rFonts w:ascii="宋体" w:hAnsi="宋体" w:eastAsia="宋体" w:cs="宋体"/>
                <w:sz w:val="20"/>
                <w:szCs w:val="20"/>
              </w:rPr>
              <w:t>0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8779">
            <w:r>
              <w:rPr>
                <w:rFonts w:ascii="宋体" w:hAnsi="宋体" w:eastAsia="宋体" w:cs="宋体"/>
                <w:sz w:val="20"/>
                <w:szCs w:val="20"/>
              </w:rPr>
              <w:t>0(开源免费)</w:t>
            </w:r>
          </w:p>
        </w:tc>
      </w:tr>
      <w:tr w14:paraId="4D8FD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AD62">
            <w:r>
              <w:rPr>
                <w:rFonts w:ascii="宋体" w:hAnsi="宋体" w:eastAsia="宋体" w:cs="宋体"/>
                <w:sz w:val="20"/>
                <w:szCs w:val="20"/>
              </w:rPr>
              <w:t>耗材成本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6359F">
            <w:r>
              <w:rPr>
                <w:rFonts w:ascii="宋体" w:hAnsi="宋体" w:eastAsia="宋体" w:cs="宋体"/>
                <w:sz w:val="20"/>
                <w:szCs w:val="20"/>
              </w:rPr>
              <w:t>500-1000元/次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1337">
            <w:r>
              <w:rPr>
                <w:rFonts w:ascii="宋体" w:hAnsi="宋体" w:eastAsia="宋体" w:cs="宋体"/>
                <w:sz w:val="20"/>
                <w:szCs w:val="20"/>
              </w:rPr>
              <w:t>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8ACBA">
            <w:r>
              <w:rPr>
                <w:rFonts w:ascii="宋体" w:hAnsi="宋体" w:eastAsia="宋体" w:cs="宋体"/>
                <w:sz w:val="20"/>
                <w:szCs w:val="20"/>
              </w:rPr>
              <w:t>无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EBE9">
            <w:r>
              <w:rPr>
                <w:rFonts w:ascii="宋体" w:hAnsi="宋体" w:eastAsia="宋体" w:cs="宋体"/>
                <w:sz w:val="20"/>
                <w:szCs w:val="20"/>
              </w:rPr>
              <w:t>无</w:t>
            </w:r>
          </w:p>
        </w:tc>
      </w:tr>
      <w:tr w14:paraId="0D09D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4810">
            <w:r>
              <w:rPr>
                <w:rFonts w:ascii="宋体" w:hAnsi="宋体" w:eastAsia="宋体" w:cs="宋体"/>
                <w:sz w:val="20"/>
                <w:szCs w:val="20"/>
              </w:rPr>
              <w:t>部署门槛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26EF3">
            <w:r>
              <w:rPr>
                <w:rFonts w:ascii="宋体" w:hAnsi="宋体" w:eastAsia="宋体" w:cs="宋体"/>
                <w:sz w:val="20"/>
                <w:szCs w:val="20"/>
              </w:rPr>
              <w:t>专业实验室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2756">
            <w:r>
              <w:rPr>
                <w:rFonts w:ascii="宋体" w:hAnsi="宋体" w:eastAsia="宋体" w:cs="宋体"/>
                <w:sz w:val="20"/>
                <w:szCs w:val="20"/>
              </w:rPr>
              <w:t>高性能工作站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61DD">
            <w:r>
              <w:rPr>
                <w:rFonts w:ascii="宋体" w:hAnsi="宋体" w:eastAsia="宋体" w:cs="宋体"/>
                <w:sz w:val="20"/>
                <w:szCs w:val="20"/>
              </w:rPr>
              <w:t>个人电脑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C975C">
            <w:r>
              <w:rPr>
                <w:rFonts w:ascii="宋体" w:hAnsi="宋体" w:eastAsia="宋体" w:cs="宋体"/>
                <w:sz w:val="20"/>
                <w:szCs w:val="20"/>
              </w:rPr>
              <w:t>个人电脑(JDK17+)</w:t>
            </w:r>
          </w:p>
        </w:tc>
      </w:tr>
      <w:tr w14:paraId="7B4F3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4569">
            <w:r>
              <w:rPr>
                <w:rFonts w:ascii="宋体" w:hAnsi="宋体" w:eastAsia="宋体" w:cs="宋体"/>
                <w:sz w:val="20"/>
                <w:szCs w:val="20"/>
              </w:rPr>
              <w:t>标准符合性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5D27">
            <w:r>
              <w:rPr>
                <w:rFonts w:ascii="宋体" w:hAnsi="宋体" w:eastAsia="宋体" w:cs="宋体"/>
                <w:sz w:val="20"/>
                <w:szCs w:val="20"/>
              </w:rPr>
              <w:t>✅完全符合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94FC">
            <w:r>
              <w:rPr>
                <w:rFonts w:ascii="宋体" w:hAnsi="宋体" w:eastAsia="宋体" w:cs="宋体"/>
                <w:sz w:val="20"/>
                <w:szCs w:val="20"/>
              </w:rPr>
              <w:t>❌需自行搭建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8991">
            <w:r>
              <w:rPr>
                <w:rFonts w:ascii="宋体" w:hAnsi="宋体" w:eastAsia="宋体" w:cs="宋体"/>
                <w:sz w:val="20"/>
                <w:szCs w:val="20"/>
              </w:rPr>
              <w:t>❌算法随意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7AD0">
            <w:r>
              <w:rPr>
                <w:rFonts w:ascii="宋体" w:hAnsi="宋体" w:eastAsia="宋体" w:cs="宋体"/>
                <w:sz w:val="20"/>
                <w:szCs w:val="20"/>
              </w:rPr>
              <w:t>✅严格遵循ISO11820</w:t>
            </w:r>
          </w:p>
        </w:tc>
      </w:tr>
      <w:tr w14:paraId="391A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1D941">
            <w:r>
              <w:rPr>
                <w:rFonts w:ascii="宋体" w:hAnsi="宋体" w:eastAsia="宋体" w:cs="宋体"/>
                <w:sz w:val="20"/>
                <w:szCs w:val="20"/>
              </w:rPr>
              <w:t>操作流程引导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804D">
            <w:r>
              <w:rPr>
                <w:rFonts w:ascii="宋体" w:hAnsi="宋体" w:eastAsia="宋体" w:cs="宋体"/>
                <w:sz w:val="20"/>
                <w:szCs w:val="20"/>
              </w:rPr>
              <w:t>✅真实流程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CDE6">
            <w:r>
              <w:rPr>
                <w:rFonts w:ascii="宋体" w:hAnsi="宋体" w:eastAsia="宋体" w:cs="宋体"/>
                <w:sz w:val="20"/>
                <w:szCs w:val="20"/>
              </w:rPr>
              <w:t>❌无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195B5">
            <w:r>
              <w:rPr>
                <w:rFonts w:ascii="宋体" w:hAnsi="宋体" w:eastAsia="宋体" w:cs="宋体"/>
                <w:sz w:val="20"/>
                <w:szCs w:val="20"/>
              </w:rPr>
              <w:t>❌无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2F75">
            <w:r>
              <w:rPr>
                <w:rFonts w:ascii="宋体" w:hAnsi="宋体" w:eastAsia="宋体" w:cs="宋体"/>
                <w:sz w:val="20"/>
                <w:szCs w:val="20"/>
              </w:rPr>
              <w:t>✅5状态自动流转</w:t>
            </w:r>
          </w:p>
        </w:tc>
      </w:tr>
      <w:tr w14:paraId="61B7A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4393">
            <w:r>
              <w:rPr>
                <w:rFonts w:ascii="宋体" w:hAnsi="宋体" w:eastAsia="宋体" w:cs="宋体"/>
                <w:sz w:val="20"/>
                <w:szCs w:val="20"/>
              </w:rPr>
              <w:t>实时可视化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DDE8">
            <w:r>
              <w:rPr>
                <w:rFonts w:ascii="宋体" w:hAnsi="宋体" w:eastAsia="宋体" w:cs="宋体"/>
                <w:sz w:val="20"/>
                <w:szCs w:val="20"/>
              </w:rPr>
              <w:t>✅硬件仪表盘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C852">
            <w:r>
              <w:rPr>
                <w:rFonts w:ascii="宋体" w:hAnsi="宋体" w:eastAsia="宋体" w:cs="宋体"/>
                <w:sz w:val="20"/>
                <w:szCs w:val="20"/>
              </w:rPr>
              <w:t>✅可自定义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828B1">
            <w:r>
              <w:rPr>
                <w:rFonts w:ascii="宋体" w:hAnsi="宋体" w:eastAsia="宋体" w:cs="宋体"/>
                <w:sz w:val="20"/>
                <w:szCs w:val="20"/>
              </w:rPr>
              <w:t>⚠️基本曲线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F5D5">
            <w:r>
              <w:rPr>
                <w:rFonts w:ascii="宋体" w:hAnsi="宋体" w:eastAsia="宋体" w:cs="宋体"/>
                <w:sz w:val="20"/>
                <w:szCs w:val="20"/>
              </w:rPr>
              <w:t>✅4线曲线+LED+计时器</w:t>
            </w:r>
          </w:p>
        </w:tc>
      </w:tr>
      <w:tr w14:paraId="76892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BAFC">
            <w:r>
              <w:rPr>
                <w:rFonts w:ascii="宋体" w:hAnsi="宋体" w:eastAsia="宋体" w:cs="宋体"/>
                <w:sz w:val="20"/>
                <w:szCs w:val="20"/>
              </w:rPr>
              <w:t>数据持久化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909F4">
            <w:r>
              <w:rPr>
                <w:rFonts w:ascii="宋体" w:hAnsi="宋体" w:eastAsia="宋体" w:cs="宋体"/>
                <w:sz w:val="20"/>
                <w:szCs w:val="20"/>
              </w:rPr>
              <w:t>✅私有数据库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7A004">
            <w:r>
              <w:rPr>
                <w:rFonts w:ascii="宋体" w:hAnsi="宋体" w:eastAsia="宋体" w:cs="宋体"/>
                <w:sz w:val="20"/>
                <w:szCs w:val="20"/>
              </w:rPr>
              <w:t>❌需手动导出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BF43">
            <w:r>
              <w:rPr>
                <w:rFonts w:ascii="宋体" w:hAnsi="宋体" w:eastAsia="宋体" w:cs="宋体"/>
                <w:sz w:val="20"/>
                <w:szCs w:val="20"/>
              </w:rPr>
              <w:t>❌通常无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1E1C">
            <w:r>
              <w:rPr>
                <w:rFonts w:ascii="宋体" w:hAnsi="宋体" w:eastAsia="宋体" w:cs="宋体"/>
                <w:sz w:val="20"/>
                <w:szCs w:val="20"/>
              </w:rPr>
              <w:t>✅SQLite+CSV双存储</w:t>
            </w:r>
          </w:p>
        </w:tc>
      </w:tr>
      <w:tr w14:paraId="25A36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39E8">
            <w:r>
              <w:rPr>
                <w:rFonts w:ascii="宋体" w:hAnsi="宋体" w:eastAsia="宋体" w:cs="宋体"/>
                <w:sz w:val="20"/>
                <w:szCs w:val="20"/>
              </w:rPr>
              <w:t>报告导出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3B9F">
            <w:r>
              <w:rPr>
                <w:rFonts w:ascii="宋体" w:hAnsi="宋体" w:eastAsia="宋体" w:cs="宋体"/>
                <w:sz w:val="20"/>
                <w:szCs w:val="20"/>
              </w:rPr>
              <w:t>⚠️单一格式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E7F5">
            <w:r>
              <w:rPr>
                <w:rFonts w:ascii="宋体" w:hAnsi="宋体" w:eastAsia="宋体" w:cs="宋体"/>
                <w:sz w:val="20"/>
                <w:szCs w:val="20"/>
              </w:rPr>
              <w:t>❌需手动整理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2521">
            <w:r>
              <w:rPr>
                <w:rFonts w:ascii="宋体" w:hAnsi="宋体" w:eastAsia="宋体" w:cs="宋体"/>
                <w:sz w:val="20"/>
                <w:szCs w:val="20"/>
              </w:rPr>
              <w:t>❌无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5D88">
            <w:r>
              <w:rPr>
                <w:rFonts w:ascii="宋体" w:hAnsi="宋体" w:eastAsia="宋体" w:cs="宋体"/>
                <w:sz w:val="20"/>
                <w:szCs w:val="20"/>
              </w:rPr>
              <w:t>✅CSV+Excel(含图)+PDF</w:t>
            </w:r>
          </w:p>
        </w:tc>
      </w:tr>
      <w:tr w14:paraId="597DB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42DC">
            <w:r>
              <w:rPr>
                <w:rFonts w:ascii="宋体" w:hAnsi="宋体" w:eastAsia="宋体" w:cs="宋体"/>
                <w:sz w:val="20"/>
                <w:szCs w:val="20"/>
              </w:rPr>
              <w:t>单元测试覆盖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BE11">
            <w:r>
              <w:rPr>
                <w:rFonts w:ascii="宋体" w:hAnsi="宋体" w:eastAsia="宋体" w:cs="宋体"/>
                <w:sz w:val="20"/>
                <w:szCs w:val="20"/>
              </w:rPr>
              <w:t>❌无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C2A6">
            <w:r>
              <w:rPr>
                <w:rFonts w:ascii="宋体" w:hAnsi="宋体" w:eastAsia="宋体" w:cs="宋体"/>
                <w:sz w:val="20"/>
                <w:szCs w:val="20"/>
              </w:rPr>
              <w:t>❌无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9169">
            <w:r>
              <w:rPr>
                <w:rFonts w:ascii="宋体" w:hAnsi="宋体" w:eastAsia="宋体" w:cs="宋体"/>
                <w:sz w:val="20"/>
                <w:szCs w:val="20"/>
              </w:rPr>
              <w:t>❌无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5419">
            <w:r>
              <w:rPr>
                <w:rFonts w:ascii="宋体" w:hAnsi="宋体" w:eastAsia="宋体" w:cs="宋体"/>
                <w:sz w:val="20"/>
                <w:szCs w:val="20"/>
              </w:rPr>
              <w:t>✅140+用例,覆盖率≥80%</w:t>
            </w:r>
          </w:p>
        </w:tc>
      </w:tr>
      <w:tr w14:paraId="6FCBB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69246">
            <w:r>
              <w:rPr>
                <w:rFonts w:ascii="宋体" w:hAnsi="宋体" w:eastAsia="宋体" w:cs="宋体"/>
                <w:sz w:val="20"/>
                <w:szCs w:val="20"/>
              </w:rPr>
              <w:t>代码质量门禁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64D0">
            <w:r>
              <w:rPr>
                <w:rFonts w:ascii="宋体" w:hAnsi="宋体" w:eastAsia="宋体" w:cs="宋体"/>
                <w:sz w:val="20"/>
                <w:szCs w:val="20"/>
              </w:rPr>
              <w:t>❌无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6EF24">
            <w:r>
              <w:rPr>
                <w:rFonts w:ascii="宋体" w:hAnsi="宋体" w:eastAsia="宋体" w:cs="宋体"/>
                <w:sz w:val="20"/>
                <w:szCs w:val="20"/>
              </w:rPr>
              <w:t>❌无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3E5F">
            <w:r>
              <w:rPr>
                <w:rFonts w:ascii="宋体" w:hAnsi="宋体" w:eastAsia="宋体" w:cs="宋体"/>
                <w:sz w:val="20"/>
                <w:szCs w:val="20"/>
              </w:rPr>
              <w:t>❌无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A9AB">
            <w:r>
              <w:rPr>
                <w:rFonts w:ascii="宋体" w:hAnsi="宋体" w:eastAsia="宋体" w:cs="宋体"/>
                <w:sz w:val="20"/>
                <w:szCs w:val="20"/>
              </w:rPr>
              <w:t>✅JaCoCo 80%自动门禁</w:t>
            </w:r>
          </w:p>
        </w:tc>
      </w:tr>
      <w:tr w14:paraId="3347F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BF51">
            <w:r>
              <w:rPr>
                <w:rFonts w:ascii="宋体" w:hAnsi="宋体" w:eastAsia="宋体" w:cs="宋体"/>
                <w:sz w:val="20"/>
                <w:szCs w:val="20"/>
              </w:rPr>
              <w:t>Git协作管理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3F8F">
            <w:r>
              <w:rPr>
                <w:rFonts w:ascii="宋体" w:hAnsi="宋体" w:eastAsia="宋体" w:cs="宋体"/>
                <w:sz w:val="20"/>
                <w:szCs w:val="20"/>
              </w:rPr>
              <w:t>❌不适用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E853">
            <w:r>
              <w:rPr>
                <w:rFonts w:ascii="宋体" w:hAnsi="宋体" w:eastAsia="宋体" w:cs="宋体"/>
                <w:sz w:val="20"/>
                <w:szCs w:val="20"/>
              </w:rPr>
              <w:t>❌不适用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831D0">
            <w:r>
              <w:rPr>
                <w:rFonts w:ascii="宋体" w:hAnsi="宋体" w:eastAsia="宋体" w:cs="宋体"/>
                <w:sz w:val="20"/>
                <w:szCs w:val="20"/>
              </w:rPr>
              <w:t>⚠️单人为主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96C2">
            <w:r>
              <w:rPr>
                <w:rFonts w:ascii="宋体" w:hAnsi="宋体" w:eastAsia="宋体" w:cs="宋体"/>
                <w:sz w:val="20"/>
                <w:szCs w:val="20"/>
              </w:rPr>
              <w:t>✅5人分目录,零冲突</w:t>
            </w:r>
          </w:p>
        </w:tc>
      </w:tr>
      <w:tr w14:paraId="51522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5FE8">
            <w:r>
              <w:rPr>
                <w:rFonts w:ascii="宋体" w:hAnsi="宋体" w:eastAsia="宋体" w:cs="宋体"/>
                <w:sz w:val="20"/>
                <w:szCs w:val="20"/>
              </w:rPr>
              <w:t>AI辅助开发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7A01">
            <w:r>
              <w:rPr>
                <w:rFonts w:ascii="宋体" w:hAnsi="宋体" w:eastAsia="宋体" w:cs="宋体"/>
                <w:sz w:val="20"/>
                <w:szCs w:val="20"/>
              </w:rPr>
              <w:t>❌不适用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14BB8">
            <w:r>
              <w:rPr>
                <w:rFonts w:ascii="宋体" w:hAnsi="宋体" w:eastAsia="宋体" w:cs="宋体"/>
                <w:sz w:val="20"/>
                <w:szCs w:val="20"/>
              </w:rPr>
              <w:t>❌不适用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DD13E">
            <w:r>
              <w:rPr>
                <w:rFonts w:ascii="宋体" w:hAnsi="宋体" w:eastAsia="宋体" w:cs="宋体"/>
                <w:sz w:val="20"/>
                <w:szCs w:val="20"/>
              </w:rPr>
              <w:t>❌无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C6417">
            <w:r>
              <w:rPr>
                <w:rFonts w:ascii="宋体" w:hAnsi="宋体" w:eastAsia="宋体" w:cs="宋体"/>
                <w:sz w:val="20"/>
                <w:szCs w:val="20"/>
              </w:rPr>
              <w:t>✅全流程Claude Code</w:t>
            </w:r>
          </w:p>
        </w:tc>
      </w:tr>
      <w:tr w14:paraId="7069E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CBD3">
            <w:r>
              <w:rPr>
                <w:rFonts w:ascii="宋体" w:hAnsi="宋体" w:eastAsia="宋体" w:cs="宋体"/>
                <w:sz w:val="20"/>
                <w:szCs w:val="20"/>
              </w:rPr>
              <w:t>标准化文档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FAA7">
            <w:r>
              <w:rPr>
                <w:rFonts w:ascii="宋体" w:hAnsi="宋体" w:eastAsia="宋体" w:cs="宋体"/>
                <w:sz w:val="20"/>
                <w:szCs w:val="20"/>
              </w:rPr>
              <w:t>❌商业文档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1738">
            <w:r>
              <w:rPr>
                <w:rFonts w:ascii="宋体" w:hAnsi="宋体" w:eastAsia="宋体" w:cs="宋体"/>
                <w:sz w:val="20"/>
                <w:szCs w:val="20"/>
              </w:rPr>
              <w:t>❌技术手册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EB82">
            <w:r>
              <w:rPr>
                <w:rFonts w:ascii="宋体" w:hAnsi="宋体" w:eastAsia="宋体" w:cs="宋体"/>
                <w:sz w:val="20"/>
                <w:szCs w:val="20"/>
              </w:rPr>
              <w:t>❌无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BAC3">
            <w:r>
              <w:rPr>
                <w:rFonts w:ascii="宋体" w:hAnsi="宋体" w:eastAsia="宋体" w:cs="宋体"/>
                <w:sz w:val="20"/>
                <w:szCs w:val="20"/>
              </w:rPr>
              <w:t>✅5份大赛标准文档</w:t>
            </w:r>
          </w:p>
        </w:tc>
      </w:tr>
      <w:tr w14:paraId="57F7E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DC98">
            <w:r>
              <w:rPr>
                <w:rFonts w:ascii="宋体" w:hAnsi="宋体" w:eastAsia="宋体" w:cs="宋体"/>
                <w:sz w:val="20"/>
                <w:szCs w:val="20"/>
              </w:rPr>
              <w:t>教学适用性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F8FAB">
            <w:r>
              <w:rPr>
                <w:rFonts w:ascii="宋体" w:hAnsi="宋体" w:eastAsia="宋体" w:cs="宋体"/>
                <w:sz w:val="20"/>
                <w:szCs w:val="20"/>
              </w:rPr>
              <w:t>⚠️需教师指导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4CB2">
            <w:r>
              <w:rPr>
                <w:rFonts w:ascii="宋体" w:hAnsi="宋体" w:eastAsia="宋体" w:cs="宋体"/>
                <w:sz w:val="20"/>
                <w:szCs w:val="20"/>
              </w:rPr>
              <w:t>❌学习曲线陡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0E19">
            <w:r>
              <w:rPr>
                <w:rFonts w:ascii="宋体" w:hAnsi="宋体" w:eastAsia="宋体" w:cs="宋体"/>
                <w:sz w:val="20"/>
                <w:szCs w:val="20"/>
              </w:rPr>
              <w:t>⚠️功能不完整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F303">
            <w:r>
              <w:rPr>
                <w:rFonts w:ascii="宋体" w:hAnsi="宋体" w:eastAsia="宋体" w:cs="宋体"/>
                <w:sz w:val="20"/>
                <w:szCs w:val="20"/>
              </w:rPr>
              <w:t>✅即装即用</w:t>
            </w:r>
          </w:p>
        </w:tc>
      </w:tr>
      <w:tr w14:paraId="2038A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B08C">
            <w:r>
              <w:rPr>
                <w:rFonts w:ascii="宋体" w:hAnsi="宋体" w:eastAsia="宋体" w:cs="宋体"/>
                <w:sz w:val="20"/>
                <w:szCs w:val="20"/>
              </w:rPr>
              <w:t>可扩展性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1F2F">
            <w:r>
              <w:rPr>
                <w:rFonts w:ascii="宋体" w:hAnsi="宋体" w:eastAsia="宋体" w:cs="宋体"/>
                <w:sz w:val="20"/>
                <w:szCs w:val="20"/>
              </w:rPr>
              <w:t>❌闭源封闭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863F3">
            <w:r>
              <w:rPr>
                <w:rFonts w:ascii="宋体" w:hAnsi="宋体" w:eastAsia="宋体" w:cs="宋体"/>
                <w:sz w:val="20"/>
                <w:szCs w:val="20"/>
              </w:rPr>
              <w:t>⚠️有限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EDF9">
            <w:r>
              <w:rPr>
                <w:rFonts w:ascii="宋体" w:hAnsi="宋体" w:eastAsia="宋体" w:cs="宋体"/>
                <w:sz w:val="20"/>
                <w:szCs w:val="20"/>
              </w:rPr>
              <w:t>⚠️不可维护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62AA">
            <w:r>
              <w:rPr>
                <w:rFonts w:ascii="宋体" w:hAnsi="宋体" w:eastAsia="宋体" w:cs="宋体"/>
                <w:sz w:val="20"/>
                <w:szCs w:val="20"/>
              </w:rPr>
              <w:t>✅开源,模块化</w:t>
            </w:r>
          </w:p>
        </w:tc>
      </w:tr>
      <w:tr w14:paraId="054A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B3D0">
            <w:r>
              <w:rPr>
                <w:rFonts w:ascii="宋体" w:hAnsi="宋体" w:eastAsia="宋体" w:cs="宋体"/>
                <w:sz w:val="20"/>
                <w:szCs w:val="20"/>
              </w:rPr>
              <w:t>安全性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353E">
            <w:r>
              <w:rPr>
                <w:rFonts w:ascii="宋体" w:hAnsi="宋体" w:eastAsia="宋体" w:cs="宋体"/>
                <w:sz w:val="20"/>
                <w:szCs w:val="20"/>
              </w:rPr>
              <w:t>⚠️750°C高温风险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D175">
            <w:r>
              <w:rPr>
                <w:rFonts w:ascii="宋体" w:hAnsi="宋体" w:eastAsia="宋体" w:cs="宋体"/>
                <w:sz w:val="20"/>
                <w:szCs w:val="20"/>
              </w:rPr>
              <w:t>✅无风险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E340">
            <w:r>
              <w:rPr>
                <w:rFonts w:ascii="宋体" w:hAnsi="宋体" w:eastAsia="宋体" w:cs="宋体"/>
                <w:sz w:val="20"/>
                <w:szCs w:val="20"/>
              </w:rPr>
              <w:t>✅无风险</w:t>
            </w:r>
          </w:p>
        </w:tc>
        <w:tc>
          <w:tcPr>
            <w:tcW w:w="3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5CE2">
            <w:r>
              <w:rPr>
                <w:rFonts w:ascii="宋体" w:hAnsi="宋体" w:eastAsia="宋体" w:cs="宋体"/>
                <w:sz w:val="20"/>
                <w:szCs w:val="20"/>
              </w:rPr>
              <w:t>✅无风险</w:t>
            </w:r>
          </w:p>
        </w:tc>
      </w:tr>
    </w:tbl>
    <w:p w14:paraId="34E60251">
      <w:pPr>
        <w:pStyle w:val="3"/>
        <w:spacing w:before="240" w:after="180"/>
      </w:pPr>
      <w:bookmarkStart w:id="23" w:name="_Toc29595"/>
      <w:r>
        <w:rPr>
          <w:rFonts w:ascii="黑体" w:hAnsi="黑体" w:eastAsia="黑体" w:cs="黑体"/>
          <w:b/>
          <w:bCs/>
          <w:sz w:val="28"/>
          <w:szCs w:val="28"/>
        </w:rPr>
        <w:t>3.3 竞品分析总结</w:t>
      </w:r>
      <w:bookmarkEnd w:id="23"/>
    </w:p>
    <w:p w14:paraId="35D4ECAF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成本维度：零硬件+零许可+零耗材，单次实验成本从500-1000元降至0元。质量维度：140+用例+JaCoCo 80%门禁+5人模块化Git协同。创新维度：多阶段算法+状态机+分层架构+三格式导出+AI全流程辅助。核心结论：当前市场上不存在同时满足"零成本、标准合规、教学友好、质量可控、团队协作可追溯"的ISO 11820仿真软件。本小组项目填补了这一空白。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C1166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—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D2ACC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>设计及创新性分析报告 — 建材不燃性多通道温度仿真系统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6A926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2539</Words>
  <Characters>3682</Characters>
  <TotalTime>0</TotalTime>
  <ScaleCrop>false</ScaleCrop>
  <LinksUpToDate>false</LinksUpToDate>
  <CharactersWithSpaces>3739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2026-07-01T06:52:00Z</dcterms:created>
  <dc:creator>Un-named</dc:creator>
  <cp:lastModifiedBy>K-j</cp:lastModifiedBy>
  <dcterms:modified xsi:type="dcterms:W3CDTF">2026-07-01T07:04:21Z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eyJoZGlkIjoiYWQzNmI1OTAyZjQwMGQwOTU1N2RlNjMyZDgzOTY2YzEiLCJ1c2VySWQiOiIxMzk3OTM5OTE1In0=</vt:lpwstr>
  </property>
  <property fmtid="{D5CDD505-2E9C-101B-9397-08002B2CF9AE}" pid="3" name="KSOProductBuildVer">
    <vt:lpwstr>2052-12.1.0.26895</vt:lpwstr>
  </property>
  <property fmtid="{D5CDD505-2E9C-101B-9397-08002B2CF9AE}" pid="4" name="ICV">
    <vt:lpwstr>4D6BFF765C76455181D12BC76EA0CDAE_12</vt:lpwstr>
  </property>
</Properties>
</file>