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1F3864"/>
          <w:sz w:val="44"/>
          <w:szCs w:val="44"/>
        </w:rPr>
        <w:t xml:space="preserve">MARKETPLACE DE SERVICIOS DEL HOGAR Y PROFESIONALES</w:t>
      </w:r>
    </w:p>
    <w:p>
      <w:pPr>
        <w:spacing w:after="600"/>
        <w:jc w:val="center"/>
      </w:pPr>
      <w:r>
        <w:rPr>
          <w:color w:val="2E75B6"/>
          <w:sz w:val="28"/>
          <w:szCs w:val="28"/>
        </w:rPr>
        <w:t xml:space="preserve">Investigación comparativa de plataformas líderes y diseño de un marketplace superior</w:t>
      </w:r>
    </w:p>
    <w:p>
      <w:pPr>
        <w:spacing w:after="200"/>
        <w:jc w:val="center"/>
      </w:pPr>
      <w:r>
        <w:rPr>
          <w:i/>
          <w:iCs/>
          <w:color w:val="595959"/>
          <w:sz w:val="24"/>
          <w:szCs w:val="24"/>
        </w:rPr>
        <w:t xml:space="preserve">Informe de consultoría estratégica</w:t>
      </w:r>
    </w:p>
    <w:p>
      <w:pPr>
        <w:jc w:val="center"/>
      </w:pPr>
      <w:r>
        <w:rPr>
          <w:color w:val="595959"/>
          <w:sz w:val="22"/>
          <w:szCs w:val="22"/>
        </w:rPr>
        <w:t xml:space="preserve">Preparado para: Fundador / Equipo de producto</w:t>
      </w:r>
    </w:p>
    <w:p>
      <w:pPr>
        <w:spacing w:after="1200"/>
        <w:jc w:val="center"/>
      </w:pPr>
      <w:r>
        <w:rPr>
          <w:color w:val="595959"/>
          <w:sz w:val="22"/>
          <w:szCs w:val="22"/>
        </w:rPr>
        <w:t xml:space="preserve">Julio de 2026</w:t>
      </w:r>
    </w:p>
    <w:p>
      <w:pPr>
        <w:jc w:val="center"/>
      </w:pPr>
      <w:r>
        <w:rPr>
          <w:i/>
          <w:iCs/>
          <w:color w:val="595959"/>
          <w:sz w:val="18"/>
          <w:szCs w:val="18"/>
        </w:rPr>
        <w:t xml:space="preserve">Este documento distingue entre información verificada mediante fuentes públicas (marcada [DATO]), opiniones recurrentes de usuarios (marcada [OPINIÓN]), mejores prácticas de mercado ([PRÁCTICA]) y recomendaciones propuestas por este análisis ([RECOMENDACIÓN]/[SUPUESTO] cuando requieren validación).</w:t>
      </w:r>
    </w:p>
    <w:p>
      <w:pPr>
        <w:pStyle w:val="Heading1"/>
        <w:pageBreakBefore/>
        <w:spacing w:after="160" w:before="360"/>
      </w:pPr>
      <w:r>
        <w:t xml:space="preserve">1. Resumen ejecutivo</w:t>
      </w:r>
    </w:p>
    <w:p>
      <w:pPr>
        <w:spacing w:after="160" w:line="276"/>
      </w:pPr>
      <w:r>
        <w:t xml:space="preserve">El mercado de marketplaces que conectan clientes con proveedores de servicios (hogar, mudanzas, belleza, mascotas, servicios profesionales, freelance digital) es grande, fragmentado y estructuralmente insatisfecho en ambos lados. Plataformas como Thumbtack, Angi/HomeAdvisor y Bark dominan mediante modelos de pago-por-lead compartido, mientras TaskRabbit, Fiverr y Upwork usan comisión sobre transacción. Ambos modelos generan fricciones recurrentes: los proveedores pagan por oportunidades que no controlan y que a menudo no se convierten en trabajo real, y los clientes reciben leads de baja calidad, sienten presión de venta agresiva o terminan pagando de más por intermediación poco transparente.</w:t>
      </w:r>
    </w:p>
    <w:p>
      <w:pPr>
        <w:spacing w:after="160" w:line="276"/>
      </w:pPr>
      <w:r>
        <w:t xml:space="preserve">La oportunidad para un nuevo entrante no está en copiar un modelo existente, sino en resolver el problema estructural común a casi todas las plataformas analizadas: el desalineamiento entre lo que cobra la plataforma y el valor real entregado. Un modelo de comisión sobre transacción confirmada y pagada (en vez de pago por lead no garantizado), combinado con protección de pago para ambas partes, verificación creíble y herramientas reales de gestión de negocio para el proveedor, puede capturar tanto a los proveedores hartos de Angi/Thumbtack como a los clientes hartos de recibir 5 llamadas simultáneas de vendedores agresivos.</w:t>
      </w:r>
    </w:p>
    <w:p>
      <w:pPr>
        <w:pStyle w:val="Heading2"/>
        <w:spacing w:after="120" w:before="260"/>
      </w:pPr>
      <w:r>
        <w:t xml:space="preserve">Hallazgos clave</w:t>
      </w:r>
    </w:p>
    <w:p>
      <w:pPr>
        <w:pStyle w:val="ListParagraph"/>
        <w:numPr>
          <w:ilvl w:val="0"/>
          <w:numId w:val="1"/>
        </w:numPr>
        <w:spacing w:after="80" w:line="264"/>
      </w:pPr>
      <w:r>
        <w:t xml:space="preserve">El pago-por-lead (Thumbtack, Angi, HomeAdvisor, Bark) es la fuente número uno de insatisfacción de proveedores: se paga por el contacto, no por el trabajo, y el mismo lead se vende a 3–8 competidores. [DATO/OPINIÓN — ampliamente documentado en reseñas de usuarios y estudios de la industria].</w:t>
      </w:r>
    </w:p>
    <w:p>
      <w:pPr>
        <w:pStyle w:val="ListParagraph"/>
        <w:numPr>
          <w:ilvl w:val="0"/>
          <w:numId w:val="1"/>
        </w:numPr>
        <w:spacing w:after="80" w:line="264"/>
      </w:pPr>
      <w:r>
        <w:t xml:space="preserve">La comisión sobre transacción (TaskRabbit ~15%, Upwork ~10%, Fiverr 20% fijo) alinea mejor los incentivos de la plataforma con el proveedor, pero puede sentirse cara en trabajos de bajo margen o alto volumen. [DATO]</w:t>
      </w:r>
    </w:p>
    <w:p>
      <w:pPr>
        <w:pStyle w:val="ListParagraph"/>
        <w:numPr>
          <w:ilvl w:val="0"/>
          <w:numId w:val="1"/>
        </w:numPr>
        <w:spacing w:after="80" w:line="264"/>
      </w:pPr>
      <w:r>
        <w:t xml:space="preserve">Las quejas de clientes se concentran en: cargos ocultos, dificultad para comparar precios reales antes de contactar, y falta de garantías claras si el trabajo sale mal. [OPINIÓN — patrón recurrente en reseñas].</w:t>
      </w:r>
    </w:p>
    <w:p>
      <w:pPr>
        <w:pStyle w:val="ListParagraph"/>
        <w:numPr>
          <w:ilvl w:val="0"/>
          <w:numId w:val="1"/>
        </w:numPr>
        <w:spacing w:after="80" w:line="264"/>
      </w:pPr>
      <w:r>
        <w:t xml:space="preserve">Ninguna plataforma analizada combina de forma robusta: verificación fuerte + protección de pago en custodia (escrow) + comisión justa + herramientas de gestión de negocio (CRM, calendario, facturación) + prevención de fuga de la plataforma. Esa combinación es el espacio en blanco. [RECOMENDACIÓN].</w:t>
      </w:r>
    </w:p>
    <w:p>
      <w:pPr>
        <w:pStyle w:val="ListParagraph"/>
        <w:numPr>
          <w:ilvl w:val="0"/>
          <w:numId w:val="1"/>
        </w:numPr>
        <w:spacing w:after="80" w:line="264"/>
      </w:pPr>
      <w:r>
        <w:t xml:space="preserve">El modelo recomendado (sección 8–9) es una comisión híbrida y dividida: una comisión moderada al proveedor sobre el trabajo pagado (no por lead) + una tarifa de servicio pequeña y transparente al cliente, con reducción progresiva de comisión para proveedores leales y de alto desempeño. [RECOMENDACIÓN].</w:t>
      </w:r>
    </w:p>
    <w:p>
      <w:pPr>
        <w:pStyle w:val="Heading2"/>
        <w:spacing w:after="120" w:before="260"/>
      </w:pPr>
      <w:r>
        <w:t xml:space="preserve">Estructura del documento</w:t>
      </w:r>
    </w:p>
    <w:p>
      <w:pPr>
        <w:spacing w:after="160" w:line="276"/>
      </w:pPr>
      <w:r>
        <w:t xml:space="preserve">Este informe cubre veinte entregables: desde el análisis competidor por competidor hasta la arquitectura funcional, el modelo de comisiones con ejemplos numéricos, los flujos de cliente y proveedor, el sistema anti-fuga, la estrategia de lanzamiento y los riesgos legales que deben revisarse con abogados especializados.</w:t>
      </w:r>
    </w:p>
    <w:p>
      <w:pPr>
        <w:pStyle w:val="Heading1"/>
        <w:pageBreakBefore/>
        <w:spacing w:after="160" w:before="360"/>
      </w:pPr>
      <w:r>
        <w:t xml:space="preserve">2. Tabla comparativa de plataformas</w:t>
      </w:r>
    </w:p>
    <w:p>
      <w:pPr>
        <w:spacing w:after="160" w:line="276"/>
      </w:pPr>
      <w:r>
        <w:t xml:space="preserve">Resumen de modelo de negocio, comisión/costo principal y posicionamiento. Cifras marcadas [DATO] provienen de fuentes públicas (ayuda oficial, reportes de la industria, reseñas 2025–2026); varían por categoría, mercado y momento, por lo que deben tratarse como rangos orientativos, no precios fijos.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600"/>
        <w:gridCol w:w="2200"/>
        <w:gridCol w:w="1700"/>
      </w:tblGrid>
      <w:tr>
        <w:trPr>
          <w:tblHeader/>
        </w:trPr>
        <w:tc>
          <w:tcPr>
            <w:tcW w:type="dxa" w:w="1600"/>
            <w:shd w:fill="1F3864" w:val="clear"/>
            <w:tcMar>
              <w:top w:type="dxa" w:w="80"/>
              <w:left w:type="dxa" w:w="100"/>
              <w:bottom w:type="dxa" w:w="80"/>
              <w:right w:type="dxa" w:w="100"/>
            </w:tcMar>
          </w:tcPr>
          <w:p>
            <w:pPr>
              <w:jc w:val="left"/>
            </w:pPr>
            <w:r>
              <w:rPr>
                <w:b/>
                <w:bCs/>
                <w:color w:val="FFFFFF"/>
                <w:sz w:val="20"/>
                <w:szCs w:val="20"/>
              </w:rPr>
              <w:t xml:space="preserve">Plataforma</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Modelo principal</w:t>
            </w:r>
          </w:p>
        </w:tc>
        <w:tc>
          <w:tcPr>
            <w:tcW w:type="dxa" w:w="2600"/>
            <w:shd w:fill="1F3864" w:val="clear"/>
            <w:tcMar>
              <w:top w:type="dxa" w:w="80"/>
              <w:left w:type="dxa" w:w="100"/>
              <w:bottom w:type="dxa" w:w="80"/>
              <w:right w:type="dxa" w:w="100"/>
            </w:tcMar>
          </w:tcPr>
          <w:p>
            <w:pPr>
              <w:jc w:val="left"/>
            </w:pPr>
            <w:r>
              <w:rPr>
                <w:b/>
                <w:bCs/>
                <w:color w:val="FFFFFF"/>
                <w:sz w:val="20"/>
                <w:szCs w:val="20"/>
              </w:rPr>
              <w:t xml:space="preserve">Costo típico para el proveedor</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Costo típico para el cliente</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Categoría principal</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Thumbtack</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Pago por lead (dinámico, con créditos)</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$5–$120+ por lead, sin garantía de conversión</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Gratis (opcional Thumbtack Plus)</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Hogar, eventos, clases, negocios</w:t>
            </w:r>
          </w:p>
        </w:tc>
      </w:tr>
      <w:tr>
        <w:tc>
          <w:tcPr>
            <w:tcW w:type="dxa" w:w="1600"/>
            <w:shd w:fill="FFFFFF" w:val="clear"/>
            <w:tcMar>
              <w:top w:type="dxa" w:w="80"/>
              <w:left w:type="dxa" w:w="100"/>
              <w:bottom w:type="dxa" w:w="80"/>
              <w:right w:type="dxa" w:w="100"/>
            </w:tcMar>
          </w:tcPr>
          <w:p>
            <w:pPr>
              <w:jc w:val="left"/>
            </w:pPr>
            <w:r>
              <w:rPr>
                <w:b w:val="false"/>
                <w:bCs w:val="false"/>
                <w:sz w:val="20"/>
                <w:szCs w:val="20"/>
              </w:rPr>
              <w:t xml:space="preserve">TaskRabbit (IKEA)</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Comisión sobre transacción + tarifas</w:t>
            </w:r>
          </w:p>
        </w:tc>
        <w:tc>
          <w:tcPr>
            <w:tcW w:type="dxa" w:w="2600"/>
            <w:shd w:fill="FFFFFF" w:val="clear"/>
            <w:tcMar>
              <w:top w:type="dxa" w:w="80"/>
              <w:left w:type="dxa" w:w="100"/>
              <w:bottom w:type="dxa" w:w="80"/>
              <w:right w:type="dxa" w:w="100"/>
            </w:tcMar>
          </w:tcPr>
          <w:p>
            <w:pPr>
              <w:jc w:val="left"/>
            </w:pPr>
            <w:r>
              <w:rPr>
                <w:b w:val="false"/>
                <w:bCs w:val="false"/>
                <w:sz w:val="20"/>
                <w:szCs w:val="20"/>
              </w:rPr>
              <w:t xml:space="preserve">~15% de comisión de servicio + trust fee; $25 registro</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Tarifa de servicio + trust &amp; support fee incluida en tarifa/hora</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Tareas del hogar, mudanzas, montaje</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Angi / HomeAdvisor</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Pago por lead + membresía/publicidad</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$15–$120+ por lead compartido; contratos anuales, ads ~$300/mes</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Angi Key ~$29.99/año (opcional)</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Remodelación, proyectos grandes</w:t>
            </w:r>
          </w:p>
        </w:tc>
      </w:tr>
      <w:tr>
        <w:tc>
          <w:tcPr>
            <w:tcW w:type="dxa" w:w="1600"/>
            <w:shd w:fill="FFFFFF" w:val="clear"/>
            <w:tcMar>
              <w:top w:type="dxa" w:w="80"/>
              <w:left w:type="dxa" w:w="100"/>
              <w:bottom w:type="dxa" w:w="80"/>
              <w:right w:type="dxa" w:w="100"/>
            </w:tcMar>
          </w:tcPr>
          <w:p>
            <w:pPr>
              <w:jc w:val="left"/>
            </w:pPr>
            <w:r>
              <w:rPr>
                <w:b w:val="false"/>
                <w:bCs w:val="false"/>
                <w:sz w:val="20"/>
                <w:szCs w:val="20"/>
              </w:rPr>
              <w:t xml:space="preserve">Angi Services (ex-Handy)</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Precio fijo pre-cotizado</w:t>
            </w:r>
          </w:p>
        </w:tc>
        <w:tc>
          <w:tcPr>
            <w:tcW w:type="dxa" w:w="2600"/>
            <w:shd w:fill="FFFFFF" w:val="clear"/>
            <w:tcMar>
              <w:top w:type="dxa" w:w="80"/>
              <w:left w:type="dxa" w:w="100"/>
              <w:bottom w:type="dxa" w:w="80"/>
              <w:right w:type="dxa" w:w="100"/>
            </w:tcMar>
          </w:tcPr>
          <w:p>
            <w:pPr>
              <w:jc w:val="left"/>
            </w:pPr>
            <w:r>
              <w:rPr>
                <w:b w:val="false"/>
                <w:bCs w:val="false"/>
                <w:sz w:val="20"/>
                <w:szCs w:val="20"/>
              </w:rPr>
              <w:t xml:space="preserve">Comisión retenida sobre tarifa fijada por la plataforma</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Precio fijo mostrado antes de reservar</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Limpieza, montaje, mantenimiento</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Bark</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Créditos por lead (~$1.80–$2.20/crédito)</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3–20+ créditos por lead según categoría; créditos caducan</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Gratis para publicar solicitud</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Servicios locales y profesionales muy diversos</w:t>
            </w:r>
          </w:p>
        </w:tc>
      </w:tr>
      <w:tr>
        <w:tc>
          <w:tcPr>
            <w:tcW w:type="dxa" w:w="1600"/>
            <w:shd w:fill="FFFFFF" w:val="clear"/>
            <w:tcMar>
              <w:top w:type="dxa" w:w="80"/>
              <w:left w:type="dxa" w:w="100"/>
              <w:bottom w:type="dxa" w:w="80"/>
              <w:right w:type="dxa" w:w="100"/>
            </w:tcMar>
          </w:tcPr>
          <w:p>
            <w:pPr>
              <w:jc w:val="left"/>
            </w:pPr>
            <w:r>
              <w:rPr>
                <w:b w:val="false"/>
                <w:bCs w:val="false"/>
                <w:sz w:val="20"/>
                <w:szCs w:val="20"/>
              </w:rPr>
              <w:t xml:space="preserve">Houzz Pro</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Suscripción SaaS + listados pagados</w:t>
            </w:r>
          </w:p>
        </w:tc>
        <w:tc>
          <w:tcPr>
            <w:tcW w:type="dxa" w:w="2600"/>
            <w:shd w:fill="FFFFFF" w:val="clear"/>
            <w:tcMar>
              <w:top w:type="dxa" w:w="80"/>
              <w:left w:type="dxa" w:w="100"/>
              <w:bottom w:type="dxa" w:w="80"/>
              <w:right w:type="dxa" w:w="100"/>
            </w:tcMar>
          </w:tcPr>
          <w:p>
            <w:pPr>
              <w:jc w:val="left"/>
            </w:pPr>
            <w:r>
              <w:rPr>
                <w:b w:val="false"/>
                <w:bCs w:val="false"/>
                <w:sz w:val="20"/>
                <w:szCs w:val="20"/>
              </w:rPr>
              <w:t xml:space="preserve">Suscripción mensual + posicionamiento pagado</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Gratis para navegar</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Diseño, remodelación, arquitectura</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Porch</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Pago por lead + referidos B2B (mudanzas/seguros)</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$20–$60 por lead; opción "Vetted Pro"</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Gratis; enfoque "concierge"</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Mudanzas, hogar, aseguradoras</w:t>
            </w:r>
          </w:p>
        </w:tc>
      </w:tr>
      <w:tr>
        <w:tc>
          <w:tcPr>
            <w:tcW w:type="dxa" w:w="1600"/>
            <w:shd w:fill="FFFFFF" w:val="clear"/>
            <w:tcMar>
              <w:top w:type="dxa" w:w="80"/>
              <w:left w:type="dxa" w:w="100"/>
              <w:bottom w:type="dxa" w:w="80"/>
              <w:right w:type="dxa" w:w="100"/>
            </w:tcMar>
          </w:tcPr>
          <w:p>
            <w:pPr>
              <w:jc w:val="left"/>
            </w:pPr>
            <w:r>
              <w:rPr>
                <w:b w:val="false"/>
                <w:bCs w:val="false"/>
                <w:sz w:val="20"/>
                <w:szCs w:val="20"/>
              </w:rPr>
              <w:t xml:space="preserve">Fiverr</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Comisión fija del vendedor</w:t>
            </w:r>
          </w:p>
        </w:tc>
        <w:tc>
          <w:tcPr>
            <w:tcW w:type="dxa" w:w="2600"/>
            <w:shd w:fill="FFFFFF" w:val="clear"/>
            <w:tcMar>
              <w:top w:type="dxa" w:w="80"/>
              <w:left w:type="dxa" w:w="100"/>
              <w:bottom w:type="dxa" w:w="80"/>
              <w:right w:type="dxa" w:w="100"/>
            </w:tcMar>
          </w:tcPr>
          <w:p>
            <w:pPr>
              <w:jc w:val="left"/>
            </w:pPr>
            <w:r>
              <w:rPr>
                <w:b w:val="false"/>
                <w:bCs w:val="false"/>
                <w:sz w:val="20"/>
                <w:szCs w:val="20"/>
              </w:rPr>
              <w:t xml:space="preserve">20% fijo sobre todo ingreso, incl. propinas</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5.5% + cargo por pedido pequeño</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Servicios digitales freelance</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Upwork</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Comisión variable + Connects</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~10% (tras reforma 2025) + costo de Connects para proponer</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Tarifa de marketplace 3–10% + inicio de contrato</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Freelance profesional/proyectos largos</w:t>
            </w:r>
          </w:p>
        </w:tc>
      </w:tr>
      <w:tr>
        <w:tc>
          <w:tcPr>
            <w:tcW w:type="dxa" w:w="1600"/>
            <w:shd w:fill="FFFFFF" w:val="clear"/>
            <w:tcMar>
              <w:top w:type="dxa" w:w="80"/>
              <w:left w:type="dxa" w:w="100"/>
              <w:bottom w:type="dxa" w:w="80"/>
              <w:right w:type="dxa" w:w="100"/>
            </w:tcMar>
          </w:tcPr>
          <w:p>
            <w:pPr>
              <w:jc w:val="left"/>
            </w:pPr>
            <w:r>
              <w:rPr>
                <w:b w:val="false"/>
                <w:bCs w:val="false"/>
                <w:sz w:val="20"/>
                <w:szCs w:val="20"/>
              </w:rPr>
              <w:t xml:space="preserve">Turno</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Suscripción a hosts + comisión al cleaner</w:t>
            </w:r>
          </w:p>
        </w:tc>
        <w:tc>
          <w:tcPr>
            <w:tcW w:type="dxa" w:w="2600"/>
            <w:shd w:fill="FFFFFF" w:val="clear"/>
            <w:tcMar>
              <w:top w:type="dxa" w:w="80"/>
              <w:left w:type="dxa" w:w="100"/>
              <w:bottom w:type="dxa" w:w="80"/>
              <w:right w:type="dxa" w:w="100"/>
            </w:tcMar>
          </w:tcPr>
          <w:p>
            <w:pPr>
              <w:jc w:val="left"/>
            </w:pPr>
            <w:r>
              <w:rPr>
                <w:b w:val="false"/>
                <w:bCs w:val="false"/>
                <w:sz w:val="20"/>
                <w:szCs w:val="20"/>
              </w:rPr>
              <w:t xml:space="preserve">5% de comisión sobre el precio de limpieza (marketplace)</w:t>
            </w:r>
          </w:p>
        </w:tc>
        <w:tc>
          <w:tcPr>
            <w:tcW w:type="dxa" w:w="2200"/>
            <w:shd w:fill="FFFFFF" w:val="clear"/>
            <w:tcMar>
              <w:top w:type="dxa" w:w="80"/>
              <w:left w:type="dxa" w:w="100"/>
              <w:bottom w:type="dxa" w:w="80"/>
              <w:right w:type="dxa" w:w="100"/>
            </w:tcMar>
          </w:tcPr>
          <w:p>
            <w:pPr>
              <w:jc w:val="left"/>
            </w:pPr>
            <w:r>
              <w:rPr>
                <w:b w:val="false"/>
                <w:bCs w:val="false"/>
                <w:sz w:val="20"/>
                <w:szCs w:val="20"/>
              </w:rPr>
              <w:t xml:space="preserve">$8–$10/propiedad/mes si hay 2+ propiedades</w:t>
            </w:r>
          </w:p>
        </w:tc>
        <w:tc>
          <w:tcPr>
            <w:tcW w:type="dxa" w:w="1700"/>
            <w:shd w:fill="FFFFFF" w:val="clear"/>
            <w:tcMar>
              <w:top w:type="dxa" w:w="80"/>
              <w:left w:type="dxa" w:w="100"/>
              <w:bottom w:type="dxa" w:w="80"/>
              <w:right w:type="dxa" w:w="100"/>
            </w:tcMar>
          </w:tcPr>
          <w:p>
            <w:pPr>
              <w:jc w:val="left"/>
            </w:pPr>
            <w:r>
              <w:rPr>
                <w:b w:val="false"/>
                <w:bCs w:val="false"/>
                <w:sz w:val="20"/>
                <w:szCs w:val="20"/>
              </w:rPr>
              <w:t xml:space="preserve">Limpieza de rentas vacacionales (Airbnb/Vrbo)</w:t>
            </w:r>
          </w:p>
        </w:tc>
      </w:tr>
      <w:tr>
        <w:tc>
          <w:tcPr>
            <w:tcW w:type="dxa" w:w="1600"/>
            <w:shd w:fill="F2F6FA" w:val="clear"/>
            <w:tcMar>
              <w:top w:type="dxa" w:w="80"/>
              <w:left w:type="dxa" w:w="100"/>
              <w:bottom w:type="dxa" w:w="80"/>
              <w:right w:type="dxa" w:w="100"/>
            </w:tcMar>
          </w:tcPr>
          <w:p>
            <w:pPr>
              <w:jc w:val="left"/>
            </w:pPr>
            <w:r>
              <w:rPr>
                <w:b w:val="false"/>
                <w:bCs w:val="false"/>
                <w:sz w:val="20"/>
                <w:szCs w:val="20"/>
              </w:rPr>
              <w:t xml:space="preserve">Yelp Services (Ads/Request a Quote)</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Publicidad de pago por clic + leads de solicitud</w:t>
            </w:r>
          </w:p>
        </w:tc>
        <w:tc>
          <w:tcPr>
            <w:tcW w:type="dxa" w:w="2600"/>
            <w:shd w:fill="F2F6FA" w:val="clear"/>
            <w:tcMar>
              <w:top w:type="dxa" w:w="80"/>
              <w:left w:type="dxa" w:w="100"/>
              <w:bottom w:type="dxa" w:w="80"/>
              <w:right w:type="dxa" w:w="100"/>
            </w:tcMar>
          </w:tcPr>
          <w:p>
            <w:pPr>
              <w:jc w:val="left"/>
            </w:pPr>
            <w:r>
              <w:rPr>
                <w:b w:val="false"/>
                <w:bCs w:val="false"/>
                <w:sz w:val="20"/>
                <w:szCs w:val="20"/>
              </w:rPr>
              <w:t xml:space="preserve">Presupuesto de anuncios variable; leads sin costo fijo por unidad</w:t>
            </w:r>
          </w:p>
        </w:tc>
        <w:tc>
          <w:tcPr>
            <w:tcW w:type="dxa" w:w="2200"/>
            <w:shd w:fill="F2F6FA" w:val="clear"/>
            <w:tcMar>
              <w:top w:type="dxa" w:w="80"/>
              <w:left w:type="dxa" w:w="100"/>
              <w:bottom w:type="dxa" w:w="80"/>
              <w:right w:type="dxa" w:w="100"/>
            </w:tcMar>
          </w:tcPr>
          <w:p>
            <w:pPr>
              <w:jc w:val="left"/>
            </w:pPr>
            <w:r>
              <w:rPr>
                <w:b w:val="false"/>
                <w:bCs w:val="false"/>
                <w:sz w:val="20"/>
                <w:szCs w:val="20"/>
              </w:rPr>
              <w:t xml:space="preserve">Gratis</w:t>
            </w:r>
          </w:p>
        </w:tc>
        <w:tc>
          <w:tcPr>
            <w:tcW w:type="dxa" w:w="1700"/>
            <w:shd w:fill="F2F6FA" w:val="clear"/>
            <w:tcMar>
              <w:top w:type="dxa" w:w="80"/>
              <w:left w:type="dxa" w:w="100"/>
              <w:bottom w:type="dxa" w:w="80"/>
              <w:right w:type="dxa" w:w="100"/>
            </w:tcMar>
          </w:tcPr>
          <w:p>
            <w:pPr>
              <w:jc w:val="left"/>
            </w:pPr>
            <w:r>
              <w:rPr>
                <w:b w:val="false"/>
                <w:bCs w:val="false"/>
                <w:sz w:val="20"/>
                <w:szCs w:val="20"/>
              </w:rPr>
              <w:t xml:space="preserve">Servicios locales en general</w:t>
            </w:r>
          </w:p>
        </w:tc>
      </w:tr>
    </w:tbl>
    <w:p>
      <w:pPr>
        <w:spacing w:after="200" w:before="80"/>
      </w:pPr>
      <w:r>
        <w:rPr>
          <w:i/>
          <w:iCs/>
          <w:color w:val="595959"/>
          <w:sz w:val="20"/>
          <w:szCs w:val="20"/>
        </w:rPr>
        <w:t xml:space="preserve">Nota: Los precios cambian con frecuencia y varían por categoría, ciudad y competencia; se recomienda validar cifras actuales antes de usarlas en un plan de negocio formal.</w:t>
      </w:r>
    </w:p>
    <w:p>
      <w:pPr>
        <w:pStyle w:val="Heading1"/>
        <w:pageBreakBefore/>
        <w:spacing w:after="160" w:before="360"/>
      </w:pPr>
      <w:r>
        <w:t xml:space="preserve">3. Análisis detallado de cada competidor</w:t>
      </w:r>
    </w:p>
    <w:p>
      <w:pPr>
        <w:pStyle w:val="Heading2"/>
        <w:spacing w:after="120" w:before="260"/>
      </w:pPr>
      <w:r>
        <w:t xml:space="preserve">Thumbtack</w:t>
      </w:r>
    </w:p>
    <w:p>
      <w:pPr>
        <w:pStyle w:val="ListParagraph"/>
        <w:numPr>
          <w:ilvl w:val="0"/>
          <w:numId w:val="1"/>
        </w:numPr>
        <w:spacing w:after="100" w:line="264"/>
      </w:pPr>
      <w:r>
        <w:rPr>
          <w:b/>
          <w:bCs/>
        </w:rPr>
        <w:t xml:space="preserve">Modelo de negocio: </w:t>
      </w:r>
      <w:r>
        <w:t xml:space="preserve">Marketplace de pago por lead con precios dinámicos por crédito. El proveedor no paga por listarse, pero paga cada vez que responde o es emparejado con una solicitud, gane o no el trabajo. [DATO]</w:t>
      </w:r>
    </w:p>
    <w:p>
      <w:pPr>
        <w:pStyle w:val="ListParagraph"/>
        <w:numPr>
          <w:ilvl w:val="0"/>
          <w:numId w:val="1"/>
        </w:numPr>
        <w:spacing w:after="100" w:line="264"/>
      </w:pPr>
      <w:r>
        <w:rPr>
          <w:b/>
          <w:bCs/>
        </w:rPr>
        <w:t xml:space="preserve">Registro/verificación: </w:t>
      </w:r>
      <w:r>
        <w:t xml:space="preserve">Registro gratuito y rápido; verificación de identidad y opcionalmente de licencias/seguros, pero el estándar de verificación es más laxo que en categorías reguladas. [DATO]</w:t>
      </w:r>
    </w:p>
    <w:p>
      <w:pPr>
        <w:pStyle w:val="ListParagraph"/>
        <w:numPr>
          <w:ilvl w:val="0"/>
          <w:numId w:val="1"/>
        </w:numPr>
        <w:spacing w:after="100" w:line="264"/>
      </w:pPr>
      <w:r>
        <w:rPr>
          <w:b/>
          <w:bCs/>
        </w:rPr>
        <w:t xml:space="preserve">Cómo se generan y distribuyen leads: </w:t>
      </w:r>
      <w:r>
        <w:t xml:space="preserve">El cliente publica una solicitud y el sistema empareja automáticamente con 4–5 proveedores; cada uno paga por acceder al contacto. [DATO]</w:t>
      </w:r>
    </w:p>
    <w:p>
      <w:pPr>
        <w:pStyle w:val="ListParagraph"/>
        <w:numPr>
          <w:ilvl w:val="0"/>
          <w:numId w:val="1"/>
        </w:numPr>
        <w:spacing w:after="100" w:line="264"/>
      </w:pPr>
      <w:r>
        <w:rPr>
          <w:b/>
          <w:bCs/>
        </w:rPr>
        <w:t xml:space="preserve">Comunicación y contacto: </w:t>
      </w:r>
      <w:r>
        <w:t xml:space="preserve">Chat dentro de la app; el número de teléfono puede solicitarse a los clientes desde hace algunos años para facilitar contacto directo, lo que reduce el control sobre fugas fuera de plataforma. [DATO]</w:t>
      </w:r>
    </w:p>
    <w:p>
      <w:pPr>
        <w:pStyle w:val="ListParagraph"/>
        <w:numPr>
          <w:ilvl w:val="0"/>
          <w:numId w:val="1"/>
        </w:numPr>
        <w:spacing w:after="100" w:line="264"/>
      </w:pPr>
      <w:r>
        <w:rPr>
          <w:b/>
          <w:bCs/>
        </w:rPr>
        <w:t xml:space="preserve">Comisión/tarifa: </w:t>
      </w:r>
      <w:r>
        <w:t xml:space="preserve">Sin suscripción obligatoria; el costo vive enteramente en el precio por lead, entre 5 y 100+ dólares según el valor estimado del trabajo. [DATO]</w:t>
      </w:r>
    </w:p>
    <w:p>
      <w:pPr>
        <w:pStyle w:val="ListParagraph"/>
        <w:numPr>
          <w:ilvl w:val="0"/>
          <w:numId w:val="1"/>
        </w:numPr>
        <w:spacing w:after="100" w:line="264"/>
      </w:pPr>
      <w:r>
        <w:rPr>
          <w:b/>
          <w:bCs/>
        </w:rPr>
        <w:t xml:space="preserve">Ventajas principales: </w:t>
      </w:r>
      <w:r>
        <w:t xml:space="preserve">Volumen alto de tráfico de clientes; sin cuota mensual fija; control de presupuesto semanal y precio máximo por lead. [DATO/OPINIÓN]</w:t>
      </w:r>
    </w:p>
    <w:p>
      <w:pPr>
        <w:pStyle w:val="ListParagraph"/>
        <w:numPr>
          <w:ilvl w:val="0"/>
          <w:numId w:val="1"/>
        </w:numPr>
        <w:spacing w:after="100" w:line="264"/>
      </w:pPr>
      <w:r>
        <w:rPr>
          <w:b/>
          <w:bCs/>
        </w:rPr>
        <w:t xml:space="preserve">Principales quejas: </w:t>
      </w:r>
      <w:r>
        <w:t xml:space="preserve">Se paga por leads que nunca contestan o ya contrataron a otro; precios dinámicos percibidos como opacos; el mismo lead se vende a varios competidores. [OPINIÓN — recurrente en foros y reseñas].</w:t>
      </w:r>
    </w:p>
    <w:p>
      <w:pPr>
        <w:pStyle w:val="Heading2"/>
        <w:spacing w:after="120" w:before="260"/>
      </w:pPr>
      <w:r>
        <w:t xml:space="preserve">TaskRabbit (propiedad de IKEA)</w:t>
      </w:r>
    </w:p>
    <w:p>
      <w:pPr>
        <w:pStyle w:val="ListParagraph"/>
        <w:numPr>
          <w:ilvl w:val="0"/>
          <w:numId w:val="1"/>
        </w:numPr>
        <w:spacing w:after="100" w:line="264"/>
      </w:pPr>
      <w:r>
        <w:rPr>
          <w:b/>
          <w:bCs/>
        </w:rPr>
        <w:t xml:space="preserve">Modelo de negocio: </w:t>
      </w:r>
      <w:r>
        <w:t xml:space="preserve">Comisión sobre transacción: el Tasker fija su tarifa por hora y TaskRabbit añade una tarifa de servicio de aproximadamente 15% más una "trust &amp; support fee" al cliente. [DATO]</w:t>
      </w:r>
    </w:p>
    <w:p>
      <w:pPr>
        <w:pStyle w:val="ListParagraph"/>
        <w:numPr>
          <w:ilvl w:val="0"/>
          <w:numId w:val="1"/>
        </w:numPr>
        <w:spacing w:after="100" w:line="264"/>
      </w:pPr>
      <w:r>
        <w:rPr>
          <w:b/>
          <w:bCs/>
        </w:rPr>
        <w:t xml:space="preserve">Registro/verificación: </w:t>
      </w:r>
      <w:r>
        <w:t xml:space="preserve">Verificación de antecedentes obligatoria, cuota de registro única (~$25) y perfil con reseñas; el Tasker no puede iniciar conversación, solo responder a invitaciones. [DATO]</w:t>
      </w:r>
    </w:p>
    <w:p>
      <w:pPr>
        <w:pStyle w:val="ListParagraph"/>
        <w:numPr>
          <w:ilvl w:val="0"/>
          <w:numId w:val="1"/>
        </w:numPr>
        <w:spacing w:after="100" w:line="264"/>
      </w:pPr>
      <w:r>
        <w:rPr>
          <w:b/>
          <w:bCs/>
        </w:rPr>
        <w:t xml:space="preserve">Cómo funciona la contratación: </w:t>
      </w:r>
      <w:r>
        <w:t xml:space="preserve">El cliente busca por categoría, compara Taskers por tarifa/hora, reseñas y disponibilidad, y reserva directamente sin proceso de cotización competitiva abierta. [DATO]</w:t>
      </w:r>
    </w:p>
    <w:p>
      <w:pPr>
        <w:pStyle w:val="ListParagraph"/>
        <w:numPr>
          <w:ilvl w:val="0"/>
          <w:numId w:val="1"/>
        </w:numPr>
        <w:spacing w:after="100" w:line="264"/>
      </w:pPr>
      <w:r>
        <w:rPr>
          <w:b/>
          <w:bCs/>
        </w:rPr>
        <w:t xml:space="preserve">Pagos y protección: </w:t>
      </w:r>
      <w:r>
        <w:t xml:space="preserve">Pago 100% dentro de la app; el Tasker recibe su tarifa íntegra más reembolsos de materiales; existe una "Happiness Pledge" como garantía de satisfacción. [DATO]</w:t>
      </w:r>
    </w:p>
    <w:p>
      <w:pPr>
        <w:pStyle w:val="ListParagraph"/>
        <w:numPr>
          <w:ilvl w:val="0"/>
          <w:numId w:val="1"/>
        </w:numPr>
        <w:spacing w:after="100" w:line="264"/>
      </w:pPr>
      <w:r>
        <w:rPr>
          <w:b/>
          <w:bCs/>
        </w:rPr>
        <w:t xml:space="preserve">Ventajas: </w:t>
      </w:r>
      <w:r>
        <w:t xml:space="preserve">Modelo de comisión alineado con el éxito real de la transacción (no se paga por leads fallidos); marca fuerte gracias a IKEA; pagos garantizados dentro de la app. [DATO/OPINIÓN]</w:t>
      </w:r>
    </w:p>
    <w:p>
      <w:pPr>
        <w:pStyle w:val="ListParagraph"/>
        <w:numPr>
          <w:ilvl w:val="0"/>
          <w:numId w:val="1"/>
        </w:numPr>
        <w:spacing w:after="100" w:line="264"/>
      </w:pPr>
      <w:r>
        <w:rPr>
          <w:b/>
          <w:bCs/>
        </w:rPr>
        <w:t xml:space="preserve">Quejas principales: </w:t>
      </w:r>
      <w:r>
        <w:t xml:space="preserve">El Tasker no puede prospectar activamente ni fijar precios competitivos frente a otros en tiempo real; la disponibilidad geográfica es limitada a ciudades específicas; comisión combinada (servicio + trust fee) puede superar 20–30% cuando se suman ambos lados. [OPINIÓN/DATO]</w:t>
      </w:r>
    </w:p>
    <w:p>
      <w:pPr>
        <w:pStyle w:val="Heading2"/>
        <w:spacing w:after="120" w:before="260"/>
      </w:pPr>
      <w:r>
        <w:t xml:space="preserve">Angi y HomeAdvisor (Angi Inc.)</w:t>
      </w:r>
    </w:p>
    <w:p>
      <w:pPr>
        <w:pStyle w:val="ListParagraph"/>
        <w:numPr>
          <w:ilvl w:val="0"/>
          <w:numId w:val="1"/>
        </w:numPr>
        <w:spacing w:after="100" w:line="264"/>
      </w:pPr>
      <w:r>
        <w:rPr>
          <w:b/>
          <w:bCs/>
        </w:rPr>
        <w:t xml:space="preserve">Modelo de negocio: </w:t>
      </w:r>
      <w:r>
        <w:t xml:space="preserve">Pago por lead compartido (HomeAdvisor/Angi Leads), publicidad de pago por clic con membresía anual (Angi Ads), y desde la adquisición de Handy, servicios a precio fijo (Angi Services). [DATO]</w:t>
      </w:r>
    </w:p>
    <w:p>
      <w:pPr>
        <w:pStyle w:val="ListParagraph"/>
        <w:numPr>
          <w:ilvl w:val="0"/>
          <w:numId w:val="1"/>
        </w:numPr>
        <w:spacing w:after="100" w:line="264"/>
      </w:pPr>
      <w:r>
        <w:rPr>
          <w:b/>
          <w:bCs/>
        </w:rPr>
        <w:t xml:space="preserve">Costo para el proveedor: </w:t>
      </w:r>
      <w:r>
        <w:t xml:space="preserve">Leads entre $15 y $120+, compartidos típicamente entre 3–8 contratistas; contratos anuales con penalizaciones de cancelación reportadas de cientos o miles de dólares. [DATO]</w:t>
      </w:r>
    </w:p>
    <w:p>
      <w:pPr>
        <w:pStyle w:val="ListParagraph"/>
        <w:numPr>
          <w:ilvl w:val="0"/>
          <w:numId w:val="1"/>
        </w:numPr>
        <w:spacing w:after="100" w:line="264"/>
      </w:pPr>
      <w:r>
        <w:rPr>
          <w:b/>
          <w:bCs/>
        </w:rPr>
        <w:t xml:space="preserve">Cambios recientes: </w:t>
      </w:r>
      <w:r>
        <w:t xml:space="preserve">Desde enero de 2025 los clientes eligen activamente al contratista en vez de recibir distribución automática, lo que Angi reporta que mejoró las tasas de conversión reportadas por contratistas. Angi se separó de IAC como empresa independiente en abril de 2025. [DATO]</w:t>
      </w:r>
    </w:p>
    <w:p>
      <w:pPr>
        <w:pStyle w:val="ListParagraph"/>
        <w:numPr>
          <w:ilvl w:val="0"/>
          <w:numId w:val="1"/>
        </w:numPr>
        <w:spacing w:after="100" w:line="264"/>
      </w:pPr>
      <w:r>
        <w:rPr>
          <w:b/>
          <w:bCs/>
        </w:rPr>
        <w:t xml:space="preserve">Disputas legales: </w:t>
      </w:r>
      <w:r>
        <w:t xml:space="preserve">Angi/HomeAdvisor ha enfrentado múltiples demandas y acuerdos regulatorios (FTC, fiscalía de San Francisco, demanda colectiva de Angi Services) por prácticas de venta de leads, verificación de antecedentes limitada a dueños de negocio, y reclamos de ingresos infladas a trabajadores. [DATO]</w:t>
      </w:r>
    </w:p>
    <w:p>
      <w:pPr>
        <w:pStyle w:val="ListParagraph"/>
        <w:numPr>
          <w:ilvl w:val="0"/>
          <w:numId w:val="1"/>
        </w:numPr>
        <w:spacing w:after="100" w:line="264"/>
      </w:pPr>
      <w:r>
        <w:rPr>
          <w:b/>
          <w:bCs/>
        </w:rPr>
        <w:t xml:space="preserve">Ventajas: </w:t>
      </w:r>
      <w:r>
        <w:t xml:space="preserve">Marca reconocida, volumen alto de tráfico, insignia "Google Guaranteed" disponible, útil para negocios nuevos sin presencia digital propia. [OPINIÓN]</w:t>
      </w:r>
    </w:p>
    <w:p>
      <w:pPr>
        <w:pStyle w:val="ListParagraph"/>
        <w:numPr>
          <w:ilvl w:val="0"/>
          <w:numId w:val="1"/>
        </w:numPr>
        <w:spacing w:after="100" w:line="264"/>
      </w:pPr>
      <w:r>
        <w:rPr>
          <w:b/>
          <w:bCs/>
        </w:rPr>
        <w:t xml:space="preserve">Quejas principales: </w:t>
      </w:r>
      <w:r>
        <w:t xml:space="preserve">Leads considerados de baja calidad o falsos por buena parte de los usuarios; tácticas de ventas agresivas; dificultad para cancelar contratos; sistema de reseñas donde el peso de un miembro pagante es mayor que el de uno gratuito, lo cual genera percepción de manipulación. [OPINIÓN, ampliamente documentada].</w:t>
      </w:r>
    </w:p>
    <w:p>
      <w:pPr>
        <w:pStyle w:val="Heading2"/>
        <w:spacing w:after="120" w:before="260"/>
      </w:pPr>
      <w:r>
        <w:t xml:space="preserve">Bark</w:t>
      </w:r>
    </w:p>
    <w:p>
      <w:pPr>
        <w:pStyle w:val="ListParagraph"/>
        <w:numPr>
          <w:ilvl w:val="0"/>
          <w:numId w:val="1"/>
        </w:numPr>
        <w:spacing w:after="100" w:line="264"/>
      </w:pPr>
      <w:r>
        <w:rPr>
          <w:b/>
          <w:bCs/>
        </w:rPr>
        <w:t xml:space="preserve">Modelo de negocio: </w:t>
      </w:r>
      <w:r>
        <w:t xml:space="preserve">Sistema de créditos prepagados (~$1.80–$2.20 por crédito) donde cada lead cuesta entre 3 y 20+ créditos según categoría y valor estimado. Bark también ofrece una suscripción "Elite" con respuestas gratuitas mensuales. [DATO]</w:t>
      </w:r>
    </w:p>
    <w:p>
      <w:pPr>
        <w:pStyle w:val="ListParagraph"/>
        <w:numPr>
          <w:ilvl w:val="0"/>
          <w:numId w:val="1"/>
        </w:numPr>
        <w:spacing w:after="100" w:line="264"/>
      </w:pPr>
      <w:r>
        <w:rPr>
          <w:b/>
          <w:bCs/>
        </w:rPr>
        <w:t xml:space="preserve">Cambios recientes: </w:t>
      </w:r>
      <w:r>
        <w:t xml:space="preserve">Bark ha migrado parcialmente hacia un modelo de suscripción tipo "Marketplace" (fines de 2025), lo que ha generado quejas sobre expiración repentina de créditos ya comprados. [DATO]</w:t>
      </w:r>
    </w:p>
    <w:p>
      <w:pPr>
        <w:pStyle w:val="ListParagraph"/>
        <w:numPr>
          <w:ilvl w:val="0"/>
          <w:numId w:val="1"/>
        </w:numPr>
        <w:spacing w:after="100" w:line="264"/>
      </w:pPr>
      <w:r>
        <w:rPr>
          <w:b/>
          <w:bCs/>
        </w:rPr>
        <w:t xml:space="preserve">Quejas principales: </w:t>
      </w:r>
      <w:r>
        <w:t xml:space="preserve">Volumen alto de quejas sobre leads no verificados o falsos, negativa a reembolsar créditos no utilizados, créditos con fecha de expiración y cargos automáticos sin confirmación clara. [OPINIÓN — patrón extremadamente consistente en múltiples plataformas de reseñas: G2, Trustpilot, BBB, ProductReview].</w:t>
      </w:r>
    </w:p>
    <w:p>
      <w:pPr>
        <w:pStyle w:val="ListParagraph"/>
        <w:numPr>
          <w:ilvl w:val="0"/>
          <w:numId w:val="1"/>
        </w:numPr>
        <w:spacing w:after="100" w:line="264"/>
      </w:pPr>
      <w:r>
        <w:rPr>
          <w:b/>
          <w:bCs/>
        </w:rPr>
        <w:t xml:space="preserve">Lección para el diseño nuevo: </w:t>
      </w:r>
      <w:r>
        <w:t xml:space="preserve">El sistema de créditos, aunque flexible en apariencia, oscurece el costo real por oportunidad y traslada el riesgo casi por completo al proveedor. Un mecanismo de precios más transparente y con reembolso automático verificable es preferible. [RECOMENDACIÓN]</w:t>
      </w:r>
    </w:p>
    <w:p>
      <w:pPr>
        <w:pStyle w:val="Heading2"/>
        <w:spacing w:after="120" w:before="260"/>
      </w:pPr>
      <w:r>
        <w:t xml:space="preserve">Angi Services (anteriormente Handy) y modelos de precio fijo</w:t>
      </w:r>
    </w:p>
    <w:p>
      <w:pPr>
        <w:pStyle w:val="ListParagraph"/>
        <w:numPr>
          <w:ilvl w:val="0"/>
          <w:numId w:val="1"/>
        </w:numPr>
        <w:spacing w:after="100" w:line="264"/>
      </w:pPr>
      <w:r>
        <w:rPr>
          <w:b/>
          <w:bCs/>
        </w:rPr>
        <w:t xml:space="preserve">Modelo de negocio: </w:t>
      </w:r>
      <w:r>
        <w:t xml:space="preserve">El cliente ve y paga un precio predeterminado por la plataforma (no negociado con el proveedor); el proveedor recibe una porción fija del precio publicado. [DATO/PRÁCTICA]</w:t>
      </w:r>
    </w:p>
    <w:p>
      <w:pPr>
        <w:pStyle w:val="ListParagraph"/>
        <w:numPr>
          <w:ilvl w:val="0"/>
          <w:numId w:val="1"/>
        </w:numPr>
        <w:spacing w:after="100" w:line="264"/>
      </w:pPr>
      <w:r>
        <w:rPr>
          <w:b/>
          <w:bCs/>
        </w:rPr>
        <w:t xml:space="preserve">Ventaja para el cliente: </w:t>
      </w:r>
      <w:r>
        <w:t xml:space="preserve">Elimina la incertidumbre de cotización y acelera la reserva (ideal para servicios estandarizados como montaje o limpieza básica). [PRÁCTICA]</w:t>
      </w:r>
    </w:p>
    <w:p>
      <w:pPr>
        <w:pStyle w:val="ListParagraph"/>
        <w:numPr>
          <w:ilvl w:val="0"/>
          <w:numId w:val="1"/>
        </w:numPr>
        <w:spacing w:after="100" w:line="264"/>
      </w:pPr>
      <w:r>
        <w:rPr>
          <w:b/>
          <w:bCs/>
        </w:rPr>
        <w:t xml:space="preserve">Riesgo para el proveedor: </w:t>
      </w:r>
      <w:r>
        <w:t xml:space="preserve">El proveedor pierde control sobre el precio y puede sentir que la plataforma retiene un margen alto sobre trabajos que él ejecuta con su propio riesgo y herramientas. [OPINIÓN]</w:t>
      </w:r>
    </w:p>
    <w:p>
      <w:pPr>
        <w:pStyle w:val="Heading2"/>
        <w:spacing w:after="120" w:before="260"/>
      </w:pPr>
      <w:r>
        <w:t xml:space="preserve">Houzz / Houzz Pro</w:t>
      </w:r>
    </w:p>
    <w:p>
      <w:pPr>
        <w:pStyle w:val="ListParagraph"/>
        <w:numPr>
          <w:ilvl w:val="0"/>
          <w:numId w:val="1"/>
        </w:numPr>
        <w:spacing w:after="100" w:line="264"/>
      </w:pPr>
      <w:r>
        <w:rPr>
          <w:b/>
          <w:bCs/>
        </w:rPr>
        <w:t xml:space="preserve">Modelo de negocio: </w:t>
      </w:r>
      <w:r>
        <w:t xml:space="preserve">Suscripción SaaS para profesionales (gestión de proyectos, CRM, facturación) combinada con posicionamiento pagado dentro del directorio de búsqueda. [DATO/PRÁCTICA]</w:t>
      </w:r>
    </w:p>
    <w:p>
      <w:pPr>
        <w:pStyle w:val="ListParagraph"/>
        <w:numPr>
          <w:ilvl w:val="0"/>
          <w:numId w:val="1"/>
        </w:numPr>
        <w:spacing w:after="100" w:line="264"/>
      </w:pPr>
      <w:r>
        <w:rPr>
          <w:b/>
          <w:bCs/>
        </w:rPr>
        <w:t xml:space="preserve">Ventajas: </w:t>
      </w:r>
      <w:r>
        <w:t xml:space="preserve">Fuerte para categorías de diseño/remodelación de alto valor; combina herramientas de gestión de negocio con visibilidad, algo que la mayoría de plataformas de leads no ofrece. [OPINIÓN]</w:t>
      </w:r>
    </w:p>
    <w:p>
      <w:pPr>
        <w:pStyle w:val="ListParagraph"/>
        <w:numPr>
          <w:ilvl w:val="0"/>
          <w:numId w:val="1"/>
        </w:numPr>
        <w:spacing w:after="100" w:line="264"/>
      </w:pPr>
      <w:r>
        <w:rPr>
          <w:b/>
          <w:bCs/>
        </w:rPr>
        <w:t xml:space="preserve">Quejas principales: </w:t>
      </w:r>
      <w:r>
        <w:t xml:space="preserve">El posicionamiento se percibe como "pay to win"; no exige verificación de antecedentes para anunciarse, por lo que la confianza del listado no está garantizada por la plataforma misma. [OPINIÓN]</w:t>
      </w:r>
    </w:p>
    <w:p>
      <w:pPr>
        <w:pStyle w:val="Heading2"/>
        <w:spacing w:after="120" w:before="260"/>
      </w:pPr>
      <w:r>
        <w:t xml:space="preserve">Porch</w:t>
      </w:r>
    </w:p>
    <w:p>
      <w:pPr>
        <w:pStyle w:val="ListParagraph"/>
        <w:numPr>
          <w:ilvl w:val="0"/>
          <w:numId w:val="1"/>
        </w:numPr>
        <w:spacing w:after="100" w:line="264"/>
      </w:pPr>
      <w:r>
        <w:rPr>
          <w:b/>
          <w:bCs/>
        </w:rPr>
        <w:t xml:space="preserve">Modelo de negocio: </w:t>
      </w:r>
      <w:r>
        <w:t xml:space="preserve">Pago por lead con un componente de "concierge" para el cliente (recomienda proveedores) y fuertes alianzas B2B con empresas de mudanzas y aseguradoras que compran datos de nuevos propietarios. [DATO/OPINIÓN]</w:t>
      </w:r>
    </w:p>
    <w:p>
      <w:pPr>
        <w:pStyle w:val="ListParagraph"/>
        <w:numPr>
          <w:ilvl w:val="0"/>
          <w:numId w:val="1"/>
        </w:numPr>
        <w:spacing w:after="100" w:line="264"/>
      </w:pPr>
      <w:r>
        <w:rPr>
          <w:b/>
          <w:bCs/>
        </w:rPr>
        <w:t xml:space="preserve">Ventajas: </w:t>
      </w:r>
      <w:r>
        <w:t xml:space="preserve">Cobertura nacional, integración con reportes de la Better Business Bureau, opción "Vetted Pro" para mayor confianza. [DATO]</w:t>
      </w:r>
    </w:p>
    <w:p>
      <w:pPr>
        <w:pStyle w:val="ListParagraph"/>
        <w:numPr>
          <w:ilvl w:val="0"/>
          <w:numId w:val="1"/>
        </w:numPr>
        <w:spacing w:after="100" w:line="264"/>
      </w:pPr>
      <w:r>
        <w:rPr>
          <w:b/>
          <w:bCs/>
        </w:rPr>
        <w:t xml:space="preserve">Quejas principales: </w:t>
      </w:r>
      <w:r>
        <w:t xml:space="preserve">Los datos de contacto del cliente se venden como lead a múltiples proveedores sin que siempre quede claro para el cliente; calidad de leads variable, similar al patrón de HomeAdvisor. [OPINIÓN]</w:t>
      </w:r>
    </w:p>
    <w:p>
      <w:pPr>
        <w:pStyle w:val="Heading2"/>
        <w:spacing w:after="120" w:before="260"/>
      </w:pPr>
      <w:r>
        <w:t xml:space="preserve">Fiverr</w:t>
      </w:r>
    </w:p>
    <w:p>
      <w:pPr>
        <w:pStyle w:val="ListParagraph"/>
        <w:numPr>
          <w:ilvl w:val="0"/>
          <w:numId w:val="1"/>
        </w:numPr>
        <w:spacing w:after="100" w:line="264"/>
      </w:pPr>
      <w:r>
        <w:rPr>
          <w:b/>
          <w:bCs/>
        </w:rPr>
        <w:t xml:space="preserve">Modelo de negocio: </w:t>
      </w:r>
      <w:r>
        <w:t xml:space="preserve">Catálogo de "gigs" a precio fijo publicados por el vendedor; el comprador elige y compra directamente sin proceso de cotización abierta. Comisión plana de 20% al vendedor sobre todo ingreso, incluidas propinas, sin importar el volumen. [DATO]</w:t>
      </w:r>
    </w:p>
    <w:p>
      <w:pPr>
        <w:pStyle w:val="ListParagraph"/>
        <w:numPr>
          <w:ilvl w:val="0"/>
          <w:numId w:val="1"/>
        </w:numPr>
        <w:spacing w:after="100" w:line="264"/>
      </w:pPr>
      <w:r>
        <w:rPr>
          <w:b/>
          <w:bCs/>
        </w:rPr>
        <w:t xml:space="preserve">Cliente paga: </w:t>
      </w:r>
      <w:r>
        <w:t xml:space="preserve">5.5% de tarifa de servicio más un cargo adicional en pedidos pequeños (bajo $50–$100). [DATO]</w:t>
      </w:r>
    </w:p>
    <w:p>
      <w:pPr>
        <w:pStyle w:val="ListParagraph"/>
        <w:numPr>
          <w:ilvl w:val="0"/>
          <w:numId w:val="1"/>
        </w:numPr>
        <w:spacing w:after="100" w:line="264"/>
      </w:pPr>
      <w:r>
        <w:rPr>
          <w:b/>
          <w:bCs/>
        </w:rPr>
        <w:t xml:space="preserve">Ventajas: </w:t>
      </w:r>
      <w:r>
        <w:t xml:space="preserve">Barrera de entrada baja, catálogo claro tipo e-commerce, fondos liberados tras un periodo de garantía (14 días, 7 para vendedores top). [DATO]</w:t>
      </w:r>
    </w:p>
    <w:p>
      <w:pPr>
        <w:pStyle w:val="ListParagraph"/>
        <w:numPr>
          <w:ilvl w:val="0"/>
          <w:numId w:val="1"/>
        </w:numPr>
        <w:spacing w:after="100" w:line="264"/>
      </w:pPr>
      <w:r>
        <w:rPr>
          <w:b/>
          <w:bCs/>
        </w:rPr>
        <w:t xml:space="preserve">Quejas principales: </w:t>
      </w:r>
      <w:r>
        <w:t xml:space="preserve">20% fijo se percibe alto para vendedores de alto volumen sin descuento por lealtad; "carrera hacia el fondo" de precios en categorías saturadas. [OPINIÓN]</w:t>
      </w:r>
    </w:p>
    <w:p>
      <w:pPr>
        <w:pStyle w:val="Heading2"/>
        <w:spacing w:after="120" w:before="260"/>
      </w:pPr>
      <w:r>
        <w:t xml:space="preserve">Upwork</w:t>
      </w:r>
    </w:p>
    <w:p>
      <w:pPr>
        <w:pStyle w:val="ListParagraph"/>
        <w:numPr>
          <w:ilvl w:val="0"/>
          <w:numId w:val="1"/>
        </w:numPr>
        <w:spacing w:after="100" w:line="264"/>
      </w:pPr>
      <w:r>
        <w:rPr>
          <w:b/>
          <w:bCs/>
        </w:rPr>
        <w:t xml:space="preserve">Modelo de negocio: </w:t>
      </w:r>
      <w:r>
        <w:t xml:space="preserve">Marketplace de propuestas: el cliente publica un proyecto, los freelancers compiten enviando propuestas usando "Connects" (créditos de postulación). En 2025 Upwork migró de un esquema escalonado (20%/10%/5% según facturación acumulada con un cliente) a una tarifa de servicio variable de 0–15%, con un promedio efectivo reportado cercano a 10%. [DATO]</w:t>
      </w:r>
    </w:p>
    <w:p>
      <w:pPr>
        <w:pStyle w:val="ListParagraph"/>
        <w:numPr>
          <w:ilvl w:val="0"/>
          <w:numId w:val="1"/>
        </w:numPr>
        <w:spacing w:after="100" w:line="264"/>
      </w:pPr>
      <w:r>
        <w:rPr>
          <w:b/>
          <w:bCs/>
        </w:rPr>
        <w:t xml:space="preserve">Cliente paga: </w:t>
      </w:r>
      <w:r>
        <w:t xml:space="preserve">Tarifa de marketplace de 3–10% según plan, más un cargo de inicio de contrato. [DATO]</w:t>
      </w:r>
    </w:p>
    <w:p>
      <w:pPr>
        <w:pStyle w:val="ListParagraph"/>
        <w:numPr>
          <w:ilvl w:val="0"/>
          <w:numId w:val="1"/>
        </w:numPr>
        <w:spacing w:after="100" w:line="264"/>
      </w:pPr>
      <w:r>
        <w:rPr>
          <w:b/>
          <w:bCs/>
        </w:rPr>
        <w:t xml:space="preserve">Ventajas: </w:t>
      </w:r>
      <w:r>
        <w:t xml:space="preserve">Mejor ajuste para proyectos complejos o de largo plazo; tarifa efectiva más baja que Fiverr para relaciones recurrentes; puntaje de éxito laboral (JSS) que impacta visibilidad. [DATO]</w:t>
      </w:r>
    </w:p>
    <w:p>
      <w:pPr>
        <w:pStyle w:val="ListParagraph"/>
        <w:numPr>
          <w:ilvl w:val="0"/>
          <w:numId w:val="1"/>
        </w:numPr>
        <w:spacing w:after="100" w:line="264"/>
      </w:pPr>
      <w:r>
        <w:rPr>
          <w:b/>
          <w:bCs/>
        </w:rPr>
        <w:t xml:space="preserve">Quejas principales: </w:t>
      </w:r>
      <w:r>
        <w:t xml:space="preserve">Costo de "Connects" para simplemente poder proponerse a un trabajo, sin garantía de respuesta; alta competencia de propuestas (24–40 por publicación); curva de entrada más difícil para freelancers nuevos. [OPINIÓN/DATO]</w:t>
      </w:r>
    </w:p>
    <w:p>
      <w:pPr>
        <w:pStyle w:val="Heading2"/>
        <w:spacing w:after="120" w:before="260"/>
      </w:pPr>
      <w:r>
        <w:t xml:space="preserve">Turno (antes TurnoverBnB)</w:t>
      </w:r>
    </w:p>
    <w:p>
      <w:pPr>
        <w:pStyle w:val="ListParagraph"/>
        <w:numPr>
          <w:ilvl w:val="0"/>
          <w:numId w:val="1"/>
        </w:numPr>
        <w:spacing w:after="100" w:line="264"/>
      </w:pPr>
      <w:r>
        <w:rPr>
          <w:b/>
          <w:bCs/>
        </w:rPr>
        <w:t xml:space="preserve">Modelo de negocio: </w:t>
      </w:r>
      <w:r>
        <w:t xml:space="preserve">Software de gestión de limpiezas para anfitriones de rentas vacacionales, con un marketplace de limpiadores independiente. Los hosts con una sola propiedad usan la app gratis; a partir de 2 propiedades con equipos externos pagan una suscripción (~$8–$10/propiedad/mes). Los limpiadores encontrados vía marketplace generan una comisión de 5% para Turno sobre el precio cobrado. [DATO]</w:t>
      </w:r>
    </w:p>
    <w:p>
      <w:pPr>
        <w:pStyle w:val="ListParagraph"/>
        <w:numPr>
          <w:ilvl w:val="0"/>
          <w:numId w:val="1"/>
        </w:numPr>
        <w:spacing w:after="100" w:line="264"/>
      </w:pPr>
      <w:r>
        <w:rPr>
          <w:b/>
          <w:bCs/>
        </w:rPr>
        <w:t xml:space="preserve">Ventajas: </w:t>
      </w:r>
      <w:r>
        <w:t xml:space="preserve">Automatiza la programación de limpiezas según el calendario de reservas (Airbnb, Vrbo, etc.), pagos automáticos, checklists con fotos. [DATO]</w:t>
      </w:r>
    </w:p>
    <w:p>
      <w:pPr>
        <w:pStyle w:val="ListParagraph"/>
        <w:numPr>
          <w:ilvl w:val="0"/>
          <w:numId w:val="1"/>
        </w:numPr>
        <w:spacing w:after="100" w:line="264"/>
      </w:pPr>
      <w:r>
        <w:rPr>
          <w:b/>
          <w:bCs/>
        </w:rPr>
        <w:t xml:space="preserve">Quejas principales: </w:t>
      </w:r>
      <w:r>
        <w:t xml:space="preserve">Cargos de contracargo retroactivo cuando un host reporta un problema tras el pago; tarifas de procesamiento de pago percibidas como poco claras; falta de reembolsos prorrateados en la suscripción anual. [OPINIÓN]</w:t>
      </w:r>
    </w:p>
    <w:p>
      <w:pPr>
        <w:pStyle w:val="ListParagraph"/>
        <w:numPr>
          <w:ilvl w:val="0"/>
          <w:numId w:val="1"/>
        </w:numPr>
        <w:spacing w:after="100" w:line="264"/>
      </w:pPr>
      <w:r>
        <w:rPr>
          <w:b/>
          <w:bCs/>
        </w:rPr>
        <w:t xml:space="preserve">Relevancia para el diseño nuevo: </w:t>
      </w:r>
      <w:r>
        <w:t xml:space="preserve">Turno es el mejor ejemplo entre los analizados de una plataforma que combina software operativo (calendario, checklist, inventario) con marketplace, en vez de ser solo un generador de leads. Esa combinación es replicable para otras categorías recurrentes (limpieza residencial, mantenimiento de propiedades). [RECOMENDACIÓN]</w:t>
      </w:r>
    </w:p>
    <w:p>
      <w:pPr>
        <w:pStyle w:val="Heading2"/>
        <w:spacing w:after="120" w:before="260"/>
      </w:pPr>
      <w:r>
        <w:t xml:space="preserve">Yelp para servicios / Yelp Ads</w:t>
      </w:r>
    </w:p>
    <w:p>
      <w:pPr>
        <w:pStyle w:val="ListParagraph"/>
        <w:numPr>
          <w:ilvl w:val="0"/>
          <w:numId w:val="1"/>
        </w:numPr>
        <w:spacing w:after="100" w:line="264"/>
      </w:pPr>
      <w:r>
        <w:rPr>
          <w:b/>
          <w:bCs/>
        </w:rPr>
        <w:t xml:space="preserve">Modelo de negocio: </w:t>
      </w:r>
      <w:r>
        <w:t xml:space="preserve">Publicidad de pago por clic o por posicionamiento dentro de resultados de búsqueda locales, más un flujo de "solicitar cotización" que genera leads compartidos, similar en efecto a Thumbtack. [DATO/PRÁCTICA]</w:t>
      </w:r>
    </w:p>
    <w:p>
      <w:pPr>
        <w:pStyle w:val="ListParagraph"/>
        <w:numPr>
          <w:ilvl w:val="0"/>
          <w:numId w:val="1"/>
        </w:numPr>
        <w:spacing w:after="100" w:line="264"/>
      </w:pPr>
      <w:r>
        <w:rPr>
          <w:b/>
          <w:bCs/>
        </w:rPr>
        <w:t xml:space="preserve">Quejas principales: </w:t>
      </w:r>
      <w:r>
        <w:t xml:space="preserve">Percepción de que las reseñas negativas 'suben' cuando el negocio deja de anunciarse (ampliamente reportada, aunque Yelp lo niega); dependencia de presupuesto de anuncios para visibilidad real. [OPINIÓN]</w:t>
      </w:r>
    </w:p>
    <w:p>
      <w:pPr>
        <w:pStyle w:val="Heading1"/>
        <w:pageBreakBefore/>
        <w:spacing w:after="160" w:before="360"/>
      </w:pPr>
      <w:r>
        <w:t xml:space="preserve">4–5. Mejores funciones de cada aplicación y principales quejas</w:t>
      </w:r>
    </w:p>
    <w:p>
      <w:pPr>
        <w:spacing w:after="160" w:line="276"/>
      </w:pPr>
      <w:r>
        <w:t xml:space="preserve">Síntesis cruzada de lo que cada plataforma hace mejor y lo que más frustra a proveedores y clientes, como insumo directo para el diseño del producto nuevo.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6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Plataforma</w:t>
            </w:r>
          </w:p>
        </w:tc>
        <w:tc>
          <w:tcPr>
            <w:tcW w:type="dxa" w:w="3900"/>
            <w:shd w:fill="1F3864" w:val="clear"/>
            <w:tcMar>
              <w:top w:type="dxa" w:w="80"/>
              <w:left w:type="dxa" w:w="100"/>
              <w:bottom w:type="dxa" w:w="80"/>
              <w:right w:type="dxa" w:w="100"/>
            </w:tcMar>
          </w:tcPr>
          <w:p>
            <w:pPr>
              <w:jc w:val="left"/>
            </w:pPr>
            <w:r>
              <w:rPr>
                <w:b/>
                <w:bCs/>
                <w:color w:val="FFFFFF"/>
                <w:sz w:val="20"/>
                <w:szCs w:val="20"/>
              </w:rPr>
              <w:t xml:space="preserve">Mejor función (para copiar/adaptar)</w:t>
            </w:r>
          </w:p>
        </w:tc>
        <w:tc>
          <w:tcPr>
            <w:tcW w:type="dxa" w:w="3600"/>
            <w:shd w:fill="1F3864" w:val="clear"/>
            <w:tcMar>
              <w:top w:type="dxa" w:w="80"/>
              <w:left w:type="dxa" w:w="100"/>
              <w:bottom w:type="dxa" w:w="80"/>
              <w:right w:type="dxa" w:w="100"/>
            </w:tcMar>
          </w:tcPr>
          <w:p>
            <w:pPr>
              <w:jc w:val="left"/>
            </w:pPr>
            <w:r>
              <w:rPr>
                <w:b/>
                <w:bCs/>
                <w:color w:val="FFFFFF"/>
                <w:sz w:val="20"/>
                <w:szCs w:val="20"/>
              </w:rPr>
              <w:t xml:space="preserve">Queja principal (para evitar)</w:t>
            </w:r>
          </w:p>
        </w:tc>
      </w:tr>
      <w:tr>
        <w:tc>
          <w:tcPr>
            <w:tcW w:type="dxa" w:w="1500"/>
            <w:shd w:fill="F2F6FA" w:val="clear"/>
            <w:tcMar>
              <w:top w:type="dxa" w:w="80"/>
              <w:left w:type="dxa" w:w="100"/>
              <w:bottom w:type="dxa" w:w="80"/>
              <w:right w:type="dxa" w:w="100"/>
            </w:tcMar>
          </w:tcPr>
          <w:p>
            <w:pPr>
              <w:jc w:val="left"/>
            </w:pPr>
            <w:r>
              <w:rPr>
                <w:b w:val="false"/>
                <w:bCs w:val="false"/>
                <w:sz w:val="20"/>
                <w:szCs w:val="20"/>
              </w:rPr>
              <w:t xml:space="preserve">Thumbtack</w:t>
            </w:r>
          </w:p>
        </w:tc>
        <w:tc>
          <w:tcPr>
            <w:tcW w:type="dxa" w:w="3900"/>
            <w:shd w:fill="F2F6FA" w:val="clear"/>
            <w:tcMar>
              <w:top w:type="dxa" w:w="80"/>
              <w:left w:type="dxa" w:w="100"/>
              <w:bottom w:type="dxa" w:w="80"/>
              <w:right w:type="dxa" w:w="100"/>
            </w:tcMar>
          </w:tcPr>
          <w:p>
            <w:pPr>
              <w:jc w:val="left"/>
            </w:pPr>
            <w:r>
              <w:rPr>
                <w:b w:val="false"/>
                <w:bCs w:val="false"/>
                <w:sz w:val="20"/>
                <w:szCs w:val="20"/>
              </w:rPr>
              <w:t xml:space="preserve">Emparejamiento rápido, presupuesto y precio máximo configurable por el proveedor</w:t>
            </w:r>
          </w:p>
        </w:tc>
        <w:tc>
          <w:tcPr>
            <w:tcW w:type="dxa" w:w="3600"/>
            <w:shd w:fill="F2F6FA" w:val="clear"/>
            <w:tcMar>
              <w:top w:type="dxa" w:w="80"/>
              <w:left w:type="dxa" w:w="100"/>
              <w:bottom w:type="dxa" w:w="80"/>
              <w:right w:type="dxa" w:w="100"/>
            </w:tcMar>
          </w:tcPr>
          <w:p>
            <w:pPr>
              <w:jc w:val="left"/>
            </w:pPr>
            <w:r>
              <w:rPr>
                <w:b w:val="false"/>
                <w:bCs w:val="false"/>
                <w:sz w:val="20"/>
                <w:szCs w:val="20"/>
              </w:rPr>
              <w:t xml:space="preserve">Se paga por leads no convertidos; precios opacos y dinámicos</w:t>
            </w:r>
          </w:p>
        </w:tc>
      </w:tr>
      <w:tr>
        <w:tc>
          <w:tcPr>
            <w:tcW w:type="dxa" w:w="1500"/>
            <w:shd w:fill="FFFFFF" w:val="clear"/>
            <w:tcMar>
              <w:top w:type="dxa" w:w="80"/>
              <w:left w:type="dxa" w:w="100"/>
              <w:bottom w:type="dxa" w:w="80"/>
              <w:right w:type="dxa" w:w="100"/>
            </w:tcMar>
          </w:tcPr>
          <w:p>
            <w:pPr>
              <w:jc w:val="left"/>
            </w:pPr>
            <w:r>
              <w:rPr>
                <w:b w:val="false"/>
                <w:bCs w:val="false"/>
                <w:sz w:val="20"/>
                <w:szCs w:val="20"/>
              </w:rPr>
              <w:t xml:space="preserve">TaskRabbit</w:t>
            </w:r>
          </w:p>
        </w:tc>
        <w:tc>
          <w:tcPr>
            <w:tcW w:type="dxa" w:w="3900"/>
            <w:shd w:fill="FFFFFF" w:val="clear"/>
            <w:tcMar>
              <w:top w:type="dxa" w:w="80"/>
              <w:left w:type="dxa" w:w="100"/>
              <w:bottom w:type="dxa" w:w="80"/>
              <w:right w:type="dxa" w:w="100"/>
            </w:tcMar>
          </w:tcPr>
          <w:p>
            <w:pPr>
              <w:jc w:val="left"/>
            </w:pPr>
            <w:r>
              <w:rPr>
                <w:b w:val="false"/>
                <w:bCs w:val="false"/>
                <w:sz w:val="20"/>
                <w:szCs w:val="20"/>
              </w:rPr>
              <w:t xml:space="preserve">Comisión ligada a transacción real, no a contacto; "Happiness Pledge"</w:t>
            </w:r>
          </w:p>
        </w:tc>
        <w:tc>
          <w:tcPr>
            <w:tcW w:type="dxa" w:w="3600"/>
            <w:shd w:fill="FFFFFF" w:val="clear"/>
            <w:tcMar>
              <w:top w:type="dxa" w:w="80"/>
              <w:left w:type="dxa" w:w="100"/>
              <w:bottom w:type="dxa" w:w="80"/>
              <w:right w:type="dxa" w:w="100"/>
            </w:tcMar>
          </w:tcPr>
          <w:p>
            <w:pPr>
              <w:jc w:val="left"/>
            </w:pPr>
            <w:r>
              <w:rPr>
                <w:b w:val="false"/>
                <w:bCs w:val="false"/>
                <w:sz w:val="20"/>
                <w:szCs w:val="20"/>
              </w:rPr>
              <w:t xml:space="preserve">El proveedor no puede prospectar activamente; comisión combinada elevada</w:t>
            </w:r>
          </w:p>
        </w:tc>
      </w:tr>
      <w:tr>
        <w:tc>
          <w:tcPr>
            <w:tcW w:type="dxa" w:w="1500"/>
            <w:shd w:fill="F2F6FA" w:val="clear"/>
            <w:tcMar>
              <w:top w:type="dxa" w:w="80"/>
              <w:left w:type="dxa" w:w="100"/>
              <w:bottom w:type="dxa" w:w="80"/>
              <w:right w:type="dxa" w:w="100"/>
            </w:tcMar>
          </w:tcPr>
          <w:p>
            <w:pPr>
              <w:jc w:val="left"/>
            </w:pPr>
            <w:r>
              <w:rPr>
                <w:b w:val="false"/>
                <w:bCs w:val="false"/>
                <w:sz w:val="20"/>
                <w:szCs w:val="20"/>
              </w:rPr>
              <w:t xml:space="preserve">Angi/HomeAdvisor</w:t>
            </w:r>
          </w:p>
        </w:tc>
        <w:tc>
          <w:tcPr>
            <w:tcW w:type="dxa" w:w="3900"/>
            <w:shd w:fill="F2F6FA" w:val="clear"/>
            <w:tcMar>
              <w:top w:type="dxa" w:w="80"/>
              <w:left w:type="dxa" w:w="100"/>
              <w:bottom w:type="dxa" w:w="80"/>
              <w:right w:type="dxa" w:w="100"/>
            </w:tcMar>
          </w:tcPr>
          <w:p>
            <w:pPr>
              <w:jc w:val="left"/>
            </w:pPr>
            <w:r>
              <w:rPr>
                <w:b w:val="false"/>
                <w:bCs w:val="false"/>
                <w:sz w:val="20"/>
                <w:szCs w:val="20"/>
              </w:rPr>
              <w:t xml:space="preserve">Reconocimiento de marca; insignia Google Guaranteed</w:t>
            </w:r>
          </w:p>
        </w:tc>
        <w:tc>
          <w:tcPr>
            <w:tcW w:type="dxa" w:w="3600"/>
            <w:shd w:fill="F2F6FA" w:val="clear"/>
            <w:tcMar>
              <w:top w:type="dxa" w:w="80"/>
              <w:left w:type="dxa" w:w="100"/>
              <w:bottom w:type="dxa" w:w="80"/>
              <w:right w:type="dxa" w:w="100"/>
            </w:tcMar>
          </w:tcPr>
          <w:p>
            <w:pPr>
              <w:jc w:val="left"/>
            </w:pPr>
            <w:r>
              <w:rPr>
                <w:b w:val="false"/>
                <w:bCs w:val="false"/>
                <w:sz w:val="20"/>
                <w:szCs w:val="20"/>
              </w:rPr>
              <w:t xml:space="preserve">Leads de baja calidad; contratos anuales con penalización alta</w:t>
            </w:r>
          </w:p>
        </w:tc>
      </w:tr>
      <w:tr>
        <w:tc>
          <w:tcPr>
            <w:tcW w:type="dxa" w:w="1500"/>
            <w:shd w:fill="FFFFFF" w:val="clear"/>
            <w:tcMar>
              <w:top w:type="dxa" w:w="80"/>
              <w:left w:type="dxa" w:w="100"/>
              <w:bottom w:type="dxa" w:w="80"/>
              <w:right w:type="dxa" w:w="100"/>
            </w:tcMar>
          </w:tcPr>
          <w:p>
            <w:pPr>
              <w:jc w:val="left"/>
            </w:pPr>
            <w:r>
              <w:rPr>
                <w:b w:val="false"/>
                <w:bCs w:val="false"/>
                <w:sz w:val="20"/>
                <w:szCs w:val="20"/>
              </w:rPr>
              <w:t xml:space="preserve">Angi Services / Handy</w:t>
            </w:r>
          </w:p>
        </w:tc>
        <w:tc>
          <w:tcPr>
            <w:tcW w:type="dxa" w:w="3900"/>
            <w:shd w:fill="FFFFFF" w:val="clear"/>
            <w:tcMar>
              <w:top w:type="dxa" w:w="80"/>
              <w:left w:type="dxa" w:w="100"/>
              <w:bottom w:type="dxa" w:w="80"/>
              <w:right w:type="dxa" w:w="100"/>
            </w:tcMar>
          </w:tcPr>
          <w:p>
            <w:pPr>
              <w:jc w:val="left"/>
            </w:pPr>
            <w:r>
              <w:rPr>
                <w:b w:val="false"/>
                <w:bCs w:val="false"/>
                <w:sz w:val="20"/>
                <w:szCs w:val="20"/>
              </w:rPr>
              <w:t xml:space="preserve">Precio fijo y reserva instantánea sin fricción de cotización</w:t>
            </w:r>
          </w:p>
        </w:tc>
        <w:tc>
          <w:tcPr>
            <w:tcW w:type="dxa" w:w="3600"/>
            <w:shd w:fill="FFFFFF" w:val="clear"/>
            <w:tcMar>
              <w:top w:type="dxa" w:w="80"/>
              <w:left w:type="dxa" w:w="100"/>
              <w:bottom w:type="dxa" w:w="80"/>
              <w:right w:type="dxa" w:w="100"/>
            </w:tcMar>
          </w:tcPr>
          <w:p>
            <w:pPr>
              <w:jc w:val="left"/>
            </w:pPr>
            <w:r>
              <w:rPr>
                <w:b w:val="false"/>
                <w:bCs w:val="false"/>
                <w:sz w:val="20"/>
                <w:szCs w:val="20"/>
              </w:rPr>
              <w:t xml:space="preserve">Proveedor pierde control de precio y margen</w:t>
            </w:r>
          </w:p>
        </w:tc>
      </w:tr>
      <w:tr>
        <w:tc>
          <w:tcPr>
            <w:tcW w:type="dxa" w:w="1500"/>
            <w:shd w:fill="F2F6FA" w:val="clear"/>
            <w:tcMar>
              <w:top w:type="dxa" w:w="80"/>
              <w:left w:type="dxa" w:w="100"/>
              <w:bottom w:type="dxa" w:w="80"/>
              <w:right w:type="dxa" w:w="100"/>
            </w:tcMar>
          </w:tcPr>
          <w:p>
            <w:pPr>
              <w:jc w:val="left"/>
            </w:pPr>
            <w:r>
              <w:rPr>
                <w:b w:val="false"/>
                <w:bCs w:val="false"/>
                <w:sz w:val="20"/>
                <w:szCs w:val="20"/>
              </w:rPr>
              <w:t xml:space="preserve">Bark</w:t>
            </w:r>
          </w:p>
        </w:tc>
        <w:tc>
          <w:tcPr>
            <w:tcW w:type="dxa" w:w="3900"/>
            <w:shd w:fill="F2F6FA" w:val="clear"/>
            <w:tcMar>
              <w:top w:type="dxa" w:w="80"/>
              <w:left w:type="dxa" w:w="100"/>
              <w:bottom w:type="dxa" w:w="80"/>
              <w:right w:type="dxa" w:w="100"/>
            </w:tcMar>
          </w:tcPr>
          <w:p>
            <w:pPr>
              <w:jc w:val="left"/>
            </w:pPr>
            <w:r>
              <w:rPr>
                <w:b w:val="false"/>
                <w:bCs w:val="false"/>
                <w:sz w:val="20"/>
                <w:szCs w:val="20"/>
              </w:rPr>
              <w:t xml:space="preserve">Filtro por categoría muy granular; devolución de créditos por lead inválido (en teoría)</w:t>
            </w:r>
          </w:p>
        </w:tc>
        <w:tc>
          <w:tcPr>
            <w:tcW w:type="dxa" w:w="3600"/>
            <w:shd w:fill="F2F6FA" w:val="clear"/>
            <w:tcMar>
              <w:top w:type="dxa" w:w="80"/>
              <w:left w:type="dxa" w:w="100"/>
              <w:bottom w:type="dxa" w:w="80"/>
              <w:right w:type="dxa" w:w="100"/>
            </w:tcMar>
          </w:tcPr>
          <w:p>
            <w:pPr>
              <w:jc w:val="left"/>
            </w:pPr>
            <w:r>
              <w:rPr>
                <w:b w:val="false"/>
                <w:bCs w:val="false"/>
                <w:sz w:val="20"/>
                <w:szCs w:val="20"/>
              </w:rPr>
              <w:t xml:space="preserve">Créditos que expiran; negativa a reembolsar; percepción de leads fabricados</w:t>
            </w:r>
          </w:p>
        </w:tc>
      </w:tr>
      <w:tr>
        <w:tc>
          <w:tcPr>
            <w:tcW w:type="dxa" w:w="1500"/>
            <w:shd w:fill="FFFFFF" w:val="clear"/>
            <w:tcMar>
              <w:top w:type="dxa" w:w="80"/>
              <w:left w:type="dxa" w:w="100"/>
              <w:bottom w:type="dxa" w:w="80"/>
              <w:right w:type="dxa" w:w="100"/>
            </w:tcMar>
          </w:tcPr>
          <w:p>
            <w:pPr>
              <w:jc w:val="left"/>
            </w:pPr>
            <w:r>
              <w:rPr>
                <w:b w:val="false"/>
                <w:bCs w:val="false"/>
                <w:sz w:val="20"/>
                <w:szCs w:val="20"/>
              </w:rPr>
              <w:t xml:space="preserve">Houzz Pro</w:t>
            </w:r>
          </w:p>
        </w:tc>
        <w:tc>
          <w:tcPr>
            <w:tcW w:type="dxa" w:w="3900"/>
            <w:shd w:fill="FFFFFF" w:val="clear"/>
            <w:tcMar>
              <w:top w:type="dxa" w:w="80"/>
              <w:left w:type="dxa" w:w="100"/>
              <w:bottom w:type="dxa" w:w="80"/>
              <w:right w:type="dxa" w:w="100"/>
            </w:tcMar>
          </w:tcPr>
          <w:p>
            <w:pPr>
              <w:jc w:val="left"/>
            </w:pPr>
            <w:r>
              <w:rPr>
                <w:b w:val="false"/>
                <w:bCs w:val="false"/>
                <w:sz w:val="20"/>
                <w:szCs w:val="20"/>
              </w:rPr>
              <w:t xml:space="preserve">Herramientas de gestión de proyecto integradas al perfil profesional</w:t>
            </w:r>
          </w:p>
        </w:tc>
        <w:tc>
          <w:tcPr>
            <w:tcW w:type="dxa" w:w="3600"/>
            <w:shd w:fill="FFFFFF" w:val="clear"/>
            <w:tcMar>
              <w:top w:type="dxa" w:w="80"/>
              <w:left w:type="dxa" w:w="100"/>
              <w:bottom w:type="dxa" w:w="80"/>
              <w:right w:type="dxa" w:w="100"/>
            </w:tcMar>
          </w:tcPr>
          <w:p>
            <w:pPr>
              <w:jc w:val="left"/>
            </w:pPr>
            <w:r>
              <w:rPr>
                <w:b w:val="false"/>
                <w:bCs w:val="false"/>
                <w:sz w:val="20"/>
                <w:szCs w:val="20"/>
              </w:rPr>
              <w:t xml:space="preserve">Posicionamiento "pay to win" sin verificación obligatoria</w:t>
            </w:r>
          </w:p>
        </w:tc>
      </w:tr>
      <w:tr>
        <w:tc>
          <w:tcPr>
            <w:tcW w:type="dxa" w:w="1500"/>
            <w:shd w:fill="F2F6FA" w:val="clear"/>
            <w:tcMar>
              <w:top w:type="dxa" w:w="80"/>
              <w:left w:type="dxa" w:w="100"/>
              <w:bottom w:type="dxa" w:w="80"/>
              <w:right w:type="dxa" w:w="100"/>
            </w:tcMar>
          </w:tcPr>
          <w:p>
            <w:pPr>
              <w:jc w:val="left"/>
            </w:pPr>
            <w:r>
              <w:rPr>
                <w:b w:val="false"/>
                <w:bCs w:val="false"/>
                <w:sz w:val="20"/>
                <w:szCs w:val="20"/>
              </w:rPr>
              <w:t xml:space="preserve">Porch</w:t>
            </w:r>
          </w:p>
        </w:tc>
        <w:tc>
          <w:tcPr>
            <w:tcW w:type="dxa" w:w="3900"/>
            <w:shd w:fill="F2F6FA" w:val="clear"/>
            <w:tcMar>
              <w:top w:type="dxa" w:w="80"/>
              <w:left w:type="dxa" w:w="100"/>
              <w:bottom w:type="dxa" w:w="80"/>
              <w:right w:type="dxa" w:w="100"/>
            </w:tcMar>
          </w:tcPr>
          <w:p>
            <w:pPr>
              <w:jc w:val="left"/>
            </w:pPr>
            <w:r>
              <w:rPr>
                <w:b w:val="false"/>
                <w:bCs w:val="false"/>
                <w:sz w:val="20"/>
                <w:szCs w:val="20"/>
              </w:rPr>
              <w:t xml:space="preserve">Integración con datos de mudanza/BBB; opción "Vetted Pro"</w:t>
            </w:r>
          </w:p>
        </w:tc>
        <w:tc>
          <w:tcPr>
            <w:tcW w:type="dxa" w:w="3600"/>
            <w:shd w:fill="F2F6FA" w:val="clear"/>
            <w:tcMar>
              <w:top w:type="dxa" w:w="80"/>
              <w:left w:type="dxa" w:w="100"/>
              <w:bottom w:type="dxa" w:w="80"/>
              <w:right w:type="dxa" w:w="100"/>
            </w:tcMar>
          </w:tcPr>
          <w:p>
            <w:pPr>
              <w:jc w:val="left"/>
            </w:pPr>
            <w:r>
              <w:rPr>
                <w:b w:val="false"/>
                <w:bCs w:val="false"/>
                <w:sz w:val="20"/>
                <w:szCs w:val="20"/>
              </w:rPr>
              <w:t xml:space="preserve">Reventa de datos de contacto sin transparencia total</w:t>
            </w:r>
          </w:p>
        </w:tc>
      </w:tr>
      <w:tr>
        <w:tc>
          <w:tcPr>
            <w:tcW w:type="dxa" w:w="1500"/>
            <w:shd w:fill="FFFFFF" w:val="clear"/>
            <w:tcMar>
              <w:top w:type="dxa" w:w="80"/>
              <w:left w:type="dxa" w:w="100"/>
              <w:bottom w:type="dxa" w:w="80"/>
              <w:right w:type="dxa" w:w="100"/>
            </w:tcMar>
          </w:tcPr>
          <w:p>
            <w:pPr>
              <w:jc w:val="left"/>
            </w:pPr>
            <w:r>
              <w:rPr>
                <w:b w:val="false"/>
                <w:bCs w:val="false"/>
                <w:sz w:val="20"/>
                <w:szCs w:val="20"/>
              </w:rPr>
              <w:t xml:space="preserve">Fiverr</w:t>
            </w:r>
          </w:p>
        </w:tc>
        <w:tc>
          <w:tcPr>
            <w:tcW w:type="dxa" w:w="3900"/>
            <w:shd w:fill="FFFFFF" w:val="clear"/>
            <w:tcMar>
              <w:top w:type="dxa" w:w="80"/>
              <w:left w:type="dxa" w:w="100"/>
              <w:bottom w:type="dxa" w:w="80"/>
              <w:right w:type="dxa" w:w="100"/>
            </w:tcMar>
          </w:tcPr>
          <w:p>
            <w:pPr>
              <w:jc w:val="left"/>
            </w:pPr>
            <w:r>
              <w:rPr>
                <w:b w:val="false"/>
                <w:bCs w:val="false"/>
                <w:sz w:val="20"/>
                <w:szCs w:val="20"/>
              </w:rPr>
              <w:t xml:space="preserve">Catálogo claro tipo e-commerce; niveles de vendedor con beneficios</w:t>
            </w:r>
          </w:p>
        </w:tc>
        <w:tc>
          <w:tcPr>
            <w:tcW w:type="dxa" w:w="3600"/>
            <w:shd w:fill="FFFFFF" w:val="clear"/>
            <w:tcMar>
              <w:top w:type="dxa" w:w="80"/>
              <w:left w:type="dxa" w:w="100"/>
              <w:bottom w:type="dxa" w:w="80"/>
              <w:right w:type="dxa" w:w="100"/>
            </w:tcMar>
          </w:tcPr>
          <w:p>
            <w:pPr>
              <w:jc w:val="left"/>
            </w:pPr>
            <w:r>
              <w:rPr>
                <w:b w:val="false"/>
                <w:bCs w:val="false"/>
                <w:sz w:val="20"/>
                <w:szCs w:val="20"/>
              </w:rPr>
              <w:t xml:space="preserve">20% fijo sin descuento por volumen o lealtad</w:t>
            </w:r>
          </w:p>
        </w:tc>
      </w:tr>
      <w:tr>
        <w:tc>
          <w:tcPr>
            <w:tcW w:type="dxa" w:w="1500"/>
            <w:shd w:fill="F2F6FA" w:val="clear"/>
            <w:tcMar>
              <w:top w:type="dxa" w:w="80"/>
              <w:left w:type="dxa" w:w="100"/>
              <w:bottom w:type="dxa" w:w="80"/>
              <w:right w:type="dxa" w:w="100"/>
            </w:tcMar>
          </w:tcPr>
          <w:p>
            <w:pPr>
              <w:jc w:val="left"/>
            </w:pPr>
            <w:r>
              <w:rPr>
                <w:b w:val="false"/>
                <w:bCs w:val="false"/>
                <w:sz w:val="20"/>
                <w:szCs w:val="20"/>
              </w:rPr>
              <w:t xml:space="preserve">Upwork</w:t>
            </w:r>
          </w:p>
        </w:tc>
        <w:tc>
          <w:tcPr>
            <w:tcW w:type="dxa" w:w="3900"/>
            <w:shd w:fill="F2F6FA" w:val="clear"/>
            <w:tcMar>
              <w:top w:type="dxa" w:w="80"/>
              <w:left w:type="dxa" w:w="100"/>
              <w:bottom w:type="dxa" w:w="80"/>
              <w:right w:type="dxa" w:w="100"/>
            </w:tcMar>
          </w:tcPr>
          <w:p>
            <w:pPr>
              <w:jc w:val="left"/>
            </w:pPr>
            <w:r>
              <w:rPr>
                <w:b w:val="false"/>
                <w:bCs w:val="false"/>
                <w:sz w:val="20"/>
                <w:szCs w:val="20"/>
              </w:rPr>
              <w:t xml:space="preserve">Contratos por hora con seguimiento de tiempo y protección de pago; JSS</w:t>
            </w:r>
          </w:p>
        </w:tc>
        <w:tc>
          <w:tcPr>
            <w:tcW w:type="dxa" w:w="3600"/>
            <w:shd w:fill="F2F6FA" w:val="clear"/>
            <w:tcMar>
              <w:top w:type="dxa" w:w="80"/>
              <w:left w:type="dxa" w:w="100"/>
              <w:bottom w:type="dxa" w:w="80"/>
              <w:right w:type="dxa" w:w="100"/>
            </w:tcMar>
          </w:tcPr>
          <w:p>
            <w:pPr>
              <w:jc w:val="left"/>
            </w:pPr>
            <w:r>
              <w:rPr>
                <w:b w:val="false"/>
                <w:bCs w:val="false"/>
                <w:sz w:val="20"/>
                <w:szCs w:val="20"/>
              </w:rPr>
              <w:t xml:space="preserve">Costo de "Connects" solo para poder proponerse</w:t>
            </w:r>
          </w:p>
        </w:tc>
      </w:tr>
      <w:tr>
        <w:tc>
          <w:tcPr>
            <w:tcW w:type="dxa" w:w="1500"/>
            <w:shd w:fill="FFFFFF" w:val="clear"/>
            <w:tcMar>
              <w:top w:type="dxa" w:w="80"/>
              <w:left w:type="dxa" w:w="100"/>
              <w:bottom w:type="dxa" w:w="80"/>
              <w:right w:type="dxa" w:w="100"/>
            </w:tcMar>
          </w:tcPr>
          <w:p>
            <w:pPr>
              <w:jc w:val="left"/>
            </w:pPr>
            <w:r>
              <w:rPr>
                <w:b w:val="false"/>
                <w:bCs w:val="false"/>
                <w:sz w:val="20"/>
                <w:szCs w:val="20"/>
              </w:rPr>
              <w:t xml:space="preserve">Turno</w:t>
            </w:r>
          </w:p>
        </w:tc>
        <w:tc>
          <w:tcPr>
            <w:tcW w:type="dxa" w:w="3900"/>
            <w:shd w:fill="FFFFFF" w:val="clear"/>
            <w:tcMar>
              <w:top w:type="dxa" w:w="80"/>
              <w:left w:type="dxa" w:w="100"/>
              <w:bottom w:type="dxa" w:w="80"/>
              <w:right w:type="dxa" w:w="100"/>
            </w:tcMar>
          </w:tcPr>
          <w:p>
            <w:pPr>
              <w:jc w:val="left"/>
            </w:pPr>
            <w:r>
              <w:rPr>
                <w:b w:val="false"/>
                <w:bCs w:val="false"/>
                <w:sz w:val="20"/>
                <w:szCs w:val="20"/>
              </w:rPr>
              <w:t xml:space="preserve">Automatización real de operaciones (calendario, checklist, inventario)</w:t>
            </w:r>
          </w:p>
        </w:tc>
        <w:tc>
          <w:tcPr>
            <w:tcW w:type="dxa" w:w="3600"/>
            <w:shd w:fill="FFFFFF" w:val="clear"/>
            <w:tcMar>
              <w:top w:type="dxa" w:w="80"/>
              <w:left w:type="dxa" w:w="100"/>
              <w:bottom w:type="dxa" w:w="80"/>
              <w:right w:type="dxa" w:w="100"/>
            </w:tcMar>
          </w:tcPr>
          <w:p>
            <w:pPr>
              <w:jc w:val="left"/>
            </w:pPr>
            <w:r>
              <w:rPr>
                <w:b w:val="false"/>
                <w:bCs w:val="false"/>
                <w:sz w:val="20"/>
                <w:szCs w:val="20"/>
              </w:rPr>
              <w:t xml:space="preserve">Contracargos retroactivos tras el pago; falta de prorrateo</w:t>
            </w:r>
          </w:p>
        </w:tc>
      </w:tr>
    </w:tbl>
    <w:p>
      <w:pPr>
        <w:pStyle w:val="Heading1"/>
        <w:pageBreakBefore/>
        <w:spacing w:after="160" w:before="360"/>
      </w:pPr>
      <w:r>
        <w:t xml:space="preserve">6–7. Funciones que deben copiarse, adaptarse o evitarse</w:t>
      </w:r>
    </w:p>
    <w:p>
      <w:pPr>
        <w:pStyle w:val="Heading2"/>
        <w:spacing w:after="120" w:before="260"/>
      </w:pPr>
      <w:r>
        <w:t xml:space="preserve">Copiar y adaptar</w:t>
      </w:r>
    </w:p>
    <w:p>
      <w:pPr>
        <w:pStyle w:val="ListParagraph"/>
        <w:numPr>
          <w:ilvl w:val="0"/>
          <w:numId w:val="1"/>
        </w:numPr>
        <w:spacing w:after="80" w:line="264"/>
      </w:pPr>
      <w:r>
        <w:t xml:space="preserve">Comisión ligada al trabajo pagado y confirmado, no al simple contacto (de TaskRabbit/Upwork).</w:t>
      </w:r>
    </w:p>
    <w:p>
      <w:pPr>
        <w:pStyle w:val="ListParagraph"/>
        <w:numPr>
          <w:ilvl w:val="0"/>
          <w:numId w:val="1"/>
        </w:numPr>
        <w:spacing w:after="80" w:line="264"/>
      </w:pPr>
      <w:r>
        <w:t xml:space="preserve">Precio fijo pre-cotizado para servicios estandarizables, como opción rápida junto a la cotización personalizada (de Angi Services).</w:t>
      </w:r>
    </w:p>
    <w:p>
      <w:pPr>
        <w:pStyle w:val="ListParagraph"/>
        <w:numPr>
          <w:ilvl w:val="0"/>
          <w:numId w:val="1"/>
        </w:numPr>
        <w:spacing w:after="80" w:line="264"/>
      </w:pPr>
      <w:r>
        <w:t xml:space="preserve">Automatización operativa real: calendario, checklist con fotos, inventario, pagos automáticos (de Turno).</w:t>
      </w:r>
    </w:p>
    <w:p>
      <w:pPr>
        <w:pStyle w:val="ListParagraph"/>
        <w:numPr>
          <w:ilvl w:val="0"/>
          <w:numId w:val="1"/>
        </w:numPr>
        <w:spacing w:after="80" w:line="264"/>
      </w:pPr>
      <w:r>
        <w:t xml:space="preserve">Niveles de vendedor con beneficios crecientes por desempeño, no solo por antigüedad (de Fiverr/Upwork).</w:t>
      </w:r>
    </w:p>
    <w:p>
      <w:pPr>
        <w:pStyle w:val="ListParagraph"/>
        <w:numPr>
          <w:ilvl w:val="0"/>
          <w:numId w:val="1"/>
        </w:numPr>
        <w:spacing w:after="80" w:line="264"/>
      </w:pPr>
      <w:r>
        <w:t xml:space="preserve">Garantía de satisfacción explícita y visible en el checkout (de TaskRabbit).</w:t>
      </w:r>
    </w:p>
    <w:p>
      <w:pPr>
        <w:pStyle w:val="ListParagraph"/>
        <w:numPr>
          <w:ilvl w:val="0"/>
          <w:numId w:val="1"/>
        </w:numPr>
        <w:spacing w:after="80" w:line="264"/>
      </w:pPr>
      <w:r>
        <w:t xml:space="preserve">Insignias de verificación con criterios públicos y auditable (Google Guaranteed de Angi como referencia de formato, no de rigor).</w:t>
      </w:r>
    </w:p>
    <w:p>
      <w:pPr>
        <w:pStyle w:val="Heading2"/>
        <w:spacing w:after="120" w:before="260"/>
      </w:pPr>
      <w:r>
        <w:t xml:space="preserve">Evitar</w:t>
      </w:r>
    </w:p>
    <w:p>
      <w:pPr>
        <w:pStyle w:val="ListParagraph"/>
        <w:numPr>
          <w:ilvl w:val="0"/>
          <w:numId w:val="1"/>
        </w:numPr>
        <w:spacing w:after="80" w:line="264"/>
      </w:pPr>
      <w:r>
        <w:t xml:space="preserve">Créditos con expiración que penalizan al proveedor por no gastar rápido (Bark).</w:t>
      </w:r>
    </w:p>
    <w:p>
      <w:pPr>
        <w:pStyle w:val="ListParagraph"/>
        <w:numPr>
          <w:ilvl w:val="0"/>
          <w:numId w:val="1"/>
        </w:numPr>
        <w:spacing w:after="80" w:line="264"/>
      </w:pPr>
      <w:r>
        <w:t xml:space="preserve">Venta del mismo lead a un número no revelado de competidores sin límite claro (Angi/HomeAdvisor/Thumbtack).</w:t>
      </w:r>
    </w:p>
    <w:p>
      <w:pPr>
        <w:pStyle w:val="ListParagraph"/>
        <w:numPr>
          <w:ilvl w:val="0"/>
          <w:numId w:val="1"/>
        </w:numPr>
        <w:spacing w:after="80" w:line="264"/>
      </w:pPr>
      <w:r>
        <w:t xml:space="preserve">Contratos anuales con penalización alta de cancelación y tácticas de venta telefónica agresivas (Angi).</w:t>
      </w:r>
    </w:p>
    <w:p>
      <w:pPr>
        <w:pStyle w:val="ListParagraph"/>
        <w:numPr>
          <w:ilvl w:val="0"/>
          <w:numId w:val="1"/>
        </w:numPr>
        <w:spacing w:after="80" w:line="264"/>
      </w:pPr>
      <w:r>
        <w:t xml:space="preserve">Cobrar por el simple hecho de poder responder o proponerse, sin relación con el resultado (Connects de Upwork, créditos de Bark).</w:t>
      </w:r>
    </w:p>
    <w:p>
      <w:pPr>
        <w:pStyle w:val="ListParagraph"/>
        <w:numPr>
          <w:ilvl w:val="0"/>
          <w:numId w:val="1"/>
        </w:numPr>
        <w:spacing w:after="80" w:line="264"/>
      </w:pPr>
      <w:r>
        <w:t xml:space="preserve">Peso desigual de reseñas según si el usuario es miembro pagante (percepción de manipulación, Angi).</w:t>
      </w:r>
    </w:p>
    <w:p>
      <w:pPr>
        <w:pStyle w:val="ListParagraph"/>
        <w:numPr>
          <w:ilvl w:val="0"/>
          <w:numId w:val="1"/>
        </w:numPr>
        <w:spacing w:after="80" w:line="264"/>
      </w:pPr>
      <w:r>
        <w:t xml:space="preserve">Falta de reembolso prorrateado y cargos automáticos poco claros (Turno, Bark).</w:t>
      </w:r>
    </w:p>
    <w:p>
      <w:pPr>
        <w:pStyle w:val="Heading1"/>
        <w:pageBreakBefore/>
        <w:spacing w:after="160" w:before="360"/>
      </w:pPr>
      <w:r>
        <w:t xml:space="preserve">8. Diseño del modelo de negocio recomendado</w:t>
      </w:r>
    </w:p>
    <w:p>
      <w:pPr>
        <w:spacing w:after="160" w:line="276"/>
      </w:pPr>
      <w:r>
        <w:t xml:space="preserve">El modelo recomendado [RECOMENDACIÓN] combina tres mecanismos, evitando depender de uno solo:</w:t>
      </w:r>
    </w:p>
    <w:p>
      <w:pPr>
        <w:pStyle w:val="ListParagraph"/>
        <w:numPr>
          <w:ilvl w:val="0"/>
          <w:numId w:val="1"/>
        </w:numPr>
        <w:spacing w:after="80" w:line="264"/>
      </w:pPr>
      <w:r>
        <w:t xml:space="preserve">Comisión dividida sobre transacción confirmada: una comisión al proveedor y una tarifa de servicio menor al cliente, cobradas solo cuando el trabajo se reserva y se paga (no por lead ni por simple contacto).</w:t>
      </w:r>
    </w:p>
    <w:p>
      <w:pPr>
        <w:pStyle w:val="ListParagraph"/>
        <w:numPr>
          <w:ilvl w:val="0"/>
          <w:numId w:val="1"/>
        </w:numPr>
        <w:spacing w:after="80" w:line="264"/>
      </w:pPr>
      <w:r>
        <w:t xml:space="preserve">Cotización instantánea a precio fijo para categorías estandarizables (limpieza básica, montaje, mudanzas cortas) y cotización personalizada asistida para trabajos complejos (remodelación, electricidad, construcción).</w:t>
      </w:r>
    </w:p>
    <w:p>
      <w:pPr>
        <w:pStyle w:val="ListParagraph"/>
        <w:numPr>
          <w:ilvl w:val="0"/>
          <w:numId w:val="1"/>
        </w:numPr>
        <w:spacing w:after="80" w:line="264"/>
      </w:pPr>
      <w:r>
        <w:t xml:space="preserve">Capas opcionales de monetización adicional que no dependen de cobrar por acceso a clientes: suscripción de herramientas de negocio (CRM, facturación, nómina para equipos), posicionamiento patrocinado limitado y claramente etiquetado como "Patrocinado", seguros y garantías opcionales, y comisión reducida sobre financiamiento de trabajos grandes.</w:t>
      </w:r>
    </w:p>
    <w:p>
      <w:pPr>
        <w:pStyle w:val="Heading2"/>
        <w:spacing w:after="120" w:before="260"/>
      </w:pPr>
      <w:r>
        <w:t xml:space="preserve">Por qué este modelo y no el de pago-por-lead</w:t>
      </w:r>
    </w:p>
    <w:p>
      <w:pPr>
        <w:spacing w:after="160" w:line="276"/>
      </w:pPr>
      <w:r>
        <w:t xml:space="preserve">El pago-por-lead traslada casi todo el riesgo de conversión al proveedor y es la causa número uno de abandono de plataforma según la evidencia analizada. Un modelo de comisión sobre transacción alinea el incentivo: la plataforma solo gana cuando el proveedor gana, lo que reduce el riesgo percibido de unirse y facilita la retención a largo plazo. [RECOMENDACIÓN]</w:t>
      </w:r>
    </w:p>
    <w:p>
      <w:pPr>
        <w:pStyle w:val="Heading2"/>
        <w:spacing w:after="120" w:before="260"/>
      </w:pPr>
      <w:r>
        <w:t xml:space="preserve">Comparación de modelos de monetización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rPr>
          <w:tblHeader/>
        </w:trPr>
        <w:tc>
          <w:tcPr>
            <w:tcW w:type="dxa" w:w="2400"/>
            <w:shd w:fill="1F3864" w:val="clear"/>
            <w:tcMar>
              <w:top w:type="dxa" w:w="80"/>
              <w:left w:type="dxa" w:w="100"/>
              <w:bottom w:type="dxa" w:w="80"/>
              <w:right w:type="dxa" w:w="100"/>
            </w:tcMar>
          </w:tcPr>
          <w:p>
            <w:pPr>
              <w:jc w:val="left"/>
            </w:pPr>
            <w:r>
              <w:rPr>
                <w:b/>
                <w:bCs/>
                <w:color w:val="FFFFFF"/>
                <w:sz w:val="20"/>
                <w:szCs w:val="20"/>
              </w:rPr>
              <w:t xml:space="preserve">Modelo</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Ventaja principal</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Desventaja principal</w:t>
            </w:r>
          </w:p>
        </w:tc>
      </w:tr>
      <w:tr>
        <w:tc>
          <w:tcPr>
            <w:tcW w:type="dxa" w:w="2400"/>
            <w:shd w:fill="F2F6FA" w:val="clear"/>
            <w:tcMar>
              <w:top w:type="dxa" w:w="80"/>
              <w:left w:type="dxa" w:w="100"/>
              <w:bottom w:type="dxa" w:w="80"/>
              <w:right w:type="dxa" w:w="100"/>
            </w:tcMar>
          </w:tcPr>
          <w:p>
            <w:pPr>
              <w:jc w:val="left"/>
            </w:pPr>
            <w:r>
              <w:rPr>
                <w:b w:val="false"/>
                <w:bCs w:val="false"/>
                <w:sz w:val="20"/>
                <w:szCs w:val="20"/>
              </w:rPr>
              <w:t xml:space="preserve">Comisión al proveedor (transacción)</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Alineado con el éxito; predecible para el proveedor</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Requiere volumen de transacciones para ser rentable</w:t>
            </w:r>
          </w:p>
        </w:tc>
      </w:tr>
      <w:tr>
        <w:tc>
          <w:tcPr>
            <w:tcW w:type="dxa" w:w="2400"/>
            <w:shd w:fill="FFFFFF" w:val="clear"/>
            <w:tcMar>
              <w:top w:type="dxa" w:w="80"/>
              <w:left w:type="dxa" w:w="100"/>
              <w:bottom w:type="dxa" w:w="80"/>
              <w:right w:type="dxa" w:w="100"/>
            </w:tcMar>
          </w:tcPr>
          <w:p>
            <w:pPr>
              <w:jc w:val="left"/>
            </w:pPr>
            <w:r>
              <w:rPr>
                <w:b w:val="false"/>
                <w:bCs w:val="false"/>
                <w:sz w:val="20"/>
                <w:szCs w:val="20"/>
              </w:rPr>
              <w:t xml:space="preserve">Tarifa de servicio al cliente</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Ingreso adicional sin afectar el margen del proveedor</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Puede percibirse como cargo oculto si no es transparente</w:t>
            </w:r>
          </w:p>
        </w:tc>
      </w:tr>
      <w:tr>
        <w:tc>
          <w:tcPr>
            <w:tcW w:type="dxa" w:w="2400"/>
            <w:shd w:fill="F2F6FA" w:val="clear"/>
            <w:tcMar>
              <w:top w:type="dxa" w:w="80"/>
              <w:left w:type="dxa" w:w="100"/>
              <w:bottom w:type="dxa" w:w="80"/>
              <w:right w:type="dxa" w:w="100"/>
            </w:tcMar>
          </w:tcPr>
          <w:p>
            <w:pPr>
              <w:jc w:val="left"/>
            </w:pPr>
            <w:r>
              <w:rPr>
                <w:b w:val="false"/>
                <w:bCs w:val="false"/>
                <w:sz w:val="20"/>
                <w:szCs w:val="20"/>
              </w:rPr>
              <w:t xml:space="preserve">Comisión dividida (ambos lados)</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Reduce el porcentaje visible en cada lado; más aceptable psicológicamente</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Requiere comunicar con claridad el desglose</w:t>
            </w:r>
          </w:p>
        </w:tc>
      </w:tr>
      <w:tr>
        <w:tc>
          <w:tcPr>
            <w:tcW w:type="dxa" w:w="2400"/>
            <w:shd w:fill="FFFFFF" w:val="clear"/>
            <w:tcMar>
              <w:top w:type="dxa" w:w="80"/>
              <w:left w:type="dxa" w:w="100"/>
              <w:bottom w:type="dxa" w:w="80"/>
              <w:right w:type="dxa" w:w="100"/>
            </w:tcMar>
          </w:tcPr>
          <w:p>
            <w:pPr>
              <w:jc w:val="left"/>
            </w:pPr>
            <w:r>
              <w:rPr>
                <w:b w:val="false"/>
                <w:bCs w:val="false"/>
                <w:sz w:val="20"/>
                <w:szCs w:val="20"/>
              </w:rPr>
              <w:t xml:space="preserve">Pago por lead</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Ingreso inmediato y predecible para la plataforma</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Traslada todo el riesgo al proveedor; alta rotación</w:t>
            </w:r>
          </w:p>
        </w:tc>
      </w:tr>
      <w:tr>
        <w:tc>
          <w:tcPr>
            <w:tcW w:type="dxa" w:w="2400"/>
            <w:shd w:fill="F2F6FA" w:val="clear"/>
            <w:tcMar>
              <w:top w:type="dxa" w:w="80"/>
              <w:left w:type="dxa" w:w="100"/>
              <w:bottom w:type="dxa" w:w="80"/>
              <w:right w:type="dxa" w:w="100"/>
            </w:tcMar>
          </w:tcPr>
          <w:p>
            <w:pPr>
              <w:jc w:val="left"/>
            </w:pPr>
            <w:r>
              <w:rPr>
                <w:b w:val="false"/>
                <w:bCs w:val="false"/>
                <w:sz w:val="20"/>
                <w:szCs w:val="20"/>
              </w:rPr>
              <w:t xml:space="preserve">Suscripción mensual</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Ingreso recurrente estable</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Barrera de entrada para proveedores pequeños o nuevos</w:t>
            </w:r>
          </w:p>
        </w:tc>
      </w:tr>
      <w:tr>
        <w:tc>
          <w:tcPr>
            <w:tcW w:type="dxa" w:w="2400"/>
            <w:shd w:fill="FFFFFF" w:val="clear"/>
            <w:tcMar>
              <w:top w:type="dxa" w:w="80"/>
              <w:left w:type="dxa" w:w="100"/>
              <w:bottom w:type="dxa" w:w="80"/>
              <w:right w:type="dxa" w:w="100"/>
            </w:tcMar>
          </w:tcPr>
          <w:p>
            <w:pPr>
              <w:jc w:val="left"/>
            </w:pPr>
            <w:r>
              <w:rPr>
                <w:b w:val="false"/>
                <w:bCs w:val="false"/>
                <w:sz w:val="20"/>
                <w:szCs w:val="20"/>
              </w:rPr>
              <w:t xml:space="preserve">Membresía premium / posicionamiento patrocinado</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Ingreso adicional de alto margen</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Riesgo de percepción "pay to win" si no se limita y etiqueta</w:t>
            </w:r>
          </w:p>
        </w:tc>
      </w:tr>
      <w:tr>
        <w:tc>
          <w:tcPr>
            <w:tcW w:type="dxa" w:w="2400"/>
            <w:shd w:fill="F2F6FA" w:val="clear"/>
            <w:tcMar>
              <w:top w:type="dxa" w:w="80"/>
              <w:left w:type="dxa" w:w="100"/>
              <w:bottom w:type="dxa" w:w="80"/>
              <w:right w:type="dxa" w:w="100"/>
            </w:tcMar>
          </w:tcPr>
          <w:p>
            <w:pPr>
              <w:jc w:val="left"/>
            </w:pPr>
            <w:r>
              <w:rPr>
                <w:b w:val="false"/>
                <w:bCs w:val="false"/>
                <w:sz w:val="20"/>
                <w:szCs w:val="20"/>
              </w:rPr>
              <w:t xml:space="preserve">Pago por reserva (fee fijo)</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Simplicidad</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No escala con el valor del trabajo; injusto en trabajos grandes</w:t>
            </w:r>
          </w:p>
        </w:tc>
      </w:tr>
      <w:tr>
        <w:tc>
          <w:tcPr>
            <w:tcW w:type="dxa" w:w="2400"/>
            <w:shd w:fill="FFFFFF" w:val="clear"/>
            <w:tcMar>
              <w:top w:type="dxa" w:w="80"/>
              <w:left w:type="dxa" w:w="100"/>
              <w:bottom w:type="dxa" w:w="80"/>
              <w:right w:type="dxa" w:w="100"/>
            </w:tcMar>
          </w:tcPr>
          <w:p>
            <w:pPr>
              <w:jc w:val="left"/>
            </w:pPr>
            <w:r>
              <w:rPr>
                <w:b w:val="false"/>
                <w:bCs w:val="false"/>
                <w:sz w:val="20"/>
                <w:szCs w:val="20"/>
              </w:rPr>
              <w:t xml:space="preserve">Comisión sobre materiales/extras</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Ingreso adicional en trabajos grandes</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Requiere integrar compra de materiales dentro de la app</w:t>
            </w:r>
          </w:p>
        </w:tc>
      </w:tr>
      <w:tr>
        <w:tc>
          <w:tcPr>
            <w:tcW w:type="dxa" w:w="2400"/>
            <w:shd w:fill="F2F6FA" w:val="clear"/>
            <w:tcMar>
              <w:top w:type="dxa" w:w="80"/>
              <w:left w:type="dxa" w:w="100"/>
              <w:bottom w:type="dxa" w:w="80"/>
              <w:right w:type="dxa" w:w="100"/>
            </w:tcMar>
          </w:tcPr>
          <w:p>
            <w:pPr>
              <w:jc w:val="left"/>
            </w:pPr>
            <w:r>
              <w:rPr>
                <w:b w:val="false"/>
                <w:bCs w:val="false"/>
                <w:sz w:val="20"/>
                <w:szCs w:val="20"/>
              </w:rPr>
              <w:t xml:space="preserve">Seguros y garantías</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Alto margen, refuerza confianza</w:t>
            </w:r>
          </w:p>
        </w:tc>
        <w:tc>
          <w:tcPr>
            <w:tcW w:type="dxa" w:w="3300"/>
            <w:shd w:fill="F2F6FA" w:val="clear"/>
            <w:tcMar>
              <w:top w:type="dxa" w:w="80"/>
              <w:left w:type="dxa" w:w="100"/>
              <w:bottom w:type="dxa" w:w="80"/>
              <w:right w:type="dxa" w:w="100"/>
            </w:tcMar>
          </w:tcPr>
          <w:p>
            <w:pPr>
              <w:jc w:val="left"/>
            </w:pPr>
            <w:r>
              <w:rPr>
                <w:b w:val="false"/>
                <w:bCs w:val="false"/>
                <w:sz w:val="20"/>
                <w:szCs w:val="20"/>
              </w:rPr>
              <w:t xml:space="preserve">Requiere alianzas reguladas con aseguradoras</w:t>
            </w:r>
          </w:p>
        </w:tc>
      </w:tr>
      <w:tr>
        <w:tc>
          <w:tcPr>
            <w:tcW w:type="dxa" w:w="2400"/>
            <w:shd w:fill="FFFFFF" w:val="clear"/>
            <w:tcMar>
              <w:top w:type="dxa" w:w="80"/>
              <w:left w:type="dxa" w:w="100"/>
              <w:bottom w:type="dxa" w:w="80"/>
              <w:right w:type="dxa" w:w="100"/>
            </w:tcMar>
          </w:tcPr>
          <w:p>
            <w:pPr>
              <w:jc w:val="left"/>
            </w:pPr>
            <w:r>
              <w:rPr>
                <w:b w:val="false"/>
                <w:bCs w:val="false"/>
                <w:sz w:val="20"/>
                <w:szCs w:val="20"/>
              </w:rPr>
              <w:t xml:space="preserve">Procesamiento de pagos (spread)</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Ingreso pasivo por cada transacción</w:t>
            </w:r>
          </w:p>
        </w:tc>
        <w:tc>
          <w:tcPr>
            <w:tcW w:type="dxa" w:w="3300"/>
            <w:shd w:fill="FFFFFF" w:val="clear"/>
            <w:tcMar>
              <w:top w:type="dxa" w:w="80"/>
              <w:left w:type="dxa" w:w="100"/>
              <w:bottom w:type="dxa" w:w="80"/>
              <w:right w:type="dxa" w:w="100"/>
            </w:tcMar>
          </w:tcPr>
          <w:p>
            <w:pPr>
              <w:jc w:val="left"/>
            </w:pPr>
            <w:r>
              <w:rPr>
                <w:b w:val="false"/>
                <w:bCs w:val="false"/>
                <w:sz w:val="20"/>
                <w:szCs w:val="20"/>
              </w:rPr>
              <w:t xml:space="preserve">Márgenes pequeños; depende de volumen</w:t>
            </w:r>
          </w:p>
        </w:tc>
      </w:tr>
    </w:tbl>
    <w:p>
      <w:pPr>
        <w:pStyle w:val="Heading2"/>
        <w:spacing w:after="120" w:before="260"/>
      </w:pPr>
      <w:r>
        <w:t xml:space="preserve">Modelo recomendado en una frase</w:t>
      </w:r>
    </w:p>
    <w:p>
      <w:pPr>
        <w:spacing w:after="160" w:line="276"/>
      </w:pPr>
      <w:r>
        <w:t xml:space="preserve">Comisión base del 10% al proveedor + tarifa de servicio del 4–6% al cliente sobre el valor final del trabajo, cobradas solo al confirmarse el pago, con reducción progresiva de la comisión del proveedor (hasta 6–7%) según volumen, antigüedad y calificación, y capas opcionales de suscripción/herramientas/seguros para proveedores profesionales o empresas con equipos. [RECOMENDACIÓN — requiere validación con modelado financiero y pruebas de precio antes de fijarse].</w:t>
      </w:r>
    </w:p>
    <w:p>
      <w:pPr>
        <w:pStyle w:val="Heading1"/>
        <w:pageBreakBefore/>
        <w:spacing w:after="160" w:before="360"/>
      </w:pPr>
      <w:r>
        <w:t xml:space="preserve">9. Modelo de comisiones — ejemplos numéricos</w:t>
      </w:r>
    </w:p>
    <w:p>
      <w:pPr>
        <w:spacing w:after="160" w:line="276"/>
      </w:pPr>
      <w:r>
        <w:t xml:space="preserve">Se ilustra el modelo recomendado: comisión del proveedor decreciente por tramo/nivel (10% en el nivel base, bajando a 7% para proveedores Nivel Oro) y tarifa de servicio al cliente de 5% (mínimo $3, aplicable con techo en trabajos muy grandes para no penalizar proyectos de alto valor). Cifras ilustrativas; deben calibrarse con pruebas de mercado. [SUPUESTO]</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450"/>
        <w:gridCol w:w="1900"/>
        <w:gridCol w:w="1850"/>
        <w:gridCol w:w="1650"/>
        <w:gridCol w:w="1900"/>
        <w:gridCol w:w="1850"/>
      </w:tblGrid>
      <w:tr>
        <w:trPr>
          <w:tblHeader/>
        </w:trPr>
        <w:tc>
          <w:tcPr>
            <w:tcW w:type="dxa" w:w="1450"/>
            <w:shd w:fill="1F3864" w:val="clear"/>
            <w:tcMar>
              <w:top w:type="dxa" w:w="80"/>
              <w:left w:type="dxa" w:w="100"/>
              <w:bottom w:type="dxa" w:w="80"/>
              <w:right w:type="dxa" w:w="100"/>
            </w:tcMar>
          </w:tcPr>
          <w:p>
            <w:pPr>
              <w:jc w:val="left"/>
            </w:pPr>
            <w:r>
              <w:rPr>
                <w:b/>
                <w:bCs/>
                <w:color w:val="FFFFFF"/>
                <w:sz w:val="20"/>
                <w:szCs w:val="20"/>
              </w:rPr>
              <w:t xml:space="preserve">Valor del trabajo</w:t>
            </w:r>
          </w:p>
        </w:tc>
        <w:tc>
          <w:tcPr>
            <w:tcW w:type="dxa" w:w="1900"/>
            <w:shd w:fill="1F3864" w:val="clear"/>
            <w:tcMar>
              <w:top w:type="dxa" w:w="80"/>
              <w:left w:type="dxa" w:w="100"/>
              <w:bottom w:type="dxa" w:w="80"/>
              <w:right w:type="dxa" w:w="100"/>
            </w:tcMar>
          </w:tcPr>
          <w:p>
            <w:pPr>
              <w:jc w:val="left"/>
            </w:pPr>
            <w:r>
              <w:rPr>
                <w:b/>
                <w:bCs/>
                <w:color w:val="FFFFFF"/>
                <w:sz w:val="20"/>
                <w:szCs w:val="20"/>
              </w:rPr>
              <w:t xml:space="preserve">Comisión proveedor (10%)</w:t>
            </w:r>
          </w:p>
        </w:tc>
        <w:tc>
          <w:tcPr>
            <w:tcW w:type="dxa" w:w="1850"/>
            <w:shd w:fill="1F3864" w:val="clear"/>
            <w:tcMar>
              <w:top w:type="dxa" w:w="80"/>
              <w:left w:type="dxa" w:w="100"/>
              <w:bottom w:type="dxa" w:w="80"/>
              <w:right w:type="dxa" w:w="100"/>
            </w:tcMar>
          </w:tcPr>
          <w:p>
            <w:pPr>
              <w:jc w:val="left"/>
            </w:pPr>
            <w:r>
              <w:rPr>
                <w:b/>
                <w:bCs/>
                <w:color w:val="FFFFFF"/>
                <w:sz w:val="20"/>
                <w:szCs w:val="20"/>
              </w:rPr>
              <w:t xml:space="preserve">Tarifa cliente (5%, techo $250)</w:t>
            </w:r>
          </w:p>
        </w:tc>
        <w:tc>
          <w:tcPr>
            <w:tcW w:type="dxa" w:w="1650"/>
            <w:shd w:fill="1F3864" w:val="clear"/>
            <w:tcMar>
              <w:top w:type="dxa" w:w="80"/>
              <w:left w:type="dxa" w:w="100"/>
              <w:bottom w:type="dxa" w:w="80"/>
              <w:right w:type="dxa" w:w="100"/>
            </w:tcMar>
          </w:tcPr>
          <w:p>
            <w:pPr>
              <w:jc w:val="left"/>
            </w:pPr>
            <w:r>
              <w:rPr>
                <w:b/>
                <w:bCs/>
                <w:color w:val="FFFFFF"/>
                <w:sz w:val="20"/>
                <w:szCs w:val="20"/>
              </w:rPr>
              <w:t xml:space="preserve">Cliente paga en total</w:t>
            </w:r>
          </w:p>
        </w:tc>
        <w:tc>
          <w:tcPr>
            <w:tcW w:type="dxa" w:w="1900"/>
            <w:shd w:fill="1F3864" w:val="clear"/>
            <w:tcMar>
              <w:top w:type="dxa" w:w="80"/>
              <w:left w:type="dxa" w:w="100"/>
              <w:bottom w:type="dxa" w:w="80"/>
              <w:right w:type="dxa" w:w="100"/>
            </w:tcMar>
          </w:tcPr>
          <w:p>
            <w:pPr>
              <w:jc w:val="left"/>
            </w:pPr>
            <w:r>
              <w:rPr>
                <w:b/>
                <w:bCs/>
                <w:color w:val="FFFFFF"/>
                <w:sz w:val="20"/>
                <w:szCs w:val="20"/>
              </w:rPr>
              <w:t xml:space="preserve">Proveedor recibe</w:t>
            </w:r>
          </w:p>
        </w:tc>
        <w:tc>
          <w:tcPr>
            <w:tcW w:type="dxa" w:w="1850"/>
            <w:shd w:fill="1F3864" w:val="clear"/>
            <w:tcMar>
              <w:top w:type="dxa" w:w="80"/>
              <w:left w:type="dxa" w:w="100"/>
              <w:bottom w:type="dxa" w:w="80"/>
              <w:right w:type="dxa" w:w="100"/>
            </w:tcMar>
          </w:tcPr>
          <w:p>
            <w:pPr>
              <w:jc w:val="left"/>
            </w:pPr>
            <w:r>
              <w:rPr>
                <w:b/>
                <w:bCs/>
                <w:color w:val="FFFFFF"/>
                <w:sz w:val="20"/>
                <w:szCs w:val="20"/>
              </w:rPr>
              <w:t xml:space="preserve">Ingreso de la plataforma</w:t>
            </w:r>
          </w:p>
        </w:tc>
      </w:tr>
      <w:tr>
        <w:tc>
          <w:tcPr>
            <w:tcW w:type="dxa" w:w="1450"/>
            <w:shd w:fill="F2F6FA" w:val="clear"/>
            <w:tcMar>
              <w:top w:type="dxa" w:w="80"/>
              <w:left w:type="dxa" w:w="100"/>
              <w:bottom w:type="dxa" w:w="80"/>
              <w:right w:type="dxa" w:w="100"/>
            </w:tcMar>
          </w:tcPr>
          <w:p>
            <w:pPr>
              <w:jc w:val="left"/>
            </w:pPr>
            <w:r>
              <w:rPr>
                <w:b w:val="false"/>
                <w:bCs w:val="false"/>
                <w:sz w:val="20"/>
                <w:szCs w:val="20"/>
              </w:rPr>
              <w:t xml:space="preserve">$50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$5.00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$3.00 (mínimo)</w:t>
            </w:r>
          </w:p>
        </w:tc>
        <w:tc>
          <w:tcPr>
            <w:tcW w:type="dxa" w:w="1650"/>
            <w:shd w:fill="F2F6FA" w:val="clear"/>
            <w:tcMar>
              <w:top w:type="dxa" w:w="80"/>
              <w:left w:type="dxa" w:w="100"/>
              <w:bottom w:type="dxa" w:w="80"/>
              <w:right w:type="dxa" w:w="100"/>
            </w:tcMar>
          </w:tcPr>
          <w:p>
            <w:pPr>
              <w:jc w:val="left"/>
            </w:pPr>
            <w:r>
              <w:rPr>
                <w:b w:val="false"/>
                <w:bCs w:val="false"/>
                <w:sz w:val="20"/>
                <w:szCs w:val="20"/>
              </w:rPr>
              <w:t xml:space="preserve">$53.00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$45.00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$8.00</w:t>
            </w:r>
          </w:p>
        </w:tc>
      </w:tr>
      <w:tr>
        <w:tc>
          <w:tcPr>
            <w:tcW w:type="dxa" w:w="1450"/>
            <w:shd w:fill="FFFFFF" w:val="clear"/>
            <w:tcMar>
              <w:top w:type="dxa" w:w="80"/>
              <w:left w:type="dxa" w:w="100"/>
              <w:bottom w:type="dxa" w:w="80"/>
              <w:right w:type="dxa" w:w="100"/>
            </w:tcMar>
          </w:tcPr>
          <w:p>
            <w:pPr>
              <w:jc w:val="left"/>
            </w:pPr>
            <w:r>
              <w:rPr>
                <w:b w:val="false"/>
                <w:bCs w:val="false"/>
                <w:sz w:val="20"/>
                <w:szCs w:val="20"/>
              </w:rPr>
              <w:t xml:space="preserve">$100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$10.00</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$5.00</w:t>
            </w:r>
          </w:p>
        </w:tc>
        <w:tc>
          <w:tcPr>
            <w:tcW w:type="dxa" w:w="1650"/>
            <w:shd w:fill="FFFFFF" w:val="clear"/>
            <w:tcMar>
              <w:top w:type="dxa" w:w="80"/>
              <w:left w:type="dxa" w:w="100"/>
              <w:bottom w:type="dxa" w:w="80"/>
              <w:right w:type="dxa" w:w="100"/>
            </w:tcMar>
          </w:tcPr>
          <w:p>
            <w:pPr>
              <w:jc w:val="left"/>
            </w:pPr>
            <w:r>
              <w:rPr>
                <w:b w:val="false"/>
                <w:bCs w:val="false"/>
                <w:sz w:val="20"/>
                <w:szCs w:val="20"/>
              </w:rPr>
              <w:t xml:space="preserve">$105.00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$90.00</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$15.00</w:t>
            </w:r>
          </w:p>
        </w:tc>
      </w:tr>
      <w:tr>
        <w:tc>
          <w:tcPr>
            <w:tcW w:type="dxa" w:w="1450"/>
            <w:shd w:fill="F2F6FA" w:val="clear"/>
            <w:tcMar>
              <w:top w:type="dxa" w:w="80"/>
              <w:left w:type="dxa" w:w="100"/>
              <w:bottom w:type="dxa" w:w="80"/>
              <w:right w:type="dxa" w:w="100"/>
            </w:tcMar>
          </w:tcPr>
          <w:p>
            <w:pPr>
              <w:jc w:val="left"/>
            </w:pPr>
            <w:r>
              <w:rPr>
                <w:b w:val="false"/>
                <w:bCs w:val="false"/>
                <w:sz w:val="20"/>
                <w:szCs w:val="20"/>
              </w:rPr>
              <w:t xml:space="preserve">$250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$25.00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$12.50</w:t>
            </w:r>
          </w:p>
        </w:tc>
        <w:tc>
          <w:tcPr>
            <w:tcW w:type="dxa" w:w="1650"/>
            <w:shd w:fill="F2F6FA" w:val="clear"/>
            <w:tcMar>
              <w:top w:type="dxa" w:w="80"/>
              <w:left w:type="dxa" w:w="100"/>
              <w:bottom w:type="dxa" w:w="80"/>
              <w:right w:type="dxa" w:w="100"/>
            </w:tcMar>
          </w:tcPr>
          <w:p>
            <w:pPr>
              <w:jc w:val="left"/>
            </w:pPr>
            <w:r>
              <w:rPr>
                <w:b w:val="false"/>
                <w:bCs w:val="false"/>
                <w:sz w:val="20"/>
                <w:szCs w:val="20"/>
              </w:rPr>
              <w:t xml:space="preserve">$262.50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$225.00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$37.50</w:t>
            </w:r>
          </w:p>
        </w:tc>
      </w:tr>
      <w:tr>
        <w:tc>
          <w:tcPr>
            <w:tcW w:type="dxa" w:w="1450"/>
            <w:shd w:fill="FFFFFF" w:val="clear"/>
            <w:tcMar>
              <w:top w:type="dxa" w:w="80"/>
              <w:left w:type="dxa" w:w="100"/>
              <w:bottom w:type="dxa" w:w="80"/>
              <w:right w:type="dxa" w:w="100"/>
            </w:tcMar>
          </w:tcPr>
          <w:p>
            <w:pPr>
              <w:jc w:val="left"/>
            </w:pPr>
            <w:r>
              <w:rPr>
                <w:b w:val="false"/>
                <w:bCs w:val="false"/>
                <w:sz w:val="20"/>
                <w:szCs w:val="20"/>
              </w:rPr>
              <w:t xml:space="preserve">$500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$50.00</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$25.00</w:t>
            </w:r>
          </w:p>
        </w:tc>
        <w:tc>
          <w:tcPr>
            <w:tcW w:type="dxa" w:w="1650"/>
            <w:shd w:fill="FFFFFF" w:val="clear"/>
            <w:tcMar>
              <w:top w:type="dxa" w:w="80"/>
              <w:left w:type="dxa" w:w="100"/>
              <w:bottom w:type="dxa" w:w="80"/>
              <w:right w:type="dxa" w:w="100"/>
            </w:tcMar>
          </w:tcPr>
          <w:p>
            <w:pPr>
              <w:jc w:val="left"/>
            </w:pPr>
            <w:r>
              <w:rPr>
                <w:b w:val="false"/>
                <w:bCs w:val="false"/>
                <w:sz w:val="20"/>
                <w:szCs w:val="20"/>
              </w:rPr>
              <w:t xml:space="preserve">$525.00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$450.00</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$75.00</w:t>
            </w:r>
          </w:p>
        </w:tc>
      </w:tr>
      <w:tr>
        <w:tc>
          <w:tcPr>
            <w:tcW w:type="dxa" w:w="1450"/>
            <w:shd w:fill="F2F6FA" w:val="clear"/>
            <w:tcMar>
              <w:top w:type="dxa" w:w="80"/>
              <w:left w:type="dxa" w:w="100"/>
              <w:bottom w:type="dxa" w:w="80"/>
              <w:right w:type="dxa" w:w="100"/>
            </w:tcMar>
          </w:tcPr>
          <w:p>
            <w:pPr>
              <w:jc w:val="left"/>
            </w:pPr>
            <w:r>
              <w:rPr>
                <w:b w:val="false"/>
                <w:bCs w:val="false"/>
                <w:sz w:val="20"/>
                <w:szCs w:val="20"/>
              </w:rPr>
              <w:t xml:space="preserve">$1,000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$100.00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$50.00</w:t>
            </w:r>
          </w:p>
        </w:tc>
        <w:tc>
          <w:tcPr>
            <w:tcW w:type="dxa" w:w="1650"/>
            <w:shd w:fill="F2F6FA" w:val="clear"/>
            <w:tcMar>
              <w:top w:type="dxa" w:w="80"/>
              <w:left w:type="dxa" w:w="100"/>
              <w:bottom w:type="dxa" w:w="80"/>
              <w:right w:type="dxa" w:w="100"/>
            </w:tcMar>
          </w:tcPr>
          <w:p>
            <w:pPr>
              <w:jc w:val="left"/>
            </w:pPr>
            <w:r>
              <w:rPr>
                <w:b w:val="false"/>
                <w:bCs w:val="false"/>
                <w:sz w:val="20"/>
                <w:szCs w:val="20"/>
              </w:rPr>
              <w:t xml:space="preserve">$1,050.00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$900.00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$150.00</w:t>
            </w:r>
          </w:p>
        </w:tc>
      </w:tr>
      <w:tr>
        <w:tc>
          <w:tcPr>
            <w:tcW w:type="dxa" w:w="1450"/>
            <w:shd w:fill="FFFFFF" w:val="clear"/>
            <w:tcMar>
              <w:top w:type="dxa" w:w="80"/>
              <w:left w:type="dxa" w:w="100"/>
              <w:bottom w:type="dxa" w:w="80"/>
              <w:right w:type="dxa" w:w="100"/>
            </w:tcMar>
          </w:tcPr>
          <w:p>
            <w:pPr>
              <w:jc w:val="left"/>
            </w:pPr>
            <w:r>
              <w:rPr>
                <w:b w:val="false"/>
                <w:bCs w:val="false"/>
                <w:sz w:val="20"/>
                <w:szCs w:val="20"/>
              </w:rPr>
              <w:t xml:space="preserve">$5,000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$500.00 (7% Nivel Oro: $350)</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$250.00 (techo)</w:t>
            </w:r>
          </w:p>
        </w:tc>
        <w:tc>
          <w:tcPr>
            <w:tcW w:type="dxa" w:w="1650"/>
            <w:shd w:fill="FFFFFF" w:val="clear"/>
            <w:tcMar>
              <w:top w:type="dxa" w:w="80"/>
              <w:left w:type="dxa" w:w="100"/>
              <w:bottom w:type="dxa" w:w="80"/>
              <w:right w:type="dxa" w:w="100"/>
            </w:tcMar>
          </w:tcPr>
          <w:p>
            <w:pPr>
              <w:jc w:val="left"/>
            </w:pPr>
            <w:r>
              <w:rPr>
                <w:b w:val="false"/>
                <w:bCs w:val="false"/>
                <w:sz w:val="20"/>
                <w:szCs w:val="20"/>
              </w:rPr>
              <w:t xml:space="preserve">$5,250.00</w:t>
            </w:r>
          </w:p>
        </w:tc>
        <w:tc>
          <w:tcPr>
            <w:tcW w:type="dxa" w:w="1900"/>
            <w:shd w:fill="FFFFFF" w:val="clear"/>
            <w:tcMar>
              <w:top w:type="dxa" w:w="80"/>
              <w:left w:type="dxa" w:w="100"/>
              <w:bottom w:type="dxa" w:w="80"/>
              <w:right w:type="dxa" w:w="100"/>
            </w:tcMar>
          </w:tcPr>
          <w:p>
            <w:pPr>
              <w:jc w:val="left"/>
            </w:pPr>
            <w:r>
              <w:rPr>
                <w:b w:val="false"/>
                <w:bCs w:val="false"/>
                <w:sz w:val="20"/>
                <w:szCs w:val="20"/>
              </w:rPr>
              <w:t xml:space="preserve">$4,500.00 / $4,650.00 (Oro)</w:t>
            </w:r>
          </w:p>
        </w:tc>
        <w:tc>
          <w:tcPr>
            <w:tcW w:type="dxa" w:w="1850"/>
            <w:shd w:fill="FFFFFF" w:val="clear"/>
            <w:tcMar>
              <w:top w:type="dxa" w:w="80"/>
              <w:left w:type="dxa" w:w="100"/>
              <w:bottom w:type="dxa" w:w="80"/>
              <w:right w:type="dxa" w:w="100"/>
            </w:tcMar>
          </w:tcPr>
          <w:p>
            <w:pPr>
              <w:jc w:val="left"/>
            </w:pPr>
            <w:r>
              <w:rPr>
                <w:b w:val="false"/>
                <w:bCs w:val="false"/>
                <w:sz w:val="20"/>
                <w:szCs w:val="20"/>
              </w:rPr>
              <w:t xml:space="preserve">$750.00 / $600.00 (Oro)</w:t>
            </w:r>
          </w:p>
        </w:tc>
      </w:tr>
      <w:tr>
        <w:tc>
          <w:tcPr>
            <w:tcW w:type="dxa" w:w="1450"/>
            <w:shd w:fill="F2F6FA" w:val="clear"/>
            <w:tcMar>
              <w:top w:type="dxa" w:w="80"/>
              <w:left w:type="dxa" w:w="100"/>
              <w:bottom w:type="dxa" w:w="80"/>
              <w:right w:type="dxa" w:w="100"/>
            </w:tcMar>
          </w:tcPr>
          <w:p>
            <w:pPr>
              <w:jc w:val="left"/>
            </w:pPr>
            <w:r>
              <w:rPr>
                <w:b w:val="false"/>
                <w:bCs w:val="false"/>
                <w:sz w:val="20"/>
                <w:szCs w:val="20"/>
              </w:rPr>
              <w:t xml:space="preserve">$10,000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$1,000.00 (7% Nivel Oro: $700)</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$250.00 (techo)</w:t>
            </w:r>
          </w:p>
        </w:tc>
        <w:tc>
          <w:tcPr>
            <w:tcW w:type="dxa" w:w="1650"/>
            <w:shd w:fill="F2F6FA" w:val="clear"/>
            <w:tcMar>
              <w:top w:type="dxa" w:w="80"/>
              <w:left w:type="dxa" w:w="100"/>
              <w:bottom w:type="dxa" w:w="80"/>
              <w:right w:type="dxa" w:w="100"/>
            </w:tcMar>
          </w:tcPr>
          <w:p>
            <w:pPr>
              <w:jc w:val="left"/>
            </w:pPr>
            <w:r>
              <w:rPr>
                <w:b w:val="false"/>
                <w:bCs w:val="false"/>
                <w:sz w:val="20"/>
                <w:szCs w:val="20"/>
              </w:rPr>
              <w:t xml:space="preserve">$10,250.00</w:t>
            </w:r>
          </w:p>
        </w:tc>
        <w:tc>
          <w:tcPr>
            <w:tcW w:type="dxa" w:w="1900"/>
            <w:shd w:fill="F2F6FA" w:val="clear"/>
            <w:tcMar>
              <w:top w:type="dxa" w:w="80"/>
              <w:left w:type="dxa" w:w="100"/>
              <w:bottom w:type="dxa" w:w="80"/>
              <w:right w:type="dxa" w:w="100"/>
            </w:tcMar>
          </w:tcPr>
          <w:p>
            <w:pPr>
              <w:jc w:val="left"/>
            </w:pPr>
            <w:r>
              <w:rPr>
                <w:b w:val="false"/>
                <w:bCs w:val="false"/>
                <w:sz w:val="20"/>
                <w:szCs w:val="20"/>
              </w:rPr>
              <w:t xml:space="preserve">$9,000.00 / $9,300.00 (Oro)</w:t>
            </w:r>
          </w:p>
        </w:tc>
        <w:tc>
          <w:tcPr>
            <w:tcW w:type="dxa" w:w="1850"/>
            <w:shd w:fill="F2F6FA" w:val="clear"/>
            <w:tcMar>
              <w:top w:type="dxa" w:w="80"/>
              <w:left w:type="dxa" w:w="100"/>
              <w:bottom w:type="dxa" w:w="80"/>
              <w:right w:type="dxa" w:w="100"/>
            </w:tcMar>
          </w:tcPr>
          <w:p>
            <w:pPr>
              <w:jc w:val="left"/>
            </w:pPr>
            <w:r>
              <w:rPr>
                <w:b w:val="false"/>
                <w:bCs w:val="false"/>
                <w:sz w:val="20"/>
                <w:szCs w:val="20"/>
              </w:rPr>
              <w:t xml:space="preserve">$1,250.00 / $950.00 (Oro)</w:t>
            </w:r>
          </w:p>
        </w:tc>
      </w:tr>
    </w:tbl>
    <w:p>
      <w:pPr>
        <w:spacing w:after="200" w:before="80"/>
      </w:pPr>
      <w:r>
        <w:rPr>
          <w:i/>
          <w:iCs/>
          <w:color w:val="595959"/>
          <w:sz w:val="20"/>
          <w:szCs w:val="20"/>
        </w:rPr>
        <w:t xml:space="preserve">Nota: En trabajos grandes se propone un techo en la tarifa del cliente (ej. $250) para que el costo no escale de forma desproporcionada frente al riesgo de que el cliente busque cerrar el trato fuera de la plataforma. La comisión del proveedor puede tener un techo similar en montos muy altos (ej. $500,000+) para trabajos de construcción de gran escala. [RECOMENDACIÓN]</w:t>
      </w:r>
    </w:p>
    <w:p>
      <w:pPr>
        <w:pStyle w:val="Heading2"/>
        <w:spacing w:after="120" w:before="260"/>
      </w:pPr>
      <w:r>
        <w:t xml:space="preserve">Niveles de proveedor y comisión decreciente</w:t>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1800"/>
        <w:gridCol w:w="4700"/>
        <w:gridCol w:w="215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Nivel</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Requisito orientativo</w:t>
            </w:r>
          </w:p>
        </w:tc>
        <w:tc>
          <w:tcPr>
            <w:tcW w:type="dxa" w:w="2150"/>
            <w:shd w:fill="1F3864" w:val="clear"/>
            <w:tcMar>
              <w:top w:type="dxa" w:w="80"/>
              <w:left w:type="dxa" w:w="100"/>
              <w:bottom w:type="dxa" w:w="80"/>
              <w:right w:type="dxa" w:w="100"/>
            </w:tcMar>
          </w:tcPr>
          <w:p>
            <w:pPr>
              <w:jc w:val="left"/>
            </w:pPr>
            <w:r>
              <w:rPr>
                <w:b/>
                <w:bCs/>
                <w:color w:val="FFFFFF"/>
                <w:sz w:val="20"/>
                <w:szCs w:val="20"/>
              </w:rPr>
              <w:t xml:space="preserve">Comisión sobre el trabajo</w:t>
            </w:r>
          </w:p>
        </w:tc>
      </w:tr>
      <w:tr>
        <w:tc>
          <w:tcPr>
            <w:tcW w:type="dxa" w:w="1800"/>
            <w:shd w:fill="F2F6FA" w:val="clear"/>
            <w:tcMar>
              <w:top w:type="dxa" w:w="80"/>
              <w:left w:type="dxa" w:w="100"/>
              <w:bottom w:type="dxa" w:w="80"/>
              <w:right w:type="dxa" w:w="100"/>
            </w:tcMar>
          </w:tcPr>
          <w:p>
            <w:pPr>
              <w:jc w:val="left"/>
            </w:pPr>
            <w:r>
              <w:rPr>
                <w:b w:val="false"/>
                <w:bCs w:val="false"/>
                <w:sz w:val="20"/>
                <w:szCs w:val="20"/>
              </w:rPr>
              <w:t xml:space="preserve">Nuevo</w:t>
            </w:r>
          </w:p>
        </w:tc>
        <w:tc>
          <w:tcPr>
            <w:tcW w:type="dxa" w:w="4700"/>
            <w:shd w:fill="F2F6FA" w:val="clear"/>
            <w:tcMar>
              <w:top w:type="dxa" w:w="80"/>
              <w:left w:type="dxa" w:w="100"/>
              <w:bottom w:type="dxa" w:w="80"/>
              <w:right w:type="dxa" w:w="100"/>
            </w:tcMar>
          </w:tcPr>
          <w:p>
            <w:pPr>
              <w:jc w:val="left"/>
            </w:pPr>
            <w:r>
              <w:rPr>
                <w:b w:val="false"/>
                <w:bCs w:val="false"/>
                <w:sz w:val="20"/>
                <w:szCs w:val="20"/>
              </w:rPr>
              <w:t xml:space="preserve">0–10 trabajos completados</w:t>
            </w:r>
          </w:p>
        </w:tc>
        <w:tc>
          <w:tcPr>
            <w:tcW w:type="dxa" w:w="2150"/>
            <w:shd w:fill="F2F6FA" w:val="clear"/>
            <w:tcMar>
              <w:top w:type="dxa" w:w="80"/>
              <w:left w:type="dxa" w:w="100"/>
              <w:bottom w:type="dxa" w:w="80"/>
              <w:right w:type="dxa" w:w="100"/>
            </w:tcMar>
          </w:tcPr>
          <w:p>
            <w:pPr>
              <w:jc w:val="left"/>
            </w:pPr>
            <w:r>
              <w:rPr>
                <w:b w:val="false"/>
                <w:bCs w:val="false"/>
                <w:sz w:val="20"/>
                <w:szCs w:val="20"/>
              </w:rPr>
              <w:t xml:space="preserve">10%</w:t>
            </w:r>
          </w:p>
        </w:tc>
      </w:tr>
      <w:tr>
        <w:tc>
          <w:tcPr>
            <w:tcW w:type="dxa" w:w="1800"/>
            <w:shd w:fill="FFFFFF" w:val="clear"/>
            <w:tcMar>
              <w:top w:type="dxa" w:w="80"/>
              <w:left w:type="dxa" w:w="100"/>
              <w:bottom w:type="dxa" w:w="80"/>
              <w:right w:type="dxa" w:w="100"/>
            </w:tcMar>
          </w:tcPr>
          <w:p>
            <w:pPr>
              <w:jc w:val="left"/>
            </w:pPr>
            <w:r>
              <w:rPr>
                <w:b w:val="false"/>
                <w:bCs w:val="false"/>
                <w:sz w:val="20"/>
                <w:szCs w:val="20"/>
              </w:rPr>
              <w:t xml:space="preserve">Plata</w:t>
            </w:r>
          </w:p>
        </w:tc>
        <w:tc>
          <w:tcPr>
            <w:tcW w:type="dxa" w:w="4700"/>
            <w:shd w:fill="FFFFFF" w:val="clear"/>
            <w:tcMar>
              <w:top w:type="dxa" w:w="80"/>
              <w:left w:type="dxa" w:w="100"/>
              <w:bottom w:type="dxa" w:w="80"/>
              <w:right w:type="dxa" w:w="100"/>
            </w:tcMar>
          </w:tcPr>
          <w:p>
            <w:pPr>
              <w:jc w:val="left"/>
            </w:pPr>
            <w:r>
              <w:rPr>
                <w:b w:val="false"/>
                <w:bCs w:val="false"/>
                <w:sz w:val="20"/>
                <w:szCs w:val="20"/>
              </w:rPr>
              <w:t xml:space="preserve">11–50 trabajos, calificación ≥4.5, cancelación &lt;5%</w:t>
            </w:r>
          </w:p>
        </w:tc>
        <w:tc>
          <w:tcPr>
            <w:tcW w:type="dxa" w:w="2150"/>
            <w:shd w:fill="FFFFFF" w:val="clear"/>
            <w:tcMar>
              <w:top w:type="dxa" w:w="80"/>
              <w:left w:type="dxa" w:w="100"/>
              <w:bottom w:type="dxa" w:w="80"/>
              <w:right w:type="dxa" w:w="100"/>
            </w:tcMar>
          </w:tcPr>
          <w:p>
            <w:pPr>
              <w:jc w:val="left"/>
            </w:pPr>
            <w:r>
              <w:rPr>
                <w:b w:val="false"/>
                <w:bCs w:val="false"/>
                <w:sz w:val="20"/>
                <w:szCs w:val="20"/>
              </w:rPr>
              <w:t xml:space="preserve">9%</w:t>
            </w:r>
          </w:p>
        </w:tc>
      </w:tr>
      <w:tr>
        <w:tc>
          <w:tcPr>
            <w:tcW w:type="dxa" w:w="1800"/>
            <w:shd w:fill="F2F6FA" w:val="clear"/>
            <w:tcMar>
              <w:top w:type="dxa" w:w="80"/>
              <w:left w:type="dxa" w:w="100"/>
              <w:bottom w:type="dxa" w:w="80"/>
              <w:right w:type="dxa" w:w="100"/>
            </w:tcMar>
          </w:tcPr>
          <w:p>
            <w:pPr>
              <w:jc w:val="left"/>
            </w:pPr>
            <w:r>
              <w:rPr>
                <w:b w:val="false"/>
                <w:bCs w:val="false"/>
                <w:sz w:val="20"/>
                <w:szCs w:val="20"/>
              </w:rPr>
              <w:t xml:space="preserve">Oro</w:t>
            </w:r>
          </w:p>
        </w:tc>
        <w:tc>
          <w:tcPr>
            <w:tcW w:type="dxa" w:w="4700"/>
            <w:shd w:fill="F2F6FA" w:val="clear"/>
            <w:tcMar>
              <w:top w:type="dxa" w:w="80"/>
              <w:left w:type="dxa" w:w="100"/>
              <w:bottom w:type="dxa" w:w="80"/>
              <w:right w:type="dxa" w:w="100"/>
            </w:tcMar>
          </w:tcPr>
          <w:p>
            <w:pPr>
              <w:jc w:val="left"/>
            </w:pPr>
            <w:r>
              <w:rPr>
                <w:b w:val="false"/>
                <w:bCs w:val="false"/>
                <w:sz w:val="20"/>
                <w:szCs w:val="20"/>
              </w:rPr>
              <w:t xml:space="preserve">51–150 trabajos, calificación ≥4.7, cancelación &lt;3%</w:t>
            </w:r>
          </w:p>
        </w:tc>
        <w:tc>
          <w:tcPr>
            <w:tcW w:type="dxa" w:w="2150"/>
            <w:shd w:fill="F2F6FA" w:val="clear"/>
            <w:tcMar>
              <w:top w:type="dxa" w:w="80"/>
              <w:left w:type="dxa" w:w="100"/>
              <w:bottom w:type="dxa" w:w="80"/>
              <w:right w:type="dxa" w:w="100"/>
            </w:tcMar>
          </w:tcPr>
          <w:p>
            <w:pPr>
              <w:jc w:val="left"/>
            </w:pPr>
            <w:r>
              <w:rPr>
                <w:b w:val="false"/>
                <w:bCs w:val="false"/>
                <w:sz w:val="20"/>
                <w:szCs w:val="20"/>
              </w:rPr>
              <w:t xml:space="preserve">7.5%</w:t>
            </w:r>
          </w:p>
        </w:tc>
      </w:tr>
      <w:tr>
        <w:tc>
          <w:tcPr>
            <w:tcW w:type="dxa" w:w="1800"/>
            <w:shd w:fill="FFFFFF" w:val="clear"/>
            <w:tcMar>
              <w:top w:type="dxa" w:w="80"/>
              <w:left w:type="dxa" w:w="100"/>
              <w:bottom w:type="dxa" w:w="80"/>
              <w:right w:type="dxa" w:w="100"/>
            </w:tcMar>
          </w:tcPr>
          <w:p>
            <w:pPr>
              <w:jc w:val="left"/>
            </w:pPr>
            <w:r>
              <w:rPr>
                <w:b w:val="false"/>
                <w:bCs w:val="false"/>
                <w:sz w:val="20"/>
                <w:szCs w:val="20"/>
              </w:rPr>
              <w:t xml:space="preserve">Platino</w:t>
            </w:r>
          </w:p>
        </w:tc>
        <w:tc>
          <w:tcPr>
            <w:tcW w:type="dxa" w:w="4700"/>
            <w:shd w:fill="FFFFFF" w:val="clear"/>
            <w:tcMar>
              <w:top w:type="dxa" w:w="80"/>
              <w:left w:type="dxa" w:w="100"/>
              <w:bottom w:type="dxa" w:w="80"/>
              <w:right w:type="dxa" w:w="100"/>
            </w:tcMar>
          </w:tcPr>
          <w:p>
            <w:pPr>
              <w:jc w:val="left"/>
            </w:pPr>
            <w:r>
              <w:rPr>
                <w:b w:val="false"/>
                <w:bCs w:val="false"/>
                <w:sz w:val="20"/>
                <w:szCs w:val="20"/>
              </w:rPr>
              <w:t xml:space="preserve">150+ trabajos, calificación ≥4.8, cancelación &lt;2%, sin disputas graves</w:t>
            </w:r>
          </w:p>
        </w:tc>
        <w:tc>
          <w:tcPr>
            <w:tcW w:type="dxa" w:w="2150"/>
            <w:shd w:fill="FFFFFF" w:val="clear"/>
            <w:tcMar>
              <w:top w:type="dxa" w:w="80"/>
              <w:left w:type="dxa" w:w="100"/>
              <w:bottom w:type="dxa" w:w="80"/>
              <w:right w:type="dxa" w:w="100"/>
            </w:tcMar>
          </w:tcPr>
          <w:p>
            <w:pPr>
              <w:jc w:val="left"/>
            </w:pPr>
            <w:r>
              <w:rPr>
                <w:b w:val="false"/>
                <w:bCs w:val="false"/>
                <w:sz w:val="20"/>
                <w:szCs w:val="20"/>
              </w:rPr>
              <w:t xml:space="preserve">6%</w:t>
            </w:r>
          </w:p>
        </w:tc>
      </w:tr>
    </w:tbl>
    <w:p>
      <w:pPr>
        <w:pStyle w:val="Heading1"/>
        <w:pageBreakBefore/>
        <w:spacing w:after="160" w:before="360"/>
      </w:pPr>
      <w:r>
        <w:t xml:space="preserve">10–11. Flujo completo del cliente y del proveedor</w:t>
      </w:r>
    </w:p>
    <w:p>
      <w:pPr>
        <w:pStyle w:val="Heading2"/>
        <w:spacing w:after="120" w:before="260"/>
      </w:pPr>
      <w:r>
        <w:t xml:space="preserve">Flujo del cliente</w:t>
      </w:r>
    </w:p>
    <w:p>
      <w:pPr>
        <w:pStyle w:val="ListParagraph"/>
        <w:numPr>
          <w:ilvl w:val="0"/>
          <w:numId w:val="1"/>
        </w:numPr>
        <w:spacing w:after="80" w:line="264"/>
      </w:pPr>
      <w:r>
        <w:t xml:space="preserve">1. Crea cuenta (email, teléfono o inicio social) y verifica su número.</w:t>
      </w:r>
    </w:p>
    <w:p>
      <w:pPr>
        <w:pStyle w:val="ListParagraph"/>
        <w:numPr>
          <w:ilvl w:val="0"/>
          <w:numId w:val="1"/>
        </w:numPr>
        <w:spacing w:after="80" w:line="264"/>
      </w:pPr>
      <w:r>
        <w:t xml:space="preserve">2. Publica una necesidad: categoría, descripción, ubicación, fotos/video, fecha deseada y presupuesto orientativo (o elige un servicio de precio fijo para reserva instantánea).</w:t>
      </w:r>
    </w:p>
    <w:p>
      <w:pPr>
        <w:pStyle w:val="ListParagraph"/>
        <w:numPr>
          <w:ilvl w:val="0"/>
          <w:numId w:val="1"/>
        </w:numPr>
        <w:spacing w:after="80" w:line="264"/>
      </w:pPr>
      <w:r>
        <w:t xml:space="preserve">3. La plataforma identifica y notifica a proveedores relevantes según categoría, cobertura, disponibilidad y calidad histórica.</w:t>
      </w:r>
    </w:p>
    <w:p>
      <w:pPr>
        <w:pStyle w:val="ListParagraph"/>
        <w:numPr>
          <w:ilvl w:val="0"/>
          <w:numId w:val="1"/>
        </w:numPr>
        <w:spacing w:after="80" w:line="264"/>
      </w:pPr>
      <w:r>
        <w:t xml:space="preserve">4. Recibe entre 3 y 5 perfiles o propuestas con precio, disponibilidad y reseñas — nunca datos de contacto directo todavía.</w:t>
      </w:r>
    </w:p>
    <w:p>
      <w:pPr>
        <w:pStyle w:val="ListParagraph"/>
        <w:numPr>
          <w:ilvl w:val="0"/>
          <w:numId w:val="1"/>
        </w:numPr>
        <w:spacing w:after="80" w:line="264"/>
      </w:pPr>
      <w:r>
        <w:t xml:space="preserve">5. Compara proveedores dentro de la app: precio, calificación, portafolio, verificaciones, tiempo de respuesta.</w:t>
      </w:r>
    </w:p>
    <w:p>
      <w:pPr>
        <w:pStyle w:val="ListParagraph"/>
        <w:numPr>
          <w:ilvl w:val="0"/>
          <w:numId w:val="1"/>
        </w:numPr>
        <w:spacing w:after="80" w:line="264"/>
      </w:pPr>
      <w:r>
        <w:t xml:space="preserve">6. Chatea con uno o varios proveedores mediante el chat interno (enmascarado, sin compartir teléfono/correo real).</w:t>
      </w:r>
    </w:p>
    <w:p>
      <w:pPr>
        <w:pStyle w:val="ListParagraph"/>
        <w:numPr>
          <w:ilvl w:val="0"/>
          <w:numId w:val="1"/>
        </w:numPr>
        <w:spacing w:after="80" w:line="264"/>
      </w:pPr>
      <w:r>
        <w:t xml:space="preserve">7. Recibe una cotización formal generada en la app, con alcance, precio y condiciones.</w:t>
      </w:r>
    </w:p>
    <w:p>
      <w:pPr>
        <w:pStyle w:val="ListParagraph"/>
        <w:numPr>
          <w:ilvl w:val="0"/>
          <w:numId w:val="1"/>
        </w:numPr>
        <w:spacing w:after="80" w:line="264"/>
      </w:pPr>
      <w:r>
        <w:t xml:space="preserve">8. Reserva y paga un depósito o el monto completo mediante el sistema de pago protegido de la plataforma.</w:t>
      </w:r>
    </w:p>
    <w:p>
      <w:pPr>
        <w:pStyle w:val="ListParagraph"/>
        <w:numPr>
          <w:ilvl w:val="0"/>
          <w:numId w:val="1"/>
        </w:numPr>
        <w:spacing w:after="80" w:line="264"/>
      </w:pPr>
      <w:r>
        <w:t xml:space="preserve">9. Tras la confirmación de pago, se habilitan los datos de contacto necesarios (dirección exacta, teléfono si aplica) para coordinar la visita.</w:t>
      </w:r>
    </w:p>
    <w:p>
      <w:pPr>
        <w:pStyle w:val="ListParagraph"/>
        <w:numPr>
          <w:ilvl w:val="0"/>
          <w:numId w:val="1"/>
        </w:numPr>
        <w:spacing w:after="80" w:line="264"/>
      </w:pPr>
      <w:r>
        <w:t xml:space="preserve">10. Da seguimiento al servicio: recordatorios, estado del trabajo, fotos de avance si aplica.</w:t>
      </w:r>
    </w:p>
    <w:p>
      <w:pPr>
        <w:pStyle w:val="ListParagraph"/>
        <w:numPr>
          <w:ilvl w:val="0"/>
          <w:numId w:val="1"/>
        </w:numPr>
        <w:spacing w:after="80" w:line="264"/>
      </w:pPr>
      <w:r>
        <w:t xml:space="preserve">11. Confirma la finalización del trabajo (con fotos de antes/después cuando corresponda).</w:t>
      </w:r>
    </w:p>
    <w:p>
      <w:pPr>
        <w:pStyle w:val="ListParagraph"/>
        <w:numPr>
          <w:ilvl w:val="0"/>
          <w:numId w:val="1"/>
        </w:numPr>
        <w:spacing w:after="80" w:line="264"/>
      </w:pPr>
      <w:r>
        <w:t xml:space="preserve">12. Recibe factura/comprobante automático y puede solicitar reembolso o abrir una disputa si algo salió mal.</w:t>
      </w:r>
    </w:p>
    <w:p>
      <w:pPr>
        <w:pStyle w:val="ListParagraph"/>
        <w:numPr>
          <w:ilvl w:val="0"/>
          <w:numId w:val="1"/>
        </w:numPr>
        <w:spacing w:after="80" w:line="264"/>
      </w:pPr>
      <w:r>
        <w:t xml:space="preserve">13. Califica al proveedor y puede guardarlo como favorito para servicios recurrentes.</w:t>
      </w:r>
    </w:p>
    <w:p>
      <w:pPr>
        <w:pStyle w:val="Heading2"/>
        <w:spacing w:after="120" w:before="260"/>
      </w:pPr>
      <w:r>
        <w:t xml:space="preserve">Flujo del proveedor</w:t>
      </w:r>
    </w:p>
    <w:p>
      <w:pPr>
        <w:pStyle w:val="ListParagraph"/>
        <w:numPr>
          <w:ilvl w:val="0"/>
          <w:numId w:val="1"/>
        </w:numPr>
        <w:spacing w:after="80" w:line="264"/>
      </w:pPr>
      <w:r>
        <w:t xml:space="preserve">1. Crea cuenta y selecciona si es proveedor individual o empresa con equipo.</w:t>
      </w:r>
    </w:p>
    <w:p>
      <w:pPr>
        <w:pStyle w:val="ListParagraph"/>
        <w:numPr>
          <w:ilvl w:val="0"/>
          <w:numId w:val="1"/>
        </w:numPr>
        <w:spacing w:after="80" w:line="264"/>
      </w:pPr>
      <w:r>
        <w:t xml:space="preserve">2. Verifica identidad (documento oficial + selfie), y cuando aplica, licencia profesional, seguro de responsabilidad civil y antecedentes.</w:t>
      </w:r>
    </w:p>
    <w:p>
      <w:pPr>
        <w:pStyle w:val="ListParagraph"/>
        <w:numPr>
          <w:ilvl w:val="0"/>
          <w:numId w:val="1"/>
        </w:numPr>
        <w:spacing w:after="80" w:line="264"/>
      </w:pPr>
      <w:r>
        <w:t xml:space="preserve">3. Completa el perfil: fotos/video de trabajos anteriores, certificaciones, años de experiencia, zonas de cobertura.</w:t>
      </w:r>
    </w:p>
    <w:p>
      <w:pPr>
        <w:pStyle w:val="ListParagraph"/>
        <w:numPr>
          <w:ilvl w:val="0"/>
          <w:numId w:val="1"/>
        </w:numPr>
        <w:spacing w:after="80" w:line="264"/>
      </w:pPr>
      <w:r>
        <w:t xml:space="preserve">4. Selecciona las categorías y servicios que ofrece; puede usar precios fijos predefinidos o cotización personalizada.</w:t>
      </w:r>
    </w:p>
    <w:p>
      <w:pPr>
        <w:pStyle w:val="ListParagraph"/>
        <w:numPr>
          <w:ilvl w:val="0"/>
          <w:numId w:val="1"/>
        </w:numPr>
        <w:spacing w:after="80" w:line="264"/>
      </w:pPr>
      <w:r>
        <w:t xml:space="preserve">5. Define disponibilidad y calendario (sincronizable con Google Calendar/otros).</w:t>
      </w:r>
    </w:p>
    <w:p>
      <w:pPr>
        <w:pStyle w:val="ListParagraph"/>
        <w:numPr>
          <w:ilvl w:val="0"/>
          <w:numId w:val="1"/>
        </w:numPr>
        <w:spacing w:after="80" w:line="264"/>
      </w:pPr>
      <w:r>
        <w:t xml:space="preserve">6. Recibe oportunidades filtradas por su categoría, cobertura y disponibilidad — con la opción de excluir tipos de trabajo o establecer un valor mínimo de proyecto.</w:t>
      </w:r>
    </w:p>
    <w:p>
      <w:pPr>
        <w:pStyle w:val="ListParagraph"/>
        <w:numPr>
          <w:ilvl w:val="0"/>
          <w:numId w:val="1"/>
        </w:numPr>
        <w:spacing w:after="80" w:line="264"/>
      </w:pPr>
      <w:r>
        <w:t xml:space="preserve">7. Envía cotización o confirma el precio fijo dentro de la app.</w:t>
      </w:r>
    </w:p>
    <w:p>
      <w:pPr>
        <w:pStyle w:val="ListParagraph"/>
        <w:numPr>
          <w:ilvl w:val="0"/>
          <w:numId w:val="1"/>
        </w:numPr>
        <w:spacing w:after="80" w:line="264"/>
      </w:pPr>
      <w:r>
        <w:t xml:space="preserve">8. Chatea con el cliente mediante el chat interno protegido.</w:t>
      </w:r>
    </w:p>
    <w:p>
      <w:pPr>
        <w:pStyle w:val="ListParagraph"/>
        <w:numPr>
          <w:ilvl w:val="0"/>
          <w:numId w:val="1"/>
        </w:numPr>
        <w:spacing w:after="80" w:line="264"/>
      </w:pPr>
      <w:r>
        <w:t xml:space="preserve">9. Recibe el depósito o pago completo garantizado antes o al iniciar el trabajo, según la política del servicio.</w:t>
      </w:r>
    </w:p>
    <w:p>
      <w:pPr>
        <w:pStyle w:val="ListParagraph"/>
        <w:numPr>
          <w:ilvl w:val="0"/>
          <w:numId w:val="1"/>
        </w:numPr>
        <w:spacing w:after="80" w:line="264"/>
      </w:pPr>
      <w:r>
        <w:t xml:space="preserve">10. Administra el trabajo: checklist, fotos de evidencia, notas, materiales usados.</w:t>
      </w:r>
    </w:p>
    <w:p>
      <w:pPr>
        <w:pStyle w:val="ListParagraph"/>
        <w:numPr>
          <w:ilvl w:val="0"/>
          <w:numId w:val="1"/>
        </w:numPr>
        <w:spacing w:after="80" w:line="264"/>
      </w:pPr>
      <w:r>
        <w:t xml:space="preserve">11. Sube evidencia de finalización (fotos de antes/después) para activar la liberación del pago.</w:t>
      </w:r>
    </w:p>
    <w:p>
      <w:pPr>
        <w:pStyle w:val="ListParagraph"/>
        <w:numPr>
          <w:ilvl w:val="0"/>
          <w:numId w:val="1"/>
        </w:numPr>
        <w:spacing w:after="80" w:line="264"/>
      </w:pPr>
      <w:r>
        <w:t xml:space="preserve">12. Cobra automáticamente tras la confirmación del cliente (o tras un periodo de garantía si no hay objeción).</w:t>
      </w:r>
    </w:p>
    <w:p>
      <w:pPr>
        <w:pStyle w:val="ListParagraph"/>
        <w:numPr>
          <w:ilvl w:val="0"/>
          <w:numId w:val="1"/>
        </w:numPr>
        <w:spacing w:after="80" w:line="264"/>
      </w:pPr>
      <w:r>
        <w:t xml:space="preserve">13. Solicita reseña al cliente y revisa métricas de desempeño: ingresos, tasa de conversión, tasa de repetición, tiempo de respuesta.</w:t>
      </w:r>
    </w:p>
    <w:p>
      <w:pPr>
        <w:pStyle w:val="Heading1"/>
        <w:pageBreakBefore/>
        <w:spacing w:after="160" w:before="360"/>
      </w:pPr>
      <w:r>
        <w:t xml:space="preserve">12. Sistema de pagos y seguridad</w:t>
      </w:r>
    </w:p>
    <w:p>
      <w:pPr>
        <w:pStyle w:val="Heading2"/>
        <w:spacing w:after="120" w:before="260"/>
      </w:pPr>
      <w:r>
        <w:t xml:space="preserve">Estructura de pago</w:t>
      </w:r>
    </w:p>
    <w:p>
      <w:pPr>
        <w:pStyle w:val="ListParagraph"/>
        <w:numPr>
          <w:ilvl w:val="0"/>
          <w:numId w:val="1"/>
        </w:numPr>
        <w:spacing w:after="100" w:line="264"/>
      </w:pPr>
      <w:r>
        <w:rPr>
          <w:b/>
          <w:bCs/>
        </w:rPr>
        <w:t xml:space="preserve">Depósito inicial: </w:t>
      </w:r>
      <w:r>
        <w:t xml:space="preserve">Entre 10% y 30% del valor estimado, retenido en custodia (escrow) hasta el inicio o finalización del trabajo, según la categoría y el riesgo.</w:t>
      </w:r>
    </w:p>
    <w:p>
      <w:pPr>
        <w:pStyle w:val="ListParagraph"/>
        <w:numPr>
          <w:ilvl w:val="0"/>
          <w:numId w:val="1"/>
        </w:numPr>
        <w:spacing w:after="100" w:line="264"/>
      </w:pPr>
      <w:r>
        <w:rPr>
          <w:b/>
          <w:bCs/>
        </w:rPr>
        <w:t xml:space="preserve">Pago completo por adelantado: </w:t>
      </w:r>
      <w:r>
        <w:t xml:space="preserve">Para trabajos pequeños y estandarizados (limpieza, montaje), con liberación al proveedor tras confirmación de finalización o transcurrido un periodo de garantía sin disputa (ej. 48–72 horas).</w:t>
      </w:r>
    </w:p>
    <w:p>
      <w:pPr>
        <w:pStyle w:val="ListParagraph"/>
        <w:numPr>
          <w:ilvl w:val="0"/>
          <w:numId w:val="1"/>
        </w:numPr>
        <w:spacing w:after="100" w:line="264"/>
      </w:pPr>
      <w:r>
        <w:rPr>
          <w:b/>
          <w:bCs/>
        </w:rPr>
        <w:t xml:space="preserve">Pagos por etapas (milestones): </w:t>
      </w:r>
      <w:r>
        <w:t xml:space="preserve">Para proyectos grandes (remodelación, construcción): el cliente aprueba y paga por fase, y cada liberación de fondos requiere evidencia fotográfica y confirmación.</w:t>
      </w:r>
    </w:p>
    <w:p>
      <w:pPr>
        <w:pStyle w:val="ListParagraph"/>
        <w:numPr>
          <w:ilvl w:val="0"/>
          <w:numId w:val="1"/>
        </w:numPr>
        <w:spacing w:after="100" w:line="264"/>
      </w:pPr>
      <w:r>
        <w:rPr>
          <w:b/>
          <w:bCs/>
        </w:rPr>
        <w:t xml:space="preserve">Retención temporal de fondos (escrow): </w:t>
      </w:r>
      <w:r>
        <w:t xml:space="preserve">Los fondos del cliente se mantienen en una cuenta de terceros (a través del proveedor de pagos) hasta que se cumplen las condiciones de liberación acordadas.</w:t>
      </w:r>
    </w:p>
    <w:p>
      <w:pPr>
        <w:pStyle w:val="ListParagraph"/>
        <w:numPr>
          <w:ilvl w:val="0"/>
          <w:numId w:val="1"/>
        </w:numPr>
        <w:spacing w:after="100" w:line="264"/>
      </w:pPr>
      <w:r>
        <w:rPr>
          <w:b/>
          <w:bCs/>
        </w:rPr>
        <w:t xml:space="preserve">Propinas: </w:t>
      </w:r>
      <w:r>
        <w:t xml:space="preserve">Opcionales, 100% para el proveedor, sin comisión de la plataforma sobre la propina (a diferencia de Fiverr, que sí cobra comisión sobre propinas).</w:t>
      </w:r>
    </w:p>
    <w:p>
      <w:pPr>
        <w:pStyle w:val="ListParagraph"/>
        <w:numPr>
          <w:ilvl w:val="0"/>
          <w:numId w:val="1"/>
        </w:numPr>
        <w:spacing w:after="100" w:line="264"/>
      </w:pPr>
      <w:r>
        <w:rPr>
          <w:b/>
          <w:bCs/>
        </w:rPr>
        <w:t xml:space="preserve">Reembolsos y contracargos: </w:t>
      </w:r>
      <w:r>
        <w:t xml:space="preserve">Política clara y publicada por categoría; ventana de disputa definida (ej. 48 horas tras finalización); mediación interna antes de permitir contracargos directos con el banco, para proteger al proveedor de fraude de contracargo.</w:t>
      </w:r>
    </w:p>
    <w:p>
      <w:pPr>
        <w:pStyle w:val="ListParagraph"/>
        <w:numPr>
          <w:ilvl w:val="0"/>
          <w:numId w:val="1"/>
        </w:numPr>
        <w:spacing w:after="100" w:line="264"/>
      </w:pPr>
      <w:r>
        <w:rPr>
          <w:b/>
          <w:bCs/>
        </w:rPr>
        <w:t xml:space="preserve">Trabajos incompletos o daños: </w:t>
      </w:r>
      <w:r>
        <w:t xml:space="preserve">Fondos retenidos en escrow hasta resolución; opción de seguro de daños contratado dentro de la plataforma para trabajos de alto riesgo (electricidad, plomería, construcción).</w:t>
      </w:r>
    </w:p>
    <w:p>
      <w:pPr>
        <w:pStyle w:val="ListParagraph"/>
        <w:numPr>
          <w:ilvl w:val="0"/>
          <w:numId w:val="1"/>
        </w:numPr>
        <w:spacing w:after="100" w:line="264"/>
      </w:pPr>
      <w:r>
        <w:rPr>
          <w:b/>
          <w:bCs/>
        </w:rPr>
        <w:t xml:space="preserve">Verificación de identidad y prevención de lavado de dinero (AML): </w:t>
      </w:r>
      <w:r>
        <w:t xml:space="preserve">Verificación KYC del proveedor de pagos (ej. Stripe Identity) antes de habilitar pagos; monitoreo de patrones inusuales de transacciones.</w:t>
      </w:r>
    </w:p>
    <w:p>
      <w:pPr>
        <w:pStyle w:val="ListParagraph"/>
        <w:numPr>
          <w:ilvl w:val="0"/>
          <w:numId w:val="1"/>
        </w:numPr>
        <w:spacing w:after="100" w:line="264"/>
      </w:pPr>
      <w:r>
        <w:rPr>
          <w:b/>
          <w:bCs/>
        </w:rPr>
        <w:t xml:space="preserve">Reportes fiscales: </w:t>
      </w:r>
      <w:r>
        <w:t xml:space="preserve">Emisión automática de formularios para proveedores independientes según el país (por ejemplo, 1099-K/1099-NEC en EE. UU. según umbrales vigentes; comprobantes fiscales electrónicos en México); este punto requiere validación legal-contable por jurisdicción.</w:t>
      </w:r>
    </w:p>
    <w:p>
      <w:pPr>
        <w:pStyle w:val="Heading2"/>
        <w:spacing w:after="120" w:before="260"/>
      </w:pPr>
      <w:r>
        <w:t xml:space="preserve">Proveedores de pago a evaluar</w:t>
      </w:r>
    </w:p>
    <w:p>
      <w:pPr>
        <w:pStyle w:val="ListParagraph"/>
        <w:numPr>
          <w:ilvl w:val="0"/>
          <w:numId w:val="1"/>
        </w:numPr>
        <w:spacing w:after="80" w:line="264"/>
      </w:pPr>
      <w:r>
        <w:t xml:space="preserve">Stripe Connect — estándar de facto para marketplaces; soporta pagos divididos, escrow funcional mediante retención manual de payouts, KYC integrado y emisión de formularios fiscales en EE. UU.</w:t>
      </w:r>
    </w:p>
    <w:p>
      <w:pPr>
        <w:pStyle w:val="ListParagraph"/>
        <w:numPr>
          <w:ilvl w:val="0"/>
          <w:numId w:val="1"/>
        </w:numPr>
        <w:spacing w:after="80" w:line="264"/>
      </w:pPr>
      <w:r>
        <w:t xml:space="preserve">Adyen for Platforms — alternativa robusta para operación multi-país y multi-moneda, fuerte en Europa y LatAm.</w:t>
      </w:r>
    </w:p>
    <w:p>
      <w:pPr>
        <w:pStyle w:val="ListParagraph"/>
        <w:numPr>
          <w:ilvl w:val="0"/>
          <w:numId w:val="1"/>
        </w:numPr>
        <w:spacing w:after="80" w:line="264"/>
      </w:pPr>
      <w:r>
        <w:t xml:space="preserve">PayPal for Marketplaces / Braintree — reconocimiento de marca alto entre consumidores, aunque con estructura de comisión distinta.</w:t>
      </w:r>
    </w:p>
    <w:p>
      <w:pPr>
        <w:pStyle w:val="ListParagraph"/>
        <w:numPr>
          <w:ilvl w:val="0"/>
          <w:numId w:val="1"/>
        </w:numPr>
        <w:spacing w:after="80" w:line="264"/>
      </w:pPr>
      <w:r>
        <w:t xml:space="preserve">Mercado Pago — relevante específicamente para México y Latinoamérica por penetración y métodos de pago locales (OXXO, SPEI, etc.).</w:t>
      </w:r>
    </w:p>
    <w:p>
      <w:pPr>
        <w:spacing w:after="200" w:before="80"/>
      </w:pPr>
      <w:r>
        <w:rPr>
          <w:i/>
          <w:iCs/>
          <w:color w:val="595959"/>
          <w:sz w:val="20"/>
          <w:szCs w:val="20"/>
        </w:rPr>
        <w:t xml:space="preserve">Nota: La elección final de procesador de pagos, la estructura exacta de retención de fondos y el cumplimiento AML/KYC deben validarse con asesoría legal y financiera especializada por país.</w:t>
      </w:r>
    </w:p>
    <w:p>
      <w:pPr>
        <w:pStyle w:val="Heading1"/>
        <w:pageBreakBefore/>
        <w:spacing w:after="160" w:before="360"/>
      </w:pPr>
      <w:r>
        <w:t xml:space="preserve">13. Sistema para evitar operaciones fuera de la plataforma</w:t>
      </w:r>
    </w:p>
    <w:p>
      <w:pPr>
        <w:spacing w:after="160" w:line="276"/>
      </w:pPr>
      <w:r>
        <w:t xml:space="preserve">El objetivo es reducir —no eliminar por completo, lo cual es imposible— el incentivo y la facilidad de que cliente y proveedor cierren el trato fuera de la app antes de pagar o reservar.</w:t>
      </w:r>
    </w:p>
    <w:p>
      <w:pPr>
        <w:pStyle w:val="Heading2"/>
        <w:spacing w:after="120" w:before="260"/>
      </w:pPr>
      <w:r>
        <w:t xml:space="preserve">Mecanismos técnicos</w:t>
      </w:r>
    </w:p>
    <w:p>
      <w:pPr>
        <w:pStyle w:val="ListParagraph"/>
        <w:numPr>
          <w:ilvl w:val="0"/>
          <w:numId w:val="1"/>
        </w:numPr>
        <w:spacing w:after="80" w:line="264"/>
      </w:pPr>
      <w:r>
        <w:t xml:space="preserve">Chat interno obligatorio para toda comunicación previa a la reserva.</w:t>
      </w:r>
    </w:p>
    <w:p>
      <w:pPr>
        <w:pStyle w:val="ListParagraph"/>
        <w:numPr>
          <w:ilvl w:val="0"/>
          <w:numId w:val="1"/>
        </w:numPr>
        <w:spacing w:after="80" w:line="264"/>
      </w:pPr>
      <w:r>
        <w:t xml:space="preserve">Números telefónicos enmascarados/temporales (proxy number) para llamadas y SMS antes de la reserva.</w:t>
      </w:r>
    </w:p>
    <w:p>
      <w:pPr>
        <w:pStyle w:val="ListParagraph"/>
        <w:numPr>
          <w:ilvl w:val="0"/>
          <w:numId w:val="1"/>
        </w:numPr>
        <w:spacing w:after="80" w:line="264"/>
      </w:pPr>
      <w:r>
        <w:t xml:space="preserve">Direcciones de correo temporales o reenvío enmascarado dentro del chat.</w:t>
      </w:r>
    </w:p>
    <w:p>
      <w:pPr>
        <w:pStyle w:val="ListParagraph"/>
        <w:numPr>
          <w:ilvl w:val="0"/>
          <w:numId w:val="1"/>
        </w:numPr>
        <w:spacing w:after="80" w:line="264"/>
      </w:pPr>
      <w:r>
        <w:t xml:space="preserve">Detección automática (NLP) de números telefónicos, correos, enlaces externos y menciones de redes sociales, incluyendo variaciones ofuscadas ("cinco cinco cinco", "arroba", espaciado irregular, emojis sustituyendo dígitos).</w:t>
      </w:r>
    </w:p>
    <w:p>
      <w:pPr>
        <w:pStyle w:val="ListParagraph"/>
        <w:numPr>
          <w:ilvl w:val="0"/>
          <w:numId w:val="1"/>
        </w:numPr>
        <w:spacing w:after="80" w:line="264"/>
      </w:pPr>
      <w:r>
        <w:t xml:space="preserve">Bloqueo suave: el mensaje se retiene o se censura automáticamente y se notifica al usuario con una explicación clara, no un bloqueo silencioso que genere frustración.</w:t>
      </w:r>
    </w:p>
    <w:p>
      <w:pPr>
        <w:pStyle w:val="ListParagraph"/>
        <w:numPr>
          <w:ilvl w:val="0"/>
          <w:numId w:val="1"/>
        </w:numPr>
        <w:spacing w:after="80" w:line="264"/>
      </w:pPr>
      <w:r>
        <w:t xml:space="preserve">Liberación automática de datos de contacto reales solo después de confirmarse el depósito o pago.</w:t>
      </w:r>
    </w:p>
    <w:p>
      <w:pPr>
        <w:pStyle w:val="ListParagraph"/>
        <w:numPr>
          <w:ilvl w:val="0"/>
          <w:numId w:val="1"/>
        </w:numPr>
        <w:spacing w:after="80" w:line="264"/>
      </w:pPr>
      <w:r>
        <w:t xml:space="preserve">Historial completo de conversaciones y cotizaciones conservado como evidencia en caso de disputa.</w:t>
      </w:r>
    </w:p>
    <w:p>
      <w:pPr>
        <w:pStyle w:val="ListParagraph"/>
        <w:numPr>
          <w:ilvl w:val="0"/>
          <w:numId w:val="1"/>
        </w:numPr>
        <w:spacing w:after="80" w:line="264"/>
      </w:pPr>
      <w:r>
        <w:t xml:space="preserve">Detección de patrones de fraude: cuentas nuevas que intentan mover la conversación a fuga rápida, mensajes repetidos de solicitud de contacto directo, proveedores con alta tasa de "trabajo cerrado fuera de la app" reportado por clientes.</w:t>
      </w:r>
    </w:p>
    <w:p>
      <w:pPr>
        <w:pStyle w:val="Heading2"/>
        <w:spacing w:after="120" w:before="260"/>
      </w:pPr>
      <w:r>
        <w:t xml:space="preserve">Mecanismos de incentivo (más importantes que los técnicos)</w:t>
      </w:r>
    </w:p>
    <w:p>
      <w:pPr>
        <w:pStyle w:val="ListParagraph"/>
        <w:numPr>
          <w:ilvl w:val="0"/>
          <w:numId w:val="1"/>
        </w:numPr>
        <w:spacing w:after="80" w:line="264"/>
      </w:pPr>
      <w:r>
        <w:t xml:space="preserve">Garantía de satisfacción y seguro de responsabilidad civil exclusivos para trabajos reservados y pagados dentro de la plataforma.</w:t>
      </w:r>
    </w:p>
    <w:p>
      <w:pPr>
        <w:pStyle w:val="ListParagraph"/>
        <w:numPr>
          <w:ilvl w:val="0"/>
          <w:numId w:val="1"/>
        </w:numPr>
        <w:spacing w:after="80" w:line="264"/>
      </w:pPr>
      <w:r>
        <w:t xml:space="preserve">Comisión decreciente por lealtad y volumen (sección 9), que hace más barato quedarse dentro de la plataforma con el tiempo, no más caro.</w:t>
      </w:r>
    </w:p>
    <w:p>
      <w:pPr>
        <w:pStyle w:val="ListParagraph"/>
        <w:numPr>
          <w:ilvl w:val="0"/>
          <w:numId w:val="1"/>
        </w:numPr>
        <w:spacing w:after="80" w:line="264"/>
      </w:pPr>
      <w:r>
        <w:t xml:space="preserve">Programa de puntos y niveles que otorga beneficios reales (menor comisión, mejor posicionamiento orgánico, insignias de confianza) por operar 100% dentro de la app.</w:t>
      </w:r>
    </w:p>
    <w:p>
      <w:pPr>
        <w:pStyle w:val="ListParagraph"/>
        <w:numPr>
          <w:ilvl w:val="0"/>
          <w:numId w:val="1"/>
        </w:numPr>
        <w:spacing w:after="80" w:line="264"/>
      </w:pPr>
      <w:r>
        <w:t xml:space="preserve">Penalización proporcional y con debido proceso (advertencia → suspensión temporal → expulsión) para cuentas reincidentes con evidencia clara de fuga, evitando falsos positivos que dañen a proveedores honestos.</w:t>
      </w:r>
    </w:p>
    <w:p>
      <w:pPr>
        <w:spacing w:after="200" w:before="80"/>
      </w:pPr>
      <w:r>
        <w:rPr>
          <w:i/>
          <w:iCs/>
          <w:color w:val="595959"/>
          <w:sz w:val="20"/>
          <w:szCs w:val="20"/>
        </w:rPr>
        <w:t xml:space="preserve">Nota: El diseño debe evitar la sensación de vigilancia excesiva: el bloqueo debe ser predecible, explicado y reversible en casos límite (por ejemplo, permitir compartir dirección exacta o número una vez confirmado el depósito, sin fricción adicional). Un sistema anti-fuga demasiado agresivo empuja a los usuarios más experimentados a evadirlo con más sofisticación, en vez de reducir la fuga real.</w:t>
      </w:r>
    </w:p>
    <w:p>
      <w:pPr>
        <w:pStyle w:val="Heading1"/>
        <w:pageBreakBefore/>
        <w:spacing w:after="160" w:before="360"/>
      </w:pPr>
      <w:r>
        <w:t xml:space="preserve">14. Arquitectura funcional de la aplicación</w:t>
      </w:r>
    </w:p>
    <w:p>
      <w:pPr>
        <w:pStyle w:val="Heading2"/>
        <w:spacing w:after="120" w:before="260"/>
      </w:pPr>
      <w:r>
        <w:t xml:space="preserve">Módulos principales</w:t>
      </w:r>
    </w:p>
    <w:p>
      <w:pPr>
        <w:pStyle w:val="ListParagraph"/>
        <w:numPr>
          <w:ilvl w:val="0"/>
          <w:numId w:val="1"/>
        </w:numPr>
        <w:spacing w:after="80" w:line="264"/>
      </w:pPr>
      <w:r>
        <w:t xml:space="preserve">Identidad y verificación (KYC, licencias, seguros, antecedentes) — servicio independiente reutilizable en todas las categorías.</w:t>
      </w:r>
    </w:p>
    <w:p>
      <w:pPr>
        <w:pStyle w:val="ListParagraph"/>
        <w:numPr>
          <w:ilvl w:val="0"/>
          <w:numId w:val="1"/>
        </w:numPr>
        <w:spacing w:after="80" w:line="264"/>
      </w:pPr>
      <w:r>
        <w:t xml:space="preserve">Catálogo de categorías y servicios (con árbol jerárquico: categoría → subcategoría → servicio → variantes).</w:t>
      </w:r>
    </w:p>
    <w:p>
      <w:pPr>
        <w:pStyle w:val="ListParagraph"/>
        <w:numPr>
          <w:ilvl w:val="0"/>
          <w:numId w:val="1"/>
        </w:numPr>
        <w:spacing w:after="80" w:line="264"/>
      </w:pPr>
      <w:r>
        <w:t xml:space="preserve">Motor de matching (reglas + modelo de relevancia: categoría, cobertura geográfica, disponibilidad, calidad histórica, precio).</w:t>
      </w:r>
    </w:p>
    <w:p>
      <w:pPr>
        <w:pStyle w:val="ListParagraph"/>
        <w:numPr>
          <w:ilvl w:val="0"/>
          <w:numId w:val="1"/>
        </w:numPr>
        <w:spacing w:after="80" w:line="264"/>
      </w:pPr>
      <w:r>
        <w:t xml:space="preserve">Cotizaciones y contratos (generación de cotización formal, aceptación digital, versión con precio fijo vs. personalizado).</w:t>
      </w:r>
    </w:p>
    <w:p>
      <w:pPr>
        <w:pStyle w:val="ListParagraph"/>
        <w:numPr>
          <w:ilvl w:val="0"/>
          <w:numId w:val="1"/>
        </w:numPr>
        <w:spacing w:after="80" w:line="264"/>
      </w:pPr>
      <w:r>
        <w:t xml:space="preserve">Mensajería (chat enmascarado, adjuntos de fotos/video, detección de fuga, traducción automática).</w:t>
      </w:r>
    </w:p>
    <w:p>
      <w:pPr>
        <w:pStyle w:val="ListParagraph"/>
        <w:numPr>
          <w:ilvl w:val="0"/>
          <w:numId w:val="1"/>
        </w:numPr>
        <w:spacing w:after="80" w:line="264"/>
      </w:pPr>
      <w:r>
        <w:t xml:space="preserve">Pagos (integración con procesador, escrow, pagos por etapas, propinas, reembolsos, reportes fiscales).</w:t>
      </w:r>
    </w:p>
    <w:p>
      <w:pPr>
        <w:pStyle w:val="ListParagraph"/>
        <w:numPr>
          <w:ilvl w:val="0"/>
          <w:numId w:val="1"/>
        </w:numPr>
        <w:spacing w:after="80" w:line="264"/>
      </w:pPr>
      <w:r>
        <w:t xml:space="preserve">Calendario y programación (disponibilidad del proveedor, recurrencia, rutas para múltiples trabajos).</w:t>
      </w:r>
    </w:p>
    <w:p>
      <w:pPr>
        <w:pStyle w:val="ListParagraph"/>
        <w:numPr>
          <w:ilvl w:val="0"/>
          <w:numId w:val="1"/>
        </w:numPr>
        <w:spacing w:after="80" w:line="264"/>
      </w:pPr>
      <w:r>
        <w:t xml:space="preserve">Reputación (reseñas bidireccionales, insignias, niveles, detección de manipulación).</w:t>
      </w:r>
    </w:p>
    <w:p>
      <w:pPr>
        <w:pStyle w:val="ListParagraph"/>
        <w:numPr>
          <w:ilvl w:val="0"/>
          <w:numId w:val="1"/>
        </w:numPr>
        <w:spacing w:after="80" w:line="264"/>
      </w:pPr>
      <w:r>
        <w:t xml:space="preserve">Panel de negocio para el proveedor (CRM ligero, facturación, métricas de ingresos, gestión de equipo/empleados).</w:t>
      </w:r>
    </w:p>
    <w:p>
      <w:pPr>
        <w:pStyle w:val="ListParagraph"/>
        <w:numPr>
          <w:ilvl w:val="0"/>
          <w:numId w:val="1"/>
        </w:numPr>
        <w:spacing w:after="80" w:line="264"/>
      </w:pPr>
      <w:r>
        <w:t xml:space="preserve">Confianza y seguridad (detección de fraude, moderación de contenido, gestión de disputas, soporte).</w:t>
      </w:r>
    </w:p>
    <w:p>
      <w:pPr>
        <w:pStyle w:val="ListParagraph"/>
        <w:numPr>
          <w:ilvl w:val="0"/>
          <w:numId w:val="1"/>
        </w:numPr>
        <w:spacing w:after="80" w:line="264"/>
      </w:pPr>
      <w:r>
        <w:t xml:space="preserve">Notificaciones (push, SMS, email) y recordatorios de mantenimiento/recurrencia.</w:t>
      </w:r>
    </w:p>
    <w:p>
      <w:pPr>
        <w:pStyle w:val="ListParagraph"/>
        <w:numPr>
          <w:ilvl w:val="0"/>
          <w:numId w:val="1"/>
        </w:numPr>
        <w:spacing w:after="80" w:line="264"/>
      </w:pPr>
      <w:r>
        <w:t xml:space="preserve">Administración interna (backoffice de soporte, moderación, finanzas, cumplimiento).</w:t>
      </w:r>
    </w:p>
    <w:p>
      <w:pPr>
        <w:pStyle w:val="Heading2"/>
        <w:spacing w:after="120" w:before="260"/>
      </w:pPr>
      <w:r>
        <w:t xml:space="preserve">Principios de arquitectura recomendados</w:t>
      </w:r>
    </w:p>
    <w:p>
      <w:pPr>
        <w:pStyle w:val="ListParagraph"/>
        <w:numPr>
          <w:ilvl w:val="0"/>
          <w:numId w:val="1"/>
        </w:numPr>
        <w:spacing w:after="80" w:line="264"/>
      </w:pPr>
      <w:r>
        <w:t xml:space="preserve">Separar el motor de matching del de pagos y del de mensajería para poder iterar cada uno de forma independiente.</w:t>
      </w:r>
    </w:p>
    <w:p>
      <w:pPr>
        <w:pStyle w:val="ListParagraph"/>
        <w:numPr>
          <w:ilvl w:val="0"/>
          <w:numId w:val="1"/>
        </w:numPr>
        <w:spacing w:after="80" w:line="264"/>
      </w:pPr>
      <w:r>
        <w:t xml:space="preserve">Diseñar el modelo de datos de "servicio" de forma flexible desde el día uno (categorías con atributos configurables), ya que la lista de categorías crecerá con el tiempo.</w:t>
      </w:r>
    </w:p>
    <w:p>
      <w:pPr>
        <w:pStyle w:val="ListParagraph"/>
        <w:numPr>
          <w:ilvl w:val="0"/>
          <w:numId w:val="1"/>
        </w:numPr>
        <w:spacing w:after="80" w:line="264"/>
      </w:pPr>
      <w:r>
        <w:t xml:space="preserve">Tratar la detección de fuga y el fraude como un sistema de scoring continuo, no como reglas binarias fijas, para poder ajustar sensibilidad sin desplegar código nuevo.</w:t>
      </w:r>
    </w:p>
    <w:p>
      <w:pPr>
        <w:pStyle w:val="ListParagraph"/>
        <w:numPr>
          <w:ilvl w:val="0"/>
          <w:numId w:val="1"/>
        </w:numPr>
        <w:spacing w:after="80" w:line="264"/>
      </w:pPr>
      <w:r>
        <w:t xml:space="preserve">Construir el panel del proveedor como un producto en sí mismo (no un añadido), ya que es el principal diferenciador frente a plataformas de solo-leads.</w:t>
      </w:r>
    </w:p>
    <w:p>
      <w:pPr>
        <w:pStyle w:val="Heading1"/>
        <w:pageBreakBefore/>
        <w:spacing w:after="160" w:before="360"/>
      </w:pPr>
      <w:r>
        <w:t xml:space="preserve">15–16. Funciones para el producto mínimo viable y etapas posteriores</w:t>
      </w:r>
    </w:p>
    <w:p>
      <w:pPr>
        <w:pStyle w:val="Heading2"/>
        <w:spacing w:after="120" w:before="260"/>
      </w:pPr>
      <w:r>
        <w:t xml:space="preserve">Producto mínimo viable (Fase 1)</w:t>
      </w:r>
    </w:p>
    <w:p>
      <w:pPr>
        <w:pStyle w:val="ListParagraph"/>
        <w:numPr>
          <w:ilvl w:val="0"/>
          <w:numId w:val="1"/>
        </w:numPr>
        <w:spacing w:after="80" w:line="264"/>
      </w:pPr>
      <w:r>
        <w:t xml:space="preserve">Registro y verificación básica de identidad para clientes y proveedores.</w:t>
      </w:r>
    </w:p>
    <w:p>
      <w:pPr>
        <w:pStyle w:val="ListParagraph"/>
        <w:numPr>
          <w:ilvl w:val="0"/>
          <w:numId w:val="1"/>
        </w:numPr>
        <w:spacing w:after="80" w:line="264"/>
      </w:pPr>
      <w:r>
        <w:t xml:space="preserve">Publicación de necesidad por parte del cliente con fotos y descripción.</w:t>
      </w:r>
    </w:p>
    <w:p>
      <w:pPr>
        <w:pStyle w:val="ListParagraph"/>
        <w:numPr>
          <w:ilvl w:val="0"/>
          <w:numId w:val="1"/>
        </w:numPr>
        <w:spacing w:after="80" w:line="264"/>
      </w:pPr>
      <w:r>
        <w:t xml:space="preserve">Emparejamiento con 3–5 proveedores relevantes por categoría y cobertura.</w:t>
      </w:r>
    </w:p>
    <w:p>
      <w:pPr>
        <w:pStyle w:val="ListParagraph"/>
        <w:numPr>
          <w:ilvl w:val="0"/>
          <w:numId w:val="1"/>
        </w:numPr>
        <w:spacing w:after="80" w:line="264"/>
      </w:pPr>
      <w:r>
        <w:t xml:space="preserve">Chat interno con número enmascarado y bloqueo básico de contacto directo.</w:t>
      </w:r>
    </w:p>
    <w:p>
      <w:pPr>
        <w:pStyle w:val="ListParagraph"/>
        <w:numPr>
          <w:ilvl w:val="0"/>
          <w:numId w:val="1"/>
        </w:numPr>
        <w:spacing w:after="80" w:line="264"/>
      </w:pPr>
      <w:r>
        <w:t xml:space="preserve">Cotización formal dentro de la app (manual, sin IA todavía).</w:t>
      </w:r>
    </w:p>
    <w:p>
      <w:pPr>
        <w:pStyle w:val="ListParagraph"/>
        <w:numPr>
          <w:ilvl w:val="0"/>
          <w:numId w:val="1"/>
        </w:numPr>
        <w:spacing w:after="80" w:line="264"/>
      </w:pPr>
      <w:r>
        <w:t xml:space="preserve">Pago con depósito o pago completo vía Stripe Connect (o Mercado Pago si el lanzamiento es en México/LatAm).</w:t>
      </w:r>
    </w:p>
    <w:p>
      <w:pPr>
        <w:pStyle w:val="ListParagraph"/>
        <w:numPr>
          <w:ilvl w:val="0"/>
          <w:numId w:val="1"/>
        </w:numPr>
        <w:spacing w:after="80" w:line="264"/>
      </w:pPr>
      <w:r>
        <w:t xml:space="preserve">Liberación de contacto tras confirmación de pago.</w:t>
      </w:r>
    </w:p>
    <w:p>
      <w:pPr>
        <w:pStyle w:val="ListParagraph"/>
        <w:numPr>
          <w:ilvl w:val="0"/>
          <w:numId w:val="1"/>
        </w:numPr>
        <w:spacing w:after="80" w:line="264"/>
      </w:pPr>
      <w:r>
        <w:t xml:space="preserve">Confirmación de finalización y liberación de pago al proveedor.</w:t>
      </w:r>
    </w:p>
    <w:p>
      <w:pPr>
        <w:pStyle w:val="ListParagraph"/>
        <w:numPr>
          <w:ilvl w:val="0"/>
          <w:numId w:val="1"/>
        </w:numPr>
        <w:spacing w:after="80" w:line="264"/>
      </w:pPr>
      <w:r>
        <w:t xml:space="preserve">Reseñas bidireccionales básicas.</w:t>
      </w:r>
    </w:p>
    <w:p>
      <w:pPr>
        <w:pStyle w:val="ListParagraph"/>
        <w:numPr>
          <w:ilvl w:val="0"/>
          <w:numId w:val="1"/>
        </w:numPr>
        <w:spacing w:after="80" w:line="264"/>
      </w:pPr>
      <w:r>
        <w:t xml:space="preserve">3–5 categorías de servicio iniciales (ver sección 17), no las más de veinte listadas en el alcance completo.</w:t>
      </w:r>
    </w:p>
    <w:p>
      <w:pPr>
        <w:pStyle w:val="ListParagraph"/>
        <w:numPr>
          <w:ilvl w:val="0"/>
          <w:numId w:val="1"/>
        </w:numPr>
        <w:spacing w:after="80" w:line="264"/>
      </w:pPr>
      <w:r>
        <w:t xml:space="preserve">Panel simple de proveedor: calendario, historial de trabajos, ingresos.</w:t>
      </w:r>
    </w:p>
    <w:p>
      <w:pPr>
        <w:pStyle w:val="Heading2"/>
        <w:spacing w:after="120" w:before="260"/>
      </w:pPr>
      <w:r>
        <w:t xml:space="preserve">Fase 2</w:t>
      </w:r>
    </w:p>
    <w:p>
      <w:pPr>
        <w:pStyle w:val="ListParagraph"/>
        <w:numPr>
          <w:ilvl w:val="0"/>
          <w:numId w:val="1"/>
        </w:numPr>
        <w:spacing w:after="80" w:line="264"/>
      </w:pPr>
      <w:r>
        <w:t xml:space="preserve">Cotizaciones asistidas por IA a partir de fotos/video del trabajo.</w:t>
      </w:r>
    </w:p>
    <w:p>
      <w:pPr>
        <w:pStyle w:val="ListParagraph"/>
        <w:numPr>
          <w:ilvl w:val="0"/>
          <w:numId w:val="1"/>
        </w:numPr>
        <w:spacing w:after="80" w:line="264"/>
      </w:pPr>
      <w:r>
        <w:t xml:space="preserve">Pagos por etapas para proyectos grandes.</w:t>
      </w:r>
    </w:p>
    <w:p>
      <w:pPr>
        <w:pStyle w:val="ListParagraph"/>
        <w:numPr>
          <w:ilvl w:val="0"/>
          <w:numId w:val="1"/>
        </w:numPr>
        <w:spacing w:after="80" w:line="264"/>
      </w:pPr>
      <w:r>
        <w:t xml:space="preserve">Programa de niveles y comisión decreciente por lealtad.</w:t>
      </w:r>
    </w:p>
    <w:p>
      <w:pPr>
        <w:pStyle w:val="ListParagraph"/>
        <w:numPr>
          <w:ilvl w:val="0"/>
          <w:numId w:val="1"/>
        </w:numPr>
        <w:spacing w:after="80" w:line="264"/>
      </w:pPr>
      <w:r>
        <w:t xml:space="preserve">Servicios recurrentes y suscripciones para propiedades (ej. mantenimiento mensual).</w:t>
      </w:r>
    </w:p>
    <w:p>
      <w:pPr>
        <w:pStyle w:val="ListParagraph"/>
        <w:numPr>
          <w:ilvl w:val="0"/>
          <w:numId w:val="1"/>
        </w:numPr>
        <w:spacing w:after="80" w:line="264"/>
      </w:pPr>
      <w:r>
        <w:t xml:space="preserve">CRM y facturación más completos para proveedores; gestión de equipos/empleados.</w:t>
      </w:r>
    </w:p>
    <w:p>
      <w:pPr>
        <w:pStyle w:val="ListParagraph"/>
        <w:numPr>
          <w:ilvl w:val="0"/>
          <w:numId w:val="1"/>
        </w:numPr>
        <w:spacing w:after="80" w:line="264"/>
      </w:pPr>
      <w:r>
        <w:t xml:space="preserve">Traducción automática del chat.</w:t>
      </w:r>
    </w:p>
    <w:p>
      <w:pPr>
        <w:pStyle w:val="ListParagraph"/>
        <w:numPr>
          <w:ilvl w:val="0"/>
          <w:numId w:val="1"/>
        </w:numPr>
        <w:spacing w:after="80" w:line="264"/>
      </w:pPr>
      <w:r>
        <w:t xml:space="preserve">Seguimiento en tiempo real del proveedor y verificación de llegada/salida.</w:t>
      </w:r>
    </w:p>
    <w:p>
      <w:pPr>
        <w:pStyle w:val="ListParagraph"/>
        <w:numPr>
          <w:ilvl w:val="0"/>
          <w:numId w:val="1"/>
        </w:numPr>
        <w:spacing w:after="80" w:line="264"/>
      </w:pPr>
      <w:r>
        <w:t xml:space="preserve">Sistema de referidos para clientes y proveedores.</w:t>
      </w:r>
    </w:p>
    <w:p>
      <w:pPr>
        <w:pStyle w:val="ListParagraph"/>
        <w:numPr>
          <w:ilvl w:val="0"/>
          <w:numId w:val="1"/>
        </w:numPr>
        <w:spacing w:after="80" w:line="264"/>
      </w:pPr>
      <w:r>
        <w:t xml:space="preserve">Expansión de categorías (ver lista completa del alcance original).</w:t>
      </w:r>
    </w:p>
    <w:p>
      <w:pPr>
        <w:pStyle w:val="Heading2"/>
        <w:spacing w:after="120" w:before="260"/>
      </w:pPr>
      <w:r>
        <w:t xml:space="preserve">Fase 3</w:t>
      </w:r>
    </w:p>
    <w:p>
      <w:pPr>
        <w:pStyle w:val="ListParagraph"/>
        <w:numPr>
          <w:ilvl w:val="0"/>
          <w:numId w:val="1"/>
        </w:numPr>
        <w:spacing w:after="80" w:line="264"/>
      </w:pPr>
      <w:r>
        <w:t xml:space="preserve">Financiamiento para trabajos grandes (compra ahora, paga después integrado con un socio financiero regulado).</w:t>
      </w:r>
    </w:p>
    <w:p>
      <w:pPr>
        <w:pStyle w:val="ListParagraph"/>
        <w:numPr>
          <w:ilvl w:val="0"/>
          <w:numId w:val="1"/>
        </w:numPr>
        <w:spacing w:after="80" w:line="264"/>
      </w:pPr>
      <w:r>
        <w:t xml:space="preserve">Marketplace de materiales y herramientas integrado (compra dentro de la app con comisión sobre materiales).</w:t>
      </w:r>
    </w:p>
    <w:p>
      <w:pPr>
        <w:pStyle w:val="ListParagraph"/>
        <w:numPr>
          <w:ilvl w:val="0"/>
          <w:numId w:val="1"/>
        </w:numPr>
        <w:spacing w:after="80" w:line="264"/>
      </w:pPr>
      <w:r>
        <w:t xml:space="preserve">Seguros y garantías extendidas contratables dentro de la plataforma, mediante alianza con aseguradoras.</w:t>
      </w:r>
    </w:p>
    <w:p>
      <w:pPr>
        <w:pStyle w:val="ListParagraph"/>
        <w:numPr>
          <w:ilvl w:val="0"/>
          <w:numId w:val="1"/>
        </w:numPr>
        <w:spacing w:after="80" w:line="264"/>
      </w:pPr>
      <w:r>
        <w:t xml:space="preserve">Perfiles empresariales avanzados con nómina/pago a trabajadores para compañías con equipos grandes.</w:t>
      </w:r>
    </w:p>
    <w:p>
      <w:pPr>
        <w:pStyle w:val="ListParagraph"/>
        <w:numPr>
          <w:ilvl w:val="0"/>
          <w:numId w:val="1"/>
        </w:numPr>
        <w:spacing w:after="80" w:line="264"/>
      </w:pPr>
      <w:r>
        <w:t xml:space="preserve">Expansión internacional multi-moneda y multi-idioma a escala.</w:t>
      </w:r>
    </w:p>
    <w:p>
      <w:pPr>
        <w:pStyle w:val="ListParagraph"/>
        <w:numPr>
          <w:ilvl w:val="0"/>
          <w:numId w:val="1"/>
        </w:numPr>
        <w:spacing w:after="80" w:line="264"/>
      </w:pPr>
      <w:r>
        <w:t xml:space="preserve">Video-llamadas de evaluación previa integradas para cotización a distancia.</w:t>
      </w:r>
    </w:p>
    <w:p>
      <w:pPr>
        <w:pStyle w:val="Heading1"/>
        <w:pageBreakBefore/>
        <w:spacing w:after="160" w:before="360"/>
      </w:pPr>
      <w:r>
        <w:t xml:space="preserve">17. Estrategia de lanzamiento y crecimiento</w:t>
      </w:r>
    </w:p>
    <w:p>
      <w:pPr>
        <w:pStyle w:val="Heading2"/>
        <w:spacing w:after="120" w:before="260"/>
      </w:pPr>
      <w:r>
        <w:t xml:space="preserve">Selección de mercado inicial</w:t>
      </w:r>
    </w:p>
    <w:p>
      <w:pPr>
        <w:spacing w:after="160" w:line="276"/>
      </w:pPr>
      <w:r>
        <w:t xml:space="preserve">[RECOMENDACIÓN / requiere validación] Un lanzamiento de una sola ciudad de tamaño medio (800,000–2,000,000 de habitantes) con alta rotación de vivienda (rentas, mudanzas frecuentes) y competencia local fragmentada (sin un jugador dominante ya consolidado) suele ofrecer mejor relación costo/velocidad de aprendizaje que empezar directamente en una megaciudad saturada de Angi/Thumbtack, o en un pueblo demasiado pequeño para alcanzar densidad de oferta y demanda.</w:t>
      </w:r>
    </w:p>
    <w:p>
      <w:pPr>
        <w:pStyle w:val="Heading2"/>
        <w:spacing w:after="120" w:before="260"/>
      </w:pPr>
      <w:r>
        <w:t xml:space="preserve">Categorías de lanzamiento</w:t>
      </w:r>
    </w:p>
    <w:p>
      <w:pPr>
        <w:pStyle w:val="ListParagraph"/>
        <w:numPr>
          <w:ilvl w:val="0"/>
          <w:numId w:val="1"/>
        </w:numPr>
        <w:spacing w:after="80" w:line="264"/>
      </w:pPr>
      <w:r>
        <w:t xml:space="preserve">3–5 categorías con alta frecuencia y ticket medio-bajo para generar volumen de transacciones rápido: limpieza residencial, mudanzas pequeñas, montaje/instalaciones, mantenimiento básico del hogar (plomería/electricidad menor).</w:t>
      </w:r>
    </w:p>
    <w:p>
      <w:pPr>
        <w:pStyle w:val="ListParagraph"/>
        <w:numPr>
          <w:ilvl w:val="0"/>
          <w:numId w:val="1"/>
        </w:numPr>
        <w:spacing w:after="80" w:line="264"/>
      </w:pPr>
      <w:r>
        <w:t xml:space="preserve">Evitar lanzar con categorías de alto riesgo regulatorio (construcción mayor, servicios médicos/estéticos invasivos) hasta tener el marco de verificación y seguros maduro.</w:t>
      </w:r>
    </w:p>
    <w:p>
      <w:pPr>
        <w:pStyle w:val="Heading2"/>
        <w:spacing w:after="120" w:before="260"/>
      </w:pPr>
      <w:r>
        <w:t xml:space="preserve">Cómo atraer a los primeros proveedores</w:t>
      </w:r>
    </w:p>
    <w:p>
      <w:pPr>
        <w:pStyle w:val="ListParagraph"/>
        <w:numPr>
          <w:ilvl w:val="0"/>
          <w:numId w:val="1"/>
        </w:numPr>
        <w:spacing w:after="80" w:line="264"/>
      </w:pPr>
      <w:r>
        <w:t xml:space="preserve">Comisión reducida o cero durante el periodo de lanzamiento (ej. primeros 90 días o primeros N trabajos) para incentivar la migración desde plataformas de pago-por-lead.</w:t>
      </w:r>
    </w:p>
    <w:p>
      <w:pPr>
        <w:pStyle w:val="ListParagraph"/>
        <w:numPr>
          <w:ilvl w:val="0"/>
          <w:numId w:val="1"/>
        </w:numPr>
        <w:spacing w:after="80" w:line="264"/>
      </w:pPr>
      <w:r>
        <w:t xml:space="preserve">Reclutamiento directo ("concierge onboarding") de los proveedores mejor calificados de Thumbtack/Angi/TaskRabbit en la ciudad elegida, ofreciendo migrar su portafolio de reseñas visibles como "verificado externamente".</w:t>
      </w:r>
    </w:p>
    <w:p>
      <w:pPr>
        <w:pStyle w:val="ListParagraph"/>
        <w:numPr>
          <w:ilvl w:val="0"/>
          <w:numId w:val="1"/>
        </w:numPr>
        <w:spacing w:after="80" w:line="264"/>
      </w:pPr>
      <w:r>
        <w:t xml:space="preserve">Garantía de un número mínimo de trabajos en el primer mes o reembolso de la comisión, para reducir el riesgo percibido de probar una plataforma nueva.</w:t>
      </w:r>
    </w:p>
    <w:p>
      <w:pPr>
        <w:pStyle w:val="Heading2"/>
        <w:spacing w:after="120" w:before="260"/>
      </w:pPr>
      <w:r>
        <w:t xml:space="preserve">Cómo atraer a los primeros clientes</w:t>
      </w:r>
    </w:p>
    <w:p>
      <w:pPr>
        <w:pStyle w:val="ListParagraph"/>
        <w:numPr>
          <w:ilvl w:val="0"/>
          <w:numId w:val="1"/>
        </w:numPr>
        <w:spacing w:after="80" w:line="264"/>
      </w:pPr>
      <w:r>
        <w:t xml:space="preserve">Descuento o crédito de bienvenida en el primer servicio.</w:t>
      </w:r>
    </w:p>
    <w:p>
      <w:pPr>
        <w:pStyle w:val="ListParagraph"/>
        <w:numPr>
          <w:ilvl w:val="0"/>
          <w:numId w:val="1"/>
        </w:numPr>
        <w:spacing w:after="80" w:line="264"/>
      </w:pPr>
      <w:r>
        <w:t xml:space="preserve">Marketing local hiperdirigido (SEO local, alianzas con administradoras de propiedades, redes de vecinos) en vez de publicidad masiva costosa desde el día uno.</w:t>
      </w:r>
    </w:p>
    <w:p>
      <w:pPr>
        <w:pStyle w:val="ListParagraph"/>
        <w:numPr>
          <w:ilvl w:val="0"/>
          <w:numId w:val="1"/>
        </w:numPr>
        <w:spacing w:after="80" w:line="264"/>
      </w:pPr>
      <w:r>
        <w:t xml:space="preserve">Garantía de satisfacción visible y explícita como diferenciador de mensaje frente a la competencia.</w:t>
      </w:r>
    </w:p>
    <w:p>
      <w:pPr>
        <w:pStyle w:val="Heading2"/>
        <w:spacing w:after="120" w:before="260"/>
      </w:pPr>
      <w:r>
        <w:t xml:space="preserve">Evitar el desequilibrio de oferta/demanda</w:t>
      </w:r>
    </w:p>
    <w:p>
      <w:pPr>
        <w:pStyle w:val="ListParagraph"/>
        <w:numPr>
          <w:ilvl w:val="0"/>
          <w:numId w:val="1"/>
        </w:numPr>
        <w:spacing w:after="80" w:line="264"/>
      </w:pPr>
      <w:r>
        <w:t xml:space="preserve">Lanzar el marketing a clientes de forma escalonada, sincronizado con la capacidad real de proveedores disponibles por categoría y zona, para no generar demanda que no se pueda atender (dañaría la confianza desde el inicio).</w:t>
      </w:r>
    </w:p>
    <w:p>
      <w:pPr>
        <w:pStyle w:val="ListParagraph"/>
        <w:numPr>
          <w:ilvl w:val="0"/>
          <w:numId w:val="1"/>
        </w:numPr>
        <w:spacing w:after="80" w:line="264"/>
      </w:pPr>
      <w:r>
        <w:t xml:space="preserve">Usar un panel interno de "salud del marketplace" por categoría/zona (ratio proveedores activos : solicitudes) para decidir cuándo abrir marketing agresivo de nuevas categorías o zonas.</w:t>
      </w:r>
    </w:p>
    <w:p>
      <w:pPr>
        <w:pStyle w:val="Heading2"/>
        <w:spacing w:after="120" w:before="260"/>
      </w:pPr>
      <w:r>
        <w:t xml:space="preserve">Expansión</w:t>
      </w:r>
    </w:p>
    <w:p>
      <w:pPr>
        <w:pStyle w:val="ListParagraph"/>
        <w:numPr>
          <w:ilvl w:val="0"/>
          <w:numId w:val="1"/>
        </w:numPr>
        <w:spacing w:after="100" w:line="264"/>
      </w:pPr>
      <w:r>
        <w:rPr>
          <w:b/>
          <w:bCs/>
        </w:rPr>
        <w:t xml:space="preserve">Estados Unidos: </w:t>
      </w:r>
      <w:r>
        <w:t xml:space="preserve">Expansión ciudad por ciudad replicando el manual de lanzamiento, priorizando mercados con alta densidad de rentas y baja concentración de un competidor dominante.</w:t>
      </w:r>
    </w:p>
    <w:p>
      <w:pPr>
        <w:pStyle w:val="ListParagraph"/>
        <w:numPr>
          <w:ilvl w:val="0"/>
          <w:numId w:val="1"/>
        </w:numPr>
        <w:spacing w:after="100" w:line="264"/>
      </w:pPr>
      <w:r>
        <w:rPr>
          <w:b/>
          <w:bCs/>
        </w:rPr>
        <w:t xml:space="preserve">México: </w:t>
      </w:r>
      <w:r>
        <w:t xml:space="preserve">Adaptar métodos de pago locales (SPEI, OXXO, Mercado Pago), verificación de identidad con CURP/INE, y considerar la informalidad del sector servicios como un factor de diseño (muchos proveedores sin factura fiscal formal; requiere estrategia específica de incorporación fiscal gradual).</w:t>
      </w:r>
    </w:p>
    <w:p>
      <w:pPr>
        <w:pStyle w:val="ListParagraph"/>
        <w:numPr>
          <w:ilvl w:val="0"/>
          <w:numId w:val="1"/>
        </w:numPr>
        <w:spacing w:after="100" w:line="264"/>
      </w:pPr>
      <w:r>
        <w:rPr>
          <w:b/>
          <w:bCs/>
        </w:rPr>
        <w:t xml:space="preserve">Latinoamérica: </w:t>
      </w:r>
      <w:r>
        <w:t xml:space="preserve">Priorizar mercados con penetración de smartphone y pagos digitales alta (Colombia, Chile, ciertas zonas de Brasil) antes que mercados con menor bancarización, y evaluar alianzas locales de pago país por país.</w:t>
      </w:r>
    </w:p>
    <w:p>
      <w:pPr>
        <w:pStyle w:val="Heading2"/>
        <w:spacing w:after="120" w:before="260"/>
      </w:pPr>
      <w:r>
        <w:t xml:space="preserve">Programa de referidos y alianzas</w:t>
      </w:r>
    </w:p>
    <w:p>
      <w:pPr>
        <w:pStyle w:val="ListParagraph"/>
        <w:numPr>
          <w:ilvl w:val="0"/>
          <w:numId w:val="1"/>
        </w:numPr>
        <w:spacing w:after="80" w:line="264"/>
      </w:pPr>
      <w:r>
        <w:t xml:space="preserve">Referidos bilaterales: crédito para el cliente que refiere y para el proveedor que refiere a otro proveedor de calidad verificable.</w:t>
      </w:r>
    </w:p>
    <w:p>
      <w:pPr>
        <w:pStyle w:val="ListParagraph"/>
        <w:numPr>
          <w:ilvl w:val="0"/>
          <w:numId w:val="1"/>
        </w:numPr>
        <w:spacing w:after="80" w:line="264"/>
      </w:pPr>
      <w:r>
        <w:t xml:space="preserve">Alianzas con aseguradoras (seguros de hogar/responsabilidad civil), proveedores de materiales (ferreterías, distribuidoras), administradoras de propiedades y negocios locales complementarios (mudanzas ↔ limpieza ↔ mantenimiento).</w:t>
      </w:r>
    </w:p>
    <w:p>
      <w:pPr>
        <w:pStyle w:val="Heading1"/>
        <w:pageBreakBefore/>
        <w:spacing w:after="160" w:before="360"/>
      </w:pPr>
      <w:r>
        <w:t xml:space="preserve">18. Riesgos legales y operativos</w:t>
      </w:r>
    </w:p>
    <w:p>
      <w:pPr>
        <w:spacing w:after="160" w:line="276"/>
      </w:pPr>
      <w:r>
        <w:t xml:space="preserve">Esta sección identifica temas de riesgo sin ofrecer conclusiones legales definitivas. Todos los puntos deben revisarse con abogados especializados en derecho laboral, regulatorio y de protección de datos en cada jurisdicción de operación.</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2300"/>
        <w:gridCol w:w="5000"/>
      </w:tblGrid>
      <w:tr>
        <w:trPr>
          <w:tblHeader/>
        </w:trPr>
        <w:tc>
          <w:tcPr>
            <w:tcW w:type="dxa" w:w="2300"/>
            <w:shd w:fill="1F3864" w:val="clear"/>
            <w:tcMar>
              <w:top w:type="dxa" w:w="80"/>
              <w:left w:type="dxa" w:w="100"/>
              <w:bottom w:type="dxa" w:w="80"/>
              <w:right w:type="dxa" w:w="100"/>
            </w:tcMar>
          </w:tcPr>
          <w:p>
            <w:pPr>
              <w:jc w:val="left"/>
            </w:pPr>
            <w:r>
              <w:rPr>
                <w:b/>
                <w:bCs/>
                <w:color w:val="FFFFFF"/>
                <w:sz w:val="20"/>
                <w:szCs w:val="20"/>
              </w:rPr>
              <w:t xml:space="preserve">Área de riesgo</w:t>
            </w:r>
          </w:p>
        </w:tc>
        <w:tc>
          <w:tcPr>
            <w:tcW w:type="dxa" w:w="5000"/>
            <w:shd w:fill="1F3864" w:val="clear"/>
            <w:tcMar>
              <w:top w:type="dxa" w:w="80"/>
              <w:left w:type="dxa" w:w="100"/>
              <w:bottom w:type="dxa" w:w="80"/>
              <w:right w:type="dxa" w:w="100"/>
            </w:tcMar>
          </w:tcPr>
          <w:p>
            <w:pPr>
              <w:jc w:val="left"/>
            </w:pPr>
            <w:r>
              <w:rPr>
                <w:b/>
                <w:bCs/>
                <w:color w:val="FFFFFF"/>
                <w:sz w:val="20"/>
                <w:szCs w:val="20"/>
              </w:rPr>
              <w:t xml:space="preserve">Qué debe revisarse con abogados</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Clasificación de trabajadores</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Si los proveedores deben tratarse como contratistas independientes o empleados, según las reglas específicas de cada estado/país (criterios como control, exclusividad, herramientas propias, etc.).</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Licencias profesionales</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Qué categorías (electricidad, plomería, servicios médicos/estéticos) requieren licencia estatal/local obligatoria y cómo se verifica y renueva dentro de la plataforma.</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Seguros y responsabilidad civil</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Si la plataforma necesita seguro propio (responsabilidad de plataforma) además de exigir seguro al proveedor, y cómo se coordina en caso de siniestro.</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Daños a propiedad y accidentes</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Alcance real de cualquier "garantía" ofrecida al cliente; quién responde legalmente frente a daños graves o lesiones.</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Fraude y contracargos</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Marco legal de retención de fondos (escrow) y resolución de disputas de pago según el procesador y país.</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Protección de datos y privacidad</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Cumplimiento con normativa aplicable (CCPA/estado por estado en EE. UU., LFPDPPP en México, regulaciones locales en otros países de LatAm) para datos de identidad, ubicación y pagos.</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Geolocalización</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Consentimiento explícito y minimización de datos de ubicación en tiempo real (seguimiento del proveedor).</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Verificación de antecedentes</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Qué se puede verificar legalmente por jurisdicción y cómo comunicar con precisión el alcance real de esa verificación (evitar el tipo de demanda que enfrentó HomeAdvisor por sugerir verificación más amplia de la real).</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Impuestos</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Obligaciones de reporte fiscal de la plataforma sobre pagos a proveedores independientes, umbral y formularios por país.</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Términos y condiciones / políticas de cancelación</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Claridad y equidad de las políticas para evitar prácticas consideradas desleales o engañosas frente a reguladores de protección al consumidor.</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Resolución de disputas</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Si se exige arbitraje obligatorio, cláusulas de renuncia a demanda colectiva, y su validez por jurisdicción.</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Servicios prohibidos o regulados</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Lista explícita de categorías que la plataforma no debe habilitar o que requieren controles adicionales (armas, servicios médicos invasivos, cuidado de menores sin verificación reforzada, etc.).</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Menores de edad</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Protocolo reforzado para categorías que involucran contacto con menores (cuidado infantil, clases particulares) más allá de la verificación estándar.</w:t>
            </w:r>
          </w:p>
        </w:tc>
      </w:tr>
      <w:tr>
        <w:tc>
          <w:tcPr>
            <w:tcW w:type="dxa" w:w="2300"/>
            <w:shd w:fill="FFFFFF" w:val="clear"/>
            <w:tcMar>
              <w:top w:type="dxa" w:w="80"/>
              <w:left w:type="dxa" w:w="100"/>
              <w:bottom w:type="dxa" w:w="80"/>
              <w:right w:type="dxa" w:w="100"/>
            </w:tcMar>
          </w:tcPr>
          <w:p>
            <w:pPr>
              <w:jc w:val="left"/>
            </w:pPr>
            <w:r>
              <w:rPr>
                <w:b w:val="false"/>
                <w:bCs w:val="false"/>
                <w:sz w:val="20"/>
                <w:szCs w:val="20"/>
              </w:rPr>
              <w:t xml:space="preserve">Trabajos de alto riesgo</w:t>
            </w:r>
          </w:p>
        </w:tc>
        <w:tc>
          <w:tcPr>
            <w:tcW w:type="dxa" w:w="5000"/>
            <w:shd w:fill="FFFFFF" w:val="clear"/>
            <w:tcMar>
              <w:top w:type="dxa" w:w="80"/>
              <w:left w:type="dxa" w:w="100"/>
              <w:bottom w:type="dxa" w:w="80"/>
              <w:right w:type="dxa" w:w="100"/>
            </w:tcMar>
          </w:tcPr>
          <w:p>
            <w:pPr>
              <w:jc w:val="left"/>
            </w:pPr>
            <w:r>
              <w:rPr>
                <w:b w:val="false"/>
                <w:bCs w:val="false"/>
                <w:sz w:val="20"/>
                <w:szCs w:val="20"/>
              </w:rPr>
              <w:t xml:space="preserve">Requisitos adicionales de seguro/certificación para categorías con riesgo físico elevado (trabajo en alturas, electricidad de alta tensión, gas).</w:t>
            </w:r>
          </w:p>
        </w:tc>
      </w:tr>
      <w:tr>
        <w:tc>
          <w:tcPr>
            <w:tcW w:type="dxa" w:w="2300"/>
            <w:shd w:fill="F2F6FA" w:val="clear"/>
            <w:tcMar>
              <w:top w:type="dxa" w:w="80"/>
              <w:left w:type="dxa" w:w="100"/>
              <w:bottom w:type="dxa" w:w="80"/>
              <w:right w:type="dxa" w:w="100"/>
            </w:tcMar>
          </w:tcPr>
          <w:p>
            <w:pPr>
              <w:jc w:val="left"/>
            </w:pPr>
            <w:r>
              <w:rPr>
                <w:b w:val="false"/>
                <w:bCs w:val="false"/>
                <w:sz w:val="20"/>
                <w:szCs w:val="20"/>
              </w:rPr>
              <w:t xml:space="preserve">Operaciones internacionales</w:t>
            </w:r>
          </w:p>
        </w:tc>
        <w:tc>
          <w:tcPr>
            <w:tcW w:type="dxa" w:w="5000"/>
            <w:shd w:fill="F2F6FA" w:val="clear"/>
            <w:tcMar>
              <w:top w:type="dxa" w:w="80"/>
              <w:left w:type="dxa" w:w="100"/>
              <w:bottom w:type="dxa" w:w="80"/>
              <w:right w:type="dxa" w:w="100"/>
            </w:tcMar>
          </w:tcPr>
          <w:p>
            <w:pPr>
              <w:jc w:val="left"/>
            </w:pPr>
            <w:r>
              <w:rPr>
                <w:b w:val="false"/>
                <w:bCs w:val="false"/>
                <w:sz w:val="20"/>
                <w:szCs w:val="20"/>
              </w:rPr>
              <w:t xml:space="preserve">Estructura corporativa y cumplimiento fiscal/regulatorio al operar simultáneamente en EE. UU., México y otros países de LatAm.</w:t>
            </w:r>
          </w:p>
        </w:tc>
      </w:tr>
    </w:tbl>
    <w:p>
      <w:pPr>
        <w:pStyle w:val="Heading1"/>
        <w:pageBreakBefore/>
        <w:spacing w:after="160" w:before="360"/>
      </w:pPr>
      <w:r>
        <w:t xml:space="preserve">19. Propuesta de valor</w:t>
      </w:r>
    </w:p>
    <w:p>
      <w:pPr>
        <w:pStyle w:val="Heading2"/>
        <w:spacing w:after="120" w:before="260"/>
      </w:pPr>
      <w:r>
        <w:t xml:space="preserve">Para el proveedor</w:t>
      </w:r>
    </w:p>
    <w:p>
      <w:pPr>
        <w:spacing w:after="160" w:line="276"/>
      </w:pPr>
      <w:r>
        <w:t xml:space="preserve">"Solo pagas cuando ganas el trabajo, no por cada contacto. Herramientas reales para administrar tu negocio —calendario, facturación, reputación— y una comisión que baja mientras más creces con nosotros."</w:t>
      </w:r>
    </w:p>
    <w:p>
      <w:pPr>
        <w:pStyle w:val="Heading2"/>
        <w:spacing w:after="120" w:before="260"/>
      </w:pPr>
      <w:r>
        <w:t xml:space="preserve">Para el cliente</w:t>
      </w:r>
    </w:p>
    <w:p>
      <w:pPr>
        <w:spacing w:after="160" w:line="276"/>
      </w:pPr>
      <w:r>
        <w:t xml:space="preserve">"Compara proveedores verificados, cotiza y paga con protección total, y solo comparte tus datos de contacto reales cuando ya decidiste contratar. Sin llamadas de venta agresivas, sin cargos ocultos."</w:t>
      </w:r>
    </w:p>
    <w:p>
      <w:pPr>
        <w:pStyle w:val="Heading2"/>
        <w:spacing w:after="120" w:before="260"/>
      </w:pPr>
      <w:r>
        <w:t xml:space="preserve">Diferenciadores frente a la competencia analizada</w:t>
      </w:r>
    </w:p>
    <w:p>
      <w:pPr>
        <w:pStyle w:val="ListParagraph"/>
        <w:numPr>
          <w:ilvl w:val="0"/>
          <w:numId w:val="1"/>
        </w:numPr>
        <w:spacing w:after="80" w:line="264"/>
      </w:pPr>
      <w:r>
        <w:t xml:space="preserve">Comisión sobre transacción, no sobre contacto: reduce el riesgo financiero del proveedor frente a Thumbtack/Angi/Bark.</w:t>
      </w:r>
    </w:p>
    <w:p>
      <w:pPr>
        <w:pStyle w:val="ListParagraph"/>
        <w:numPr>
          <w:ilvl w:val="0"/>
          <w:numId w:val="1"/>
        </w:numPr>
        <w:spacing w:after="80" w:line="264"/>
      </w:pPr>
      <w:r>
        <w:t xml:space="preserve">Protección de pago en custodia para ambas partes, superior a la mayoría de plataformas de leads que no participan en el pago del trabajo.</w:t>
      </w:r>
    </w:p>
    <w:p>
      <w:pPr>
        <w:pStyle w:val="ListParagraph"/>
        <w:numPr>
          <w:ilvl w:val="0"/>
          <w:numId w:val="1"/>
        </w:numPr>
        <w:spacing w:after="80" w:line="264"/>
      </w:pPr>
      <w:r>
        <w:t xml:space="preserve">Panel de negocio real (CRM, facturación, calendario) integrado, no vendido por separado como en algunos casos de Houzz Pro.</w:t>
      </w:r>
    </w:p>
    <w:p>
      <w:pPr>
        <w:pStyle w:val="ListParagraph"/>
        <w:numPr>
          <w:ilvl w:val="0"/>
          <w:numId w:val="1"/>
        </w:numPr>
        <w:spacing w:after="80" w:line="264"/>
      </w:pPr>
      <w:r>
        <w:t xml:space="preserve">Transparencia de precios antes del primer contacto, evitando el modelo "paga para saber cuánto cuesta" implícito en los créditos de Bark.</w:t>
      </w:r>
    </w:p>
    <w:p>
      <w:pPr>
        <w:pStyle w:val="Heading1"/>
        <w:pageBreakBefore/>
        <w:spacing w:after="160" w:before="360"/>
      </w:pPr>
      <w:r>
        <w:t xml:space="preserve">20. Conclusión y recomendación final</w:t>
      </w:r>
    </w:p>
    <w:p>
      <w:pPr>
        <w:spacing w:after="160" w:line="276"/>
      </w:pPr>
      <w:r>
        <w:t xml:space="preserve">El análisis de Thumbtack, TaskRabbit, Angi/HomeAdvisor, Bark, Houzz, Porch, Fiverr, Upwork y Turno muestra un patrón consistente: las plataformas de pago-por-lead generan volumen rápido de ingresos para la plataforma pero rotación alta y resentimiento entre proveedores, mientras que las plataformas de comisión sobre transacción son percibidas como más justas pero a menudo carecen de las herramientas operativas y de confianza que un proveedor necesita para tratarlas como su canal principal de negocio.</w:t>
      </w:r>
    </w:p>
    <w:p>
      <w:pPr>
        <w:spacing w:after="160" w:line="276"/>
      </w:pPr>
      <w:r>
        <w:t xml:space="preserve">La recomendación final es lanzar un marketplace de comisión dividida sobre transacción confirmada (no sobre lead), con verificación creíble, pago en custodia, herramientas reales de gestión de negocio y un sistema anti-fuga basado más en incentivos (comisión decreciente, garantías exclusivas) que en vigilancia agresiva del chat. El lanzamiento debe concentrarse en una sola ciudad y 3–5 categorías de alta frecuencia, priorizando la migración de proveedores insatisfechos con Angi/Thumbtack/Bark mediante una oferta de riesgo reducido (comisión cero o baja en el arranque, garantía de trabajos mínimos).</w:t>
      </w:r>
    </w:p>
    <w:p>
      <w:pPr>
        <w:spacing w:after="160" w:line="276"/>
      </w:pPr>
      <w:r>
        <w:t xml:space="preserve">Este modelo es, en principio, rentable (la sección 9 muestra ingresos de 15–18% combinados por transacción en trabajos medianos), escalable por categoría y geografía, y defendible frente a la competencia porque ataca directamente la causa raíz de abandono documentada en cada plataforma analizada: el desalineamiento entre lo que se cobra y el valor que efectivamente se entrega. Los puntos marcados [SUPUESTO] y [RECOMENDACIÓN] en este documento —particularmente los porcentajes exactos de comisión, la ciudad de lanzamiento y los plazos de las fases de producto— deben validarse con investigación de mercado primaria (entrevistas con proveedores y clientes reales) y modelado financiero antes de comprometerse a cifras finales.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75B6"/>
      <w:sz w:val="26"/>
      <w:szCs w:val="26"/>
    </w:rPr>
  </w:style>
  <w:style w:type="paragraph" w:styleId="Heading3">
    <w:name w:val="Heading 3"/>
    <w:basedOn w:val="Normal"/>
    <w:next w:val="Normal"/>
    <w:qFormat/>
    <w:pPr>
      <w:spacing w:after="100" w:before="200"/>
    </w:pPr>
    <w:rPr>
      <w:rFonts w:ascii="Calibri" w:cs="Calibri" w:eastAsia="Calibri" w:hAnsi="Calibri"/>
      <w:b/>
      <w:bCs/>
      <w:i/>
      <w:i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2026-07-12T01:10:56.188Z</dcterms:created>
  <dcterms:modified xsi:type="dcterms:W3CDTF">2026-07-12T01:10:56.198Z</dcterms:modified>
</cp:coreProperties>
</file>

<file path=docProps/custom.xml><?xml version="1.0" encoding="utf-8"?>
<Properties xmlns="http://schemas.openxmlformats.org/officeDocument/2006/custom-properties" xmlns:vt="http://schemas.openxmlformats.org/officeDocument/2006/docPropsVTypes"/>
</file>