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1F3A5F"/>
          <w:sz w:val="44"/>
          <w:szCs w:val="44"/>
        </w:rPr>
        <w:t xml:space="preserve">PLAN DE DESARROLLO DE SOFTWARE</w:t>
      </w:r>
    </w:p>
    <w:p>
      <w:pPr>
        <w:spacing w:before="200"/>
        <w:jc w:val="center"/>
      </w:pPr>
      <w:r>
        <w:rPr>
          <w:rFonts w:ascii="Calibri" w:cs="Calibri" w:eastAsia="Calibri" w:hAnsi="Calibri"/>
          <w:color w:val="B8860B"/>
          <w:sz w:val="28"/>
          <w:szCs w:val="28"/>
        </w:rPr>
        <w:t xml:space="preserve">Marketplace de servicios del hogar y profesionales</w:t>
      </w:r>
    </w:p>
    <w:p>
      <w:pPr>
        <w:spacing w:before="100"/>
        <w:jc w:val="center"/>
      </w:pPr>
      <w:r>
        <w:rPr>
          <w:rFonts w:ascii="Calibri" w:cs="Calibri" w:eastAsia="Calibri" w:hAnsi="Calibri"/>
          <w:i/>
          <w:iCs/>
          <w:color w:val="5A5A5A"/>
          <w:sz w:val="22"/>
          <w:szCs w:val="22"/>
        </w:rPr>
        <w:t xml:space="preserve">Arquitectura, backlog y cronograma de ejecución por sprints</w:t>
      </w:r>
    </w:p>
    <w:p>
      <w:pPr>
        <w:spacing w:before="1200"/>
        <w:jc w:val="center"/>
      </w:pPr>
      <w:r>
        <w:rPr>
          <w:rFonts w:ascii="Calibri" w:cs="Calibri" w:eastAsia="Calibri" w:hAnsi="Calibri"/>
          <w:color w:val="5A5A5A"/>
          <w:sz w:val="20"/>
          <w:szCs w:val="20"/>
        </w:rPr>
        <w:t xml:space="preserve">Versión 2.0 — Documento técnico completo con cronograma detallado</w:t>
      </w:r>
    </w:p>
    <w:p>
      <w:pPr>
        <w:spacing w:before="100"/>
        <w:jc w:val="center"/>
      </w:pPr>
      <w:r>
        <w:rPr>
          <w:rFonts w:ascii="Calibri" w:cs="Calibri" w:eastAsia="Calibri" w:hAnsi="Calibri"/>
          <w:color w:val="5A5A5A"/>
          <w:sz w:val="20"/>
          <w:szCs w:val="20"/>
        </w:rPr>
        <w:t xml:space="preserve">Julio de 2026</w:t>
      </w:r>
    </w:p>
    <w:p>
      <w:r>
        <w:br w:type="page"/>
      </w:r>
    </w:p>
    <w:p>
      <w:pPr>
        <w:pStyle w:val="Heading1"/>
        <w:spacing w:after="200" w:before="400"/>
      </w:pPr>
      <w:r>
        <w:t xml:space="preserve">Contenido</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0. Cómo leer este plan</w:t>
      </w:r>
    </w:p>
    <w:p>
      <w:pPr>
        <w:spacing w:after="140"/>
      </w:pPr>
      <w:r>
        <w:rPr>
          <w:rFonts w:ascii="Calibri" w:cs="Calibri" w:eastAsia="Calibri" w:hAnsi="Calibri"/>
          <w:sz w:val="21"/>
          <w:szCs w:val="21"/>
        </w:rPr>
        <w:t xml:space="preserve">Este documento traduce las recomendaciones del informe de mercado (comisión sobre transacción confirmada, verificación creíble, escrow, panel de negocio para el proveedor, sistema anti-fuga basado en incentivos) en un plan de ingeniería concreto: arquitectura, modelo de datos, backlog por épicas, fases de entrega, cronograma detallado por sprint, prácticas de desarrollo y criterios de éxito.</w:t>
      </w:r>
    </w:p>
    <w:p>
      <w:pPr>
        <w:spacing w:after="140"/>
      </w:pPr>
      <w:r>
        <w:rPr>
          <w:rFonts w:ascii="Calibri" w:cs="Calibri" w:eastAsia="Calibri" w:hAnsi="Calibri"/>
          <w:sz w:val="21"/>
          <w:szCs w:val="21"/>
        </w:rPr>
        <w:t xml:space="preserve">Convenciones de prioridad usadas en el backlog:</w:t>
      </w:r>
    </w:p>
    <w:p>
      <w:pPr>
        <w:pStyle w:val="ListParagraph"/>
        <w:numPr>
          <w:ilvl w:val="0"/>
          <w:numId w:val="2"/>
        </w:numPr>
        <w:spacing w:after="60"/>
      </w:pPr>
      <w:r>
        <w:rPr>
          <w:rFonts w:ascii="Calibri" w:cs="Calibri" w:eastAsia="Calibri" w:hAnsi="Calibri"/>
          <w:sz w:val="21"/>
          <w:szCs w:val="21"/>
        </w:rPr>
        <w:t xml:space="preserve">P0 — bloqueante para el MVP, sin esto no hay negocio viable.</w:t>
      </w:r>
    </w:p>
    <w:p>
      <w:pPr>
        <w:pStyle w:val="ListParagraph"/>
        <w:numPr>
          <w:ilvl w:val="0"/>
          <w:numId w:val="2"/>
        </w:numPr>
        <w:spacing w:after="60"/>
      </w:pPr>
      <w:r>
        <w:rPr>
          <w:rFonts w:ascii="Calibri" w:cs="Calibri" w:eastAsia="Calibri" w:hAnsi="Calibri"/>
          <w:sz w:val="21"/>
          <w:szCs w:val="21"/>
        </w:rPr>
        <w:t xml:space="preserve">P1 — necesario para operar de forma sana a partir del primer mes, pero no bloquea el lanzamiento.</w:t>
      </w:r>
    </w:p>
    <w:p>
      <w:pPr>
        <w:pStyle w:val="ListParagraph"/>
        <w:numPr>
          <w:ilvl w:val="0"/>
          <w:numId w:val="2"/>
        </w:numPr>
        <w:spacing w:after="60"/>
      </w:pPr>
      <w:r>
        <w:rPr>
          <w:rFonts w:ascii="Calibri" w:cs="Calibri" w:eastAsia="Calibri" w:hAnsi="Calibri"/>
          <w:sz w:val="21"/>
          <w:szCs w:val="21"/>
        </w:rPr>
        <w:t xml:space="preserve">P2 — mejora competitiva, entra en Fase 2 o 3.</w:t>
      </w:r>
    </w:p>
    <w:p>
      <w:pPr>
        <w:spacing w:after="140"/>
      </w:pPr>
      <w:r>
        <w:rPr>
          <w:rFonts w:ascii="Calibri" w:cs="Calibri" w:eastAsia="Calibri" w:hAnsi="Calibri"/>
          <w:sz w:val="21"/>
          <w:szCs w:val="21"/>
        </w:rPr>
        <w:t xml:space="preserve">La sección 9 (Cronograma detallado por sprint) es la más operativa: cada sprint se descompone en Etapas → Subetapas → Subtareas, con criterio de "hecho" (Definition of Done) explícito.</w:t>
      </w:r>
    </w:p>
    <w:p>
      <w:pPr>
        <w:pStyle w:val="Heading1"/>
        <w:spacing w:after="200" w:before="400"/>
      </w:pPr>
      <w:r>
        <w:t xml:space="preserve">1. Principios de arquitectura (no negociables)</w:t>
      </w:r>
    </w:p>
    <w:p>
      <w:pPr>
        <w:spacing w:after="140"/>
      </w:pPr>
      <w:r>
        <w:rPr>
          <w:rFonts w:ascii="Calibri" w:cs="Calibri" w:eastAsia="Calibri" w:hAnsi="Calibri"/>
          <w:sz w:val="21"/>
          <w:szCs w:val="21"/>
        </w:rPr>
        <w:t xml:space="preserve">Estos principios se derivan directamente de la sección 14 del informe de mercado y determinan cómo se organiza el código desde el día uno, para evitar reescrituras costosas más adelante.</w:t>
      </w:r>
    </w:p>
    <w:p>
      <w:pPr>
        <w:pStyle w:val="Heading3"/>
        <w:spacing w:after="100" w:before="220"/>
      </w:pPr>
      <w:r>
        <w:t xml:space="preserve">1. Separación de dominios</w:t>
      </w:r>
    </w:p>
    <w:p>
      <w:pPr>
        <w:spacing w:after="140"/>
      </w:pPr>
      <w:r>
        <w:rPr>
          <w:rFonts w:ascii="Calibri" w:cs="Calibri" w:eastAsia="Calibri" w:hAnsi="Calibri"/>
          <w:sz w:val="21"/>
          <w:szCs w:val="21"/>
        </w:rPr>
        <w:t xml:space="preserve">Matching, pagos, mensajería y reputación son módulos independientes con contratos de datos claros entre sí, aunque en el MVP convivan en un mismo backend. Ninguno debe depender del detalle interno de otro.</w:t>
      </w:r>
    </w:p>
    <w:p>
      <w:pPr>
        <w:pStyle w:val="Heading3"/>
        <w:spacing w:after="100" w:before="220"/>
      </w:pPr>
      <w:r>
        <w:t xml:space="preserve">2. El "servicio" es un dato configurable, no código</w:t>
      </w:r>
    </w:p>
    <w:p>
      <w:pPr>
        <w:spacing w:after="140"/>
      </w:pPr>
      <w:r>
        <w:rPr>
          <w:rFonts w:ascii="Calibri" w:cs="Calibri" w:eastAsia="Calibri" w:hAnsi="Calibri"/>
          <w:sz w:val="21"/>
          <w:szCs w:val="21"/>
        </w:rPr>
        <w:t xml:space="preserve">Categorías, subcategorías, atributos y si un servicio admite precio fijo o cotización se modelan como datos en Mongo, no como lógica hardcodeada. Esto permite pasar de 5 a 20+ categorías sin tocar el core.</w:t>
      </w:r>
    </w:p>
    <w:p>
      <w:pPr>
        <w:pStyle w:val="Heading3"/>
        <w:spacing w:after="100" w:before="220"/>
      </w:pPr>
      <w:r>
        <w:t xml:space="preserve">3. Anti-fuga como sistema de scoring, no como reglas binarias</w:t>
      </w:r>
    </w:p>
    <w:p>
      <w:pPr>
        <w:spacing w:after="140"/>
      </w:pPr>
      <w:r>
        <w:rPr>
          <w:rFonts w:ascii="Calibri" w:cs="Calibri" w:eastAsia="Calibri" w:hAnsi="Calibri"/>
          <w:sz w:val="21"/>
          <w:szCs w:val="21"/>
        </w:rPr>
        <w:t xml:space="preserve">La detección de contacto directo en el chat vive en un servicio de "trust score" ajustable por configuración, no en condicionales desperdigados por el código.</w:t>
      </w:r>
    </w:p>
    <w:p>
      <w:pPr>
        <w:pStyle w:val="Heading3"/>
        <w:spacing w:after="100" w:before="220"/>
      </w:pPr>
      <w:r>
        <w:t xml:space="preserve">4. El dinero nunca se calcula dos veces</w:t>
      </w:r>
    </w:p>
    <w:p>
      <w:pPr>
        <w:spacing w:after="140"/>
      </w:pPr>
      <w:r>
        <w:rPr>
          <w:rFonts w:ascii="Calibri" w:cs="Calibri" w:eastAsia="Calibri" w:hAnsi="Calibri"/>
          <w:sz w:val="21"/>
          <w:szCs w:val="21"/>
        </w:rPr>
        <w:t xml:space="preserve">Un único módulo de facturación (billing_engine) es la fuente de verdad para comisión del proveedor, tarifa del cliente, escrow y liberación de pagos — el mismo patrón que ya usas en VFL con calculate_final_amount_with_membership().</w:t>
      </w:r>
    </w:p>
    <w:p>
      <w:pPr>
        <w:pStyle w:val="Heading3"/>
        <w:spacing w:after="100" w:before="220"/>
      </w:pPr>
      <w:r>
        <w:t xml:space="preserve">5. Todo estado de dinero es auditable</w:t>
      </w:r>
    </w:p>
    <w:p>
      <w:pPr>
        <w:spacing w:after="140"/>
      </w:pPr>
      <w:r>
        <w:rPr>
          <w:rFonts w:ascii="Calibri" w:cs="Calibri" w:eastAsia="Calibri" w:hAnsi="Calibri"/>
          <w:sz w:val="21"/>
          <w:szCs w:val="21"/>
        </w:rPr>
        <w:t xml:space="preserve">Cada cambio de estado de un pago (retenido, liberado, reembolsado, en disputa) se escribe como evento inmutable, no solo como un campo que se sobreescribe. Es exigencia legal y también facilita el soporte al cliente.</w:t>
      </w:r>
    </w:p>
    <w:p>
      <w:pPr>
        <w:pStyle w:val="Heading1"/>
        <w:spacing w:after="200" w:before="400"/>
      </w:pPr>
      <w:r>
        <w:t xml:space="preserve">2. Stack tecnológico recomendado</w:t>
      </w:r>
    </w:p>
    <w:p>
      <w:pPr>
        <w:spacing w:after="140"/>
      </w:pPr>
      <w:r>
        <w:rPr>
          <w:rFonts w:ascii="Calibri" w:cs="Calibri" w:eastAsia="Calibri" w:hAnsi="Calibri"/>
          <w:sz w:val="21"/>
          <w:szCs w:val="21"/>
        </w:rPr>
        <w:t xml:space="preserve">Se recomienda reutilizar el stack en el que ya existe velocidad comprobada (VFL/PROSIC), en vez de introducir tecnología nueva sin necesidad real.</w:t>
      </w:r>
    </w:p>
    <w:tbl>
      <w:tblPr>
        <w:tblW w:type="dxa" w:w="985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250"/>
      </w:tblGrid>
      <w:tr>
        <w:trPr>
          <w:tblHeader/>
        </w:trPr>
        <w:tc>
          <w:tcPr>
            <w:tcW w:type="dxa" w:w="20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Capa</w:t>
            </w:r>
          </w:p>
        </w:tc>
        <w:tc>
          <w:tcPr>
            <w:tcW w:type="dxa" w:w="26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Tecnología</w:t>
            </w:r>
          </w:p>
        </w:tc>
        <w:tc>
          <w:tcPr>
            <w:tcW w:type="dxa" w:w="525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Justificación</w:t>
            </w:r>
          </w:p>
        </w:tc>
      </w:tr>
      <w:t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Backend API</w:t>
            </w:r>
          </w:p>
        </w:tc>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Python + FastAPI</w:t>
            </w:r>
          </w:p>
        </w:tc>
        <w:tc>
          <w:tcPr>
            <w:tcW w:type="dxa" w:w="52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Patrón ya dominado; Pydantic ayuda en un dominio con reglas de dinero complejas.</w:t>
            </w:r>
          </w:p>
        </w:tc>
      </w:tr>
      <w:tr>
        <w:tc>
          <w:tcPr>
            <w:tcW w:type="dxa" w:w="2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Base de datos</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MongoDB (Motor async)</w:t>
            </w:r>
          </w:p>
        </w:tc>
        <w:tc>
          <w:tcPr>
            <w:tcW w:type="dxa" w:w="525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Modelo flexible para "servicio configurable"; reutiliza patrones de backup/restore de VFL.</w:t>
            </w:r>
          </w:p>
        </w:tc>
      </w:tr>
      <w:t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Frontend cliente/proveedor</w:t>
            </w:r>
          </w:p>
        </w:tc>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React + Vite</w:t>
            </w:r>
          </w:p>
        </w:tc>
        <w:tc>
          <w:tcPr>
            <w:tcW w:type="dxa" w:w="52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Dos experiencias separadas dentro de la misma base tecnológica.</w:t>
            </w:r>
          </w:p>
        </w:tc>
      </w:tr>
      <w:tr>
        <w:tc>
          <w:tcPr>
            <w:tcW w:type="dxa" w:w="2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Estilos</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Tailwind CSS</w:t>
            </w:r>
          </w:p>
        </w:tc>
        <w:tc>
          <w:tcPr>
            <w:tcW w:type="dxa" w:w="525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Consistente con el trabajo previo en VFL.</w:t>
            </w:r>
          </w:p>
        </w:tc>
      </w:tr>
      <w:t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Pagos y escrow</w:t>
            </w:r>
          </w:p>
        </w:tc>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Stripe Connect + Mercado Pago</w:t>
            </w:r>
          </w:p>
        </w:tc>
        <w:tc>
          <w:tcPr>
            <w:tcW w:type="dxa" w:w="52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Estándar de la industria para marketplaces de dos lados; Mercado Pago para México/LatAm.</w:t>
            </w:r>
          </w:p>
        </w:tc>
      </w:tr>
      <w:tr>
        <w:tc>
          <w:tcPr>
            <w:tcW w:type="dxa" w:w="2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Verificación de identidad</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Stripe Identity / Truora</w:t>
            </w:r>
          </w:p>
        </w:tc>
        <w:tc>
          <w:tcPr>
            <w:tcW w:type="dxa" w:w="525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Patrón adapter ya usado en PROSIC, reutilizable para KYC de proveedores.</w:t>
            </w:r>
          </w:p>
        </w:tc>
      </w:tr>
      <w:t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Mensajería / chat</w:t>
            </w:r>
          </w:p>
        </w:tc>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WebSockets (FastAPI) + Mongo</w:t>
            </w:r>
          </w:p>
        </w:tc>
        <w:tc>
          <w:tcPr>
            <w:tcW w:type="dxa" w:w="52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Simple y ya conocido; sin proveedor externo en el MVP.</w:t>
            </w:r>
          </w:p>
        </w:tc>
      </w:tr>
      <w:tr>
        <w:tc>
          <w:tcPr>
            <w:tcW w:type="dxa" w:w="2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Números enmascarados</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Twilio Proxy</w:t>
            </w:r>
          </w:p>
        </w:tc>
        <w:tc>
          <w:tcPr>
            <w:tcW w:type="dxa" w:w="525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Estándar de la industria para "proxy number".</w:t>
            </w:r>
          </w:p>
        </w:tc>
      </w:tr>
      <w:t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Notificaciones</w:t>
            </w:r>
          </w:p>
        </w:tc>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FCM + Twilio + SES/Resend</w:t>
            </w:r>
          </w:p>
        </w:tc>
        <w:tc>
          <w:tcPr>
            <w:tcW w:type="dxa" w:w="52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Reutilizable entre cliente y proveedor.</w:t>
            </w:r>
          </w:p>
        </w:tc>
      </w:tr>
      <w:tr>
        <w:tc>
          <w:tcPr>
            <w:tcW w:type="dxa" w:w="2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Mapas / cobertura</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Google Maps API</w:t>
            </w:r>
          </w:p>
        </w:tc>
        <w:tc>
          <w:tcPr>
            <w:tcW w:type="dxa" w:w="525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Ya integrado en VFL (MapView.jsx, Geocoder).</w:t>
            </w:r>
          </w:p>
        </w:tc>
      </w:tr>
      <w:tr>
        <w:tc>
          <w:tcPr>
            <w:tcW w:type="dxa" w:w="20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Infraestructura</w:t>
            </w:r>
          </w:p>
        </w:tc>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Docker + Render/Fly.io/AWS</w:t>
            </w:r>
          </w:p>
        </w:tc>
        <w:tc>
          <w:tcPr>
            <w:tcW w:type="dxa" w:w="52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Simple al inicio; sin sobre-diseño antes de tener tracción.</w:t>
            </w:r>
          </w:p>
        </w:tc>
      </w:tr>
      <w:tr>
        <w:tc>
          <w:tcPr>
            <w:tcW w:type="dxa" w:w="20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Observabilidad</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Sentry + logs estructurados</w:t>
            </w:r>
          </w:p>
        </w:tc>
        <w:tc>
          <w:tcPr>
            <w:tcW w:type="dxa" w:w="525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Barato desde el día uno, caro de meter después.</w:t>
            </w:r>
          </w:p>
        </w:tc>
      </w:tr>
    </w:tbl>
    <w:p>
      <w:pPr>
        <w:pBdr>
          <w:left w:val="single" w:color="B8860B" w:sz="12" w:space="8"/>
        </w:pBdr>
        <w:shd w:fill="FFF6E0" w:val="clear"/>
        <w:spacing w:after="160" w:before="100"/>
        <w:ind w:left="100"/>
      </w:pPr>
      <w:r>
        <w:rPr>
          <w:rFonts w:ascii="Calibri" w:cs="Calibri" w:eastAsia="Calibri" w:hAnsi="Calibri"/>
          <w:i/>
          <w:iCs/>
          <w:color w:val="6B4E00"/>
          <w:sz w:val="20"/>
          <w:szCs w:val="20"/>
        </w:rPr>
        <w:t xml:space="preserve">Decisión pendiente: el mercado de lanzamiento (EE. UU. vs. México) determina si Stripe Connect o Mercado Pago es el riel primario. Esta decisión bloquea el diseño técnico de pagos y debe fijarse antes del Sprint 4.</w:t>
      </w:r>
    </w:p>
    <w:p>
      <w:pPr>
        <w:pStyle w:val="Heading1"/>
        <w:spacing w:after="200" w:before="400"/>
      </w:pPr>
      <w:r>
        <w:t xml:space="preserve">3. Arquitectura del sistema</w:t>
      </w:r>
    </w:p>
    <w:p>
      <w:pPr>
        <w:spacing w:after="140"/>
      </w:pPr>
      <w:r>
        <w:rPr>
          <w:rFonts w:ascii="Calibri" w:cs="Calibri" w:eastAsia="Calibri" w:hAnsi="Calibri"/>
          <w:sz w:val="21"/>
          <w:szCs w:val="21"/>
        </w:rPr>
        <w:t xml:space="preserve">La aplicación se organiza en dos frontales (App Cliente y App Proveedor, ambos en React/Vite) que consumen una API Gateway construida en FastAPI. Esa API se divide internamente en cinco módulos lógicos, cada uno con su propio conjunto de rutas y colecciones de MongoDB:</w:t>
      </w:r>
    </w:p>
    <w:tbl>
      <w:tblPr>
        <w:tblW w:type="dxa" w:w="985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250"/>
      </w:tblGrid>
      <w:tr>
        <w:trPr>
          <w:tblHeader/>
        </w:trPr>
        <w:tc>
          <w:tcPr>
            <w:tcW w:type="dxa" w:w="24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Módulo</w:t>
            </w:r>
          </w:p>
        </w:tc>
        <w:tc>
          <w:tcPr>
            <w:tcW w:type="dxa" w:w="42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Responsabilidad</w:t>
            </w:r>
          </w:p>
        </w:tc>
        <w:tc>
          <w:tcPr>
            <w:tcW w:type="dxa" w:w="325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Colecciones principales</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Identity / KYC</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Registro, verificación de identidad, licencias y seguros</w:t>
            </w:r>
          </w:p>
        </w:tc>
        <w:tc>
          <w:tcPr>
            <w:tcW w:type="dxa" w:w="32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users, provider_profiles</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Matching Engine</w:t>
            </w:r>
          </w:p>
        </w:tc>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Emparejar solicitudes con proveedores relevantes</w:t>
            </w:r>
          </w:p>
        </w:tc>
        <w:tc>
          <w:tcPr>
            <w:tcW w:type="dxa" w:w="325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service_requests, matches</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Billing Engine</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Comisiones, escrow, liberación de pagos</w:t>
            </w:r>
          </w:p>
        </w:tc>
        <w:tc>
          <w:tcPr>
            <w:tcW w:type="dxa" w:w="32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bookings, transactions</w:t>
            </w:r>
          </w:p>
        </w:tc>
      </w:tr>
      <w:tr>
        <w:tc>
          <w:tcPr>
            <w:tcW w:type="dxa" w:w="2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Mensajería</w:t>
            </w:r>
          </w:p>
        </w:tc>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Chat interno, números enmascarados, detección de fuga</w:t>
            </w:r>
          </w:p>
        </w:tc>
        <w:tc>
          <w:tcPr>
            <w:tcW w:type="dxa" w:w="325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messages</w:t>
            </w:r>
          </w:p>
        </w:tc>
      </w:tr>
      <w:tr>
        <w:tc>
          <w:tcPr>
            <w:tcW w:type="dxa" w:w="2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Reputación</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Reseñas, niveles, cálculo de rating</w:t>
            </w:r>
          </w:p>
        </w:tc>
        <w:tc>
          <w:tcPr>
            <w:tcW w:type="dxa" w:w="325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reviews, provider_profiles</w:t>
            </w:r>
          </w:p>
        </w:tc>
      </w:tr>
    </w:tbl>
    <w:p>
      <w:pPr>
        <w:spacing w:after="140"/>
      </w:pPr>
      <w:r>
        <w:rPr>
          <w:rFonts w:ascii="Calibri" w:cs="Calibri" w:eastAsia="Calibri" w:hAnsi="Calibri"/>
          <w:sz w:val="21"/>
          <w:szCs w:val="21"/>
        </w:rPr>
        <w:t xml:space="preserve">Cada módulo se conecta a MongoDB y, según el caso, a un servicio externo (Stripe/Mercado Pago para Billing, Twilio para Mensajería, Google Maps para Matching). La separación es lógica —carpetas y routers independientes—, no de despliegue: microservicios reales se justifican solo cuando el volumen de transacciones lo requiera, no en el MVP.</w:t>
      </w:r>
    </w:p>
    <w:p>
      <w:pPr>
        <w:pStyle w:val="Heading1"/>
        <w:spacing w:after="200" w:before="400"/>
      </w:pPr>
      <w:r>
        <w:t xml:space="preserve">4. Modelo de datos (colecciones MongoDB, MVP)</w:t>
      </w:r>
    </w:p>
    <w:p>
      <w:pPr>
        <w:shd w:fill="F5F5F5" w:val="clear"/>
        <w:spacing w:after="0"/>
      </w:pPr>
      <w:r>
        <w:rPr>
          <w:rFonts w:ascii="Consolas" w:cs="Consolas" w:eastAsia="Consolas" w:hAnsi="Consolas"/>
          <w:color w:val="222222"/>
          <w:sz w:val="18"/>
          <w:szCs w:val="18"/>
        </w:rPr>
        <w:t xml:space="preserve">users</w:t>
      </w:r>
    </w:p>
    <w:p>
      <w:pPr>
        <w:shd w:fill="F5F5F5" w:val="clear"/>
        <w:spacing w:after="0"/>
      </w:pPr>
      <w:r>
        <w:rPr>
          <w:rFonts w:ascii="Consolas" w:cs="Consolas" w:eastAsia="Consolas" w:hAnsi="Consolas"/>
          <w:color w:val="222222"/>
          <w:sz w:val="18"/>
          <w:szCs w:val="18"/>
        </w:rPr>
        <w:t xml:space="preserve">  _id, role (client|provider|both), email, phone, phone_verified,</w:t>
      </w:r>
    </w:p>
    <w:p>
      <w:pPr>
        <w:shd w:fill="F5F5F5" w:val="clear"/>
        <w:spacing w:after="0"/>
      </w:pPr>
      <w:r>
        <w:rPr>
          <w:rFonts w:ascii="Consolas" w:cs="Consolas" w:eastAsia="Consolas" w:hAnsi="Consolas"/>
          <w:color w:val="222222"/>
          <w:sz w:val="18"/>
          <w:szCs w:val="18"/>
        </w:rPr>
        <w:t xml:space="preserve">  auth_provider, created_at, locale, kyc_status</w:t>
      </w:r>
    </w:p>
    <w:p>
      <w:pPr>
        <w:shd w:fill="F5F5F5" w:val="clear"/>
        <w:spacing w:after="0"/>
      </w:pPr>
      <w:r>
        <w:rPr>
          <w:rFonts w:ascii="Consolas" w:cs="Consolas" w:eastAsia="Consolas" w:hAnsi="Consolas"/>
          <w:color w:val="222222"/>
          <w:sz w:val="18"/>
          <w:szCs w:val="18"/>
        </w:rPr>
        <w:t xml:space="preserve"> </w:t>
      </w:r>
    </w:p>
    <w:p>
      <w:pPr>
        <w:shd w:fill="F5F5F5" w:val="clear"/>
        <w:spacing w:after="0"/>
      </w:pPr>
      <w:r>
        <w:rPr>
          <w:rFonts w:ascii="Consolas" w:cs="Consolas" w:eastAsia="Consolas" w:hAnsi="Consolas"/>
          <w:color w:val="222222"/>
          <w:sz w:val="18"/>
          <w:szCs w:val="18"/>
        </w:rPr>
        <w:t xml:space="preserve">provider_profiles</w:t>
      </w:r>
    </w:p>
    <w:p>
      <w:pPr>
        <w:shd w:fill="F5F5F5" w:val="clear"/>
        <w:spacing w:after="0"/>
      </w:pPr>
      <w:r>
        <w:rPr>
          <w:rFonts w:ascii="Consolas" w:cs="Consolas" w:eastAsia="Consolas" w:hAnsi="Consolas"/>
          <w:color w:val="222222"/>
          <w:sz w:val="18"/>
          <w:szCs w:val="18"/>
        </w:rPr>
        <w:t xml:space="preserve">  _id, user_id, business_name, categories[], coverage_zones[],</w:t>
      </w:r>
    </w:p>
    <w:p>
      <w:pPr>
        <w:shd w:fill="F5F5F5" w:val="clear"/>
        <w:spacing w:after="0"/>
      </w:pPr>
      <w:r>
        <w:rPr>
          <w:rFonts w:ascii="Consolas" w:cs="Consolas" w:eastAsia="Consolas" w:hAnsi="Consolas"/>
          <w:color w:val="222222"/>
          <w:sz w:val="18"/>
          <w:szCs w:val="18"/>
        </w:rPr>
        <w:t xml:space="preserve">  tier (nuevo|plata|oro|platino), rating_avg, jobs_completed,</w:t>
      </w:r>
    </w:p>
    <w:p>
      <w:pPr>
        <w:shd w:fill="F5F5F5" w:val="clear"/>
        <w:spacing w:after="0"/>
      </w:pPr>
      <w:r>
        <w:rPr>
          <w:rFonts w:ascii="Consolas" w:cs="Consolas" w:eastAsia="Consolas" w:hAnsi="Consolas"/>
          <w:color w:val="222222"/>
          <w:sz w:val="18"/>
          <w:szCs w:val="18"/>
        </w:rPr>
        <w:t xml:space="preserve">  cancellation_rate, insurance_verified, license_verified,</w:t>
      </w:r>
    </w:p>
    <w:p>
      <w:pPr>
        <w:shd w:fill="F5F5F5" w:val="clear"/>
        <w:spacing w:after="0"/>
      </w:pPr>
      <w:r>
        <w:rPr>
          <w:rFonts w:ascii="Consolas" w:cs="Consolas" w:eastAsia="Consolas" w:hAnsi="Consolas"/>
          <w:color w:val="222222"/>
          <w:sz w:val="18"/>
          <w:szCs w:val="18"/>
        </w:rPr>
        <w:t xml:space="preserve">  portfolio_media[], stripe_connect_account_id</w:t>
      </w:r>
    </w:p>
    <w:p>
      <w:pPr>
        <w:shd w:fill="F5F5F5" w:val="clear"/>
        <w:spacing w:after="0"/>
      </w:pPr>
      <w:r>
        <w:rPr>
          <w:rFonts w:ascii="Consolas" w:cs="Consolas" w:eastAsia="Consolas" w:hAnsi="Consolas"/>
          <w:color w:val="222222"/>
          <w:sz w:val="18"/>
          <w:szCs w:val="18"/>
        </w:rPr>
        <w:t xml:space="preserve"> </w:t>
      </w:r>
    </w:p>
    <w:p>
      <w:pPr>
        <w:shd w:fill="F5F5F5" w:val="clear"/>
        <w:spacing w:after="0"/>
      </w:pPr>
      <w:r>
        <w:rPr>
          <w:rFonts w:ascii="Consolas" w:cs="Consolas" w:eastAsia="Consolas" w:hAnsi="Consolas"/>
          <w:color w:val="222222"/>
          <w:sz w:val="18"/>
          <w:szCs w:val="18"/>
        </w:rPr>
        <w:t xml:space="preserve">categories</w:t>
      </w:r>
    </w:p>
    <w:p>
      <w:pPr>
        <w:shd w:fill="F5F5F5" w:val="clear"/>
        <w:spacing w:after="0"/>
      </w:pPr>
      <w:r>
        <w:rPr>
          <w:rFonts w:ascii="Consolas" w:cs="Consolas" w:eastAsia="Consolas" w:hAnsi="Consolas"/>
          <w:color w:val="222222"/>
          <w:sz w:val="18"/>
          <w:szCs w:val="18"/>
        </w:rPr>
        <w:t xml:space="preserve">  _id, name, parent_id (nullable), attributes_schema (JSON configurable),</w:t>
      </w:r>
    </w:p>
    <w:p>
      <w:pPr>
        <w:shd w:fill="F5F5F5" w:val="clear"/>
        <w:spacing w:after="0"/>
      </w:pPr>
      <w:r>
        <w:rPr>
          <w:rFonts w:ascii="Consolas" w:cs="Consolas" w:eastAsia="Consolas" w:hAnsi="Consolas"/>
          <w:color w:val="222222"/>
          <w:sz w:val="18"/>
          <w:szCs w:val="18"/>
        </w:rPr>
        <w:t xml:space="preserve">  pricing_mode (fixed|quote|both), risk_level (standard|regulated)</w:t>
      </w:r>
    </w:p>
    <w:p>
      <w:pPr>
        <w:shd w:fill="F5F5F5" w:val="clear"/>
        <w:spacing w:after="0"/>
      </w:pPr>
      <w:r>
        <w:rPr>
          <w:rFonts w:ascii="Consolas" w:cs="Consolas" w:eastAsia="Consolas" w:hAnsi="Consolas"/>
          <w:color w:val="222222"/>
          <w:sz w:val="18"/>
          <w:szCs w:val="18"/>
        </w:rPr>
        <w:t xml:space="preserve"> </w:t>
      </w:r>
    </w:p>
    <w:p>
      <w:pPr>
        <w:shd w:fill="F5F5F5" w:val="clear"/>
        <w:spacing w:after="0"/>
      </w:pPr>
      <w:r>
        <w:rPr>
          <w:rFonts w:ascii="Consolas" w:cs="Consolas" w:eastAsia="Consolas" w:hAnsi="Consolas"/>
          <w:color w:val="222222"/>
          <w:sz w:val="18"/>
          <w:szCs w:val="18"/>
        </w:rPr>
        <w:t xml:space="preserve">service_requests</w:t>
      </w:r>
    </w:p>
    <w:p>
      <w:pPr>
        <w:shd w:fill="F5F5F5" w:val="clear"/>
        <w:spacing w:after="0"/>
      </w:pPr>
      <w:r>
        <w:rPr>
          <w:rFonts w:ascii="Consolas" w:cs="Consolas" w:eastAsia="Consolas" w:hAnsi="Consolas"/>
          <w:color w:val="222222"/>
          <w:sz w:val="18"/>
          <w:szCs w:val="18"/>
        </w:rPr>
        <w:t xml:space="preserve">  _id, client_id, category_id, description, photos[], location,</w:t>
      </w:r>
    </w:p>
    <w:p>
      <w:pPr>
        <w:shd w:fill="F5F5F5" w:val="clear"/>
        <w:spacing w:after="0"/>
      </w:pPr>
      <w:r>
        <w:rPr>
          <w:rFonts w:ascii="Consolas" w:cs="Consolas" w:eastAsia="Consolas" w:hAnsi="Consolas"/>
          <w:color w:val="222222"/>
          <w:sz w:val="18"/>
          <w:szCs w:val="18"/>
        </w:rPr>
        <w:t xml:space="preserve">  desired_date, budget_hint, status (open|matched|quoted|booked|</w:t>
      </w:r>
    </w:p>
    <w:p>
      <w:pPr>
        <w:shd w:fill="F5F5F5" w:val="clear"/>
        <w:spacing w:after="0"/>
      </w:pPr>
      <w:r>
        <w:rPr>
          <w:rFonts w:ascii="Consolas" w:cs="Consolas" w:eastAsia="Consolas" w:hAnsi="Consolas"/>
          <w:color w:val="222222"/>
          <w:sz w:val="18"/>
          <w:szCs w:val="18"/>
        </w:rPr>
        <w:t xml:space="preserve">  in_progress|completed|disputed|cancelled), created_at</w:t>
      </w:r>
    </w:p>
    <w:p>
      <w:pPr>
        <w:shd w:fill="F5F5F5" w:val="clear"/>
        <w:spacing w:after="0"/>
      </w:pPr>
      <w:r>
        <w:rPr>
          <w:rFonts w:ascii="Consolas" w:cs="Consolas" w:eastAsia="Consolas" w:hAnsi="Consolas"/>
          <w:color w:val="222222"/>
          <w:sz w:val="18"/>
          <w:szCs w:val="18"/>
        </w:rPr>
        <w:t xml:space="preserve"> </w:t>
      </w:r>
    </w:p>
    <w:p>
      <w:pPr>
        <w:shd w:fill="F5F5F5" w:val="clear"/>
        <w:spacing w:after="0"/>
      </w:pPr>
      <w:r>
        <w:rPr>
          <w:rFonts w:ascii="Consolas" w:cs="Consolas" w:eastAsia="Consolas" w:hAnsi="Consolas"/>
          <w:color w:val="222222"/>
          <w:sz w:val="18"/>
          <w:szCs w:val="18"/>
        </w:rPr>
        <w:t xml:space="preserve">matches</w:t>
      </w:r>
    </w:p>
    <w:p>
      <w:pPr>
        <w:shd w:fill="F5F5F5" w:val="clear"/>
        <w:spacing w:after="0"/>
      </w:pPr>
      <w:r>
        <w:rPr>
          <w:rFonts w:ascii="Consolas" w:cs="Consolas" w:eastAsia="Consolas" w:hAnsi="Consolas"/>
          <w:color w:val="222222"/>
          <w:sz w:val="18"/>
          <w:szCs w:val="18"/>
        </w:rPr>
        <w:t xml:space="preserve">  _id, request_id, provider_id, matched_at, response_status</w:t>
      </w:r>
    </w:p>
    <w:p>
      <w:pPr>
        <w:shd w:fill="F5F5F5" w:val="clear"/>
        <w:spacing w:after="0"/>
      </w:pPr>
      <w:r>
        <w:rPr>
          <w:rFonts w:ascii="Consolas" w:cs="Consolas" w:eastAsia="Consolas" w:hAnsi="Consolas"/>
          <w:color w:val="222222"/>
          <w:sz w:val="18"/>
          <w:szCs w:val="18"/>
        </w:rPr>
        <w:t xml:space="preserve"> </w:t>
      </w:r>
    </w:p>
    <w:p>
      <w:pPr>
        <w:shd w:fill="F5F5F5" w:val="clear"/>
        <w:spacing w:after="0"/>
      </w:pPr>
      <w:r>
        <w:rPr>
          <w:rFonts w:ascii="Consolas" w:cs="Consolas" w:eastAsia="Consolas" w:hAnsi="Consolas"/>
          <w:color w:val="222222"/>
          <w:sz w:val="18"/>
          <w:szCs w:val="18"/>
        </w:rPr>
        <w:t xml:space="preserve">quotes</w:t>
      </w:r>
    </w:p>
    <w:p>
      <w:pPr>
        <w:shd w:fill="F5F5F5" w:val="clear"/>
        <w:spacing w:after="0"/>
      </w:pPr>
      <w:r>
        <w:rPr>
          <w:rFonts w:ascii="Consolas" w:cs="Consolas" w:eastAsia="Consolas" w:hAnsi="Consolas"/>
          <w:color w:val="222222"/>
          <w:sz w:val="18"/>
          <w:szCs w:val="18"/>
        </w:rPr>
        <w:t xml:space="preserve">  _id, request_id, provider_id, price, scope_description,</w:t>
      </w:r>
    </w:p>
    <w:p>
      <w:pPr>
        <w:shd w:fill="F5F5F5" w:val="clear"/>
        <w:spacing w:after="0"/>
      </w:pPr>
      <w:r>
        <w:rPr>
          <w:rFonts w:ascii="Consolas" w:cs="Consolas" w:eastAsia="Consolas" w:hAnsi="Consolas"/>
          <w:color w:val="222222"/>
          <w:sz w:val="18"/>
          <w:szCs w:val="18"/>
        </w:rPr>
        <w:t xml:space="preserve">  pricing_mode, status (sent|accepted|rejected|expired), created_at</w:t>
      </w:r>
    </w:p>
    <w:p>
      <w:pPr>
        <w:shd w:fill="F5F5F5" w:val="clear"/>
        <w:spacing w:after="0"/>
      </w:pPr>
      <w:r>
        <w:rPr>
          <w:rFonts w:ascii="Consolas" w:cs="Consolas" w:eastAsia="Consolas" w:hAnsi="Consolas"/>
          <w:color w:val="222222"/>
          <w:sz w:val="18"/>
          <w:szCs w:val="18"/>
        </w:rPr>
        <w:t xml:space="preserve"> </w:t>
      </w:r>
    </w:p>
    <w:p>
      <w:pPr>
        <w:shd w:fill="F5F5F5" w:val="clear"/>
        <w:spacing w:after="0"/>
      </w:pPr>
      <w:r>
        <w:rPr>
          <w:rFonts w:ascii="Consolas" w:cs="Consolas" w:eastAsia="Consolas" w:hAnsi="Consolas"/>
          <w:color w:val="222222"/>
          <w:sz w:val="18"/>
          <w:szCs w:val="18"/>
        </w:rPr>
        <w:t xml:space="preserve">bookings</w:t>
      </w:r>
    </w:p>
    <w:p>
      <w:pPr>
        <w:shd w:fill="F5F5F5" w:val="clear"/>
        <w:spacing w:after="0"/>
      </w:pPr>
      <w:r>
        <w:rPr>
          <w:rFonts w:ascii="Consolas" w:cs="Consolas" w:eastAsia="Consolas" w:hAnsi="Consolas"/>
          <w:color w:val="222222"/>
          <w:sz w:val="18"/>
          <w:szCs w:val="18"/>
        </w:rPr>
        <w:t xml:space="preserve">  _id, quote_id, client_id, provider_id, agreed_price,</w:t>
      </w:r>
    </w:p>
    <w:p>
      <w:pPr>
        <w:shd w:fill="F5F5F5" w:val="clear"/>
        <w:spacing w:after="0"/>
      </w:pPr>
      <w:r>
        <w:rPr>
          <w:rFonts w:ascii="Consolas" w:cs="Consolas" w:eastAsia="Consolas" w:hAnsi="Consolas"/>
          <w:color w:val="222222"/>
          <w:sz w:val="18"/>
          <w:szCs w:val="18"/>
        </w:rPr>
        <w:t xml:space="preserve">  deposit_amount, payment_status, escrow_status, scheduled_date,</w:t>
      </w:r>
    </w:p>
    <w:p>
      <w:pPr>
        <w:shd w:fill="F5F5F5" w:val="clear"/>
        <w:spacing w:after="0"/>
      </w:pPr>
      <w:r>
        <w:rPr>
          <w:rFonts w:ascii="Consolas" w:cs="Consolas" w:eastAsia="Consolas" w:hAnsi="Consolas"/>
          <w:color w:val="222222"/>
          <w:sz w:val="18"/>
          <w:szCs w:val="18"/>
        </w:rPr>
        <w:t xml:space="preserve">  created_at</w:t>
      </w:r>
    </w:p>
    <w:p>
      <w:pPr>
        <w:shd w:fill="F5F5F5" w:val="clear"/>
        <w:spacing w:after="0"/>
      </w:pPr>
      <w:r>
        <w:rPr>
          <w:rFonts w:ascii="Consolas" w:cs="Consolas" w:eastAsia="Consolas" w:hAnsi="Consolas"/>
          <w:color w:val="222222"/>
          <w:sz w:val="18"/>
          <w:szCs w:val="18"/>
        </w:rPr>
        <w:t xml:space="preserve"> </w:t>
      </w:r>
    </w:p>
    <w:p>
      <w:pPr>
        <w:shd w:fill="F5F5F5" w:val="clear"/>
        <w:spacing w:after="0"/>
      </w:pPr>
      <w:r>
        <w:rPr>
          <w:rFonts w:ascii="Consolas" w:cs="Consolas" w:eastAsia="Consolas" w:hAnsi="Consolas"/>
          <w:color w:val="222222"/>
          <w:sz w:val="18"/>
          <w:szCs w:val="18"/>
        </w:rPr>
        <w:t xml:space="preserve">transactions</w:t>
      </w:r>
    </w:p>
    <w:p>
      <w:pPr>
        <w:shd w:fill="F5F5F5" w:val="clear"/>
        <w:spacing w:after="0"/>
      </w:pPr>
      <w:r>
        <w:rPr>
          <w:rFonts w:ascii="Consolas" w:cs="Consolas" w:eastAsia="Consolas" w:hAnsi="Consolas"/>
          <w:color w:val="222222"/>
          <w:sz w:val="18"/>
          <w:szCs w:val="18"/>
        </w:rPr>
        <w:t xml:space="preserve">  _id, booking_id, gross_amount, provider_commission_pct,</w:t>
      </w:r>
    </w:p>
    <w:p>
      <w:pPr>
        <w:shd w:fill="F5F5F5" w:val="clear"/>
        <w:spacing w:after="0"/>
      </w:pPr>
      <w:r>
        <w:rPr>
          <w:rFonts w:ascii="Consolas" w:cs="Consolas" w:eastAsia="Consolas" w:hAnsi="Consolas"/>
          <w:color w:val="222222"/>
          <w:sz w:val="18"/>
          <w:szCs w:val="18"/>
        </w:rPr>
        <w:t xml:space="preserve">  provider_commission_amount, client_service_fee, total_charged_to_client,</w:t>
      </w:r>
    </w:p>
    <w:p>
      <w:pPr>
        <w:shd w:fill="F5F5F5" w:val="clear"/>
        <w:spacing w:after="0"/>
      </w:pPr>
      <w:r>
        <w:rPr>
          <w:rFonts w:ascii="Consolas" w:cs="Consolas" w:eastAsia="Consolas" w:hAnsi="Consolas"/>
          <w:color w:val="222222"/>
          <w:sz w:val="18"/>
          <w:szCs w:val="18"/>
        </w:rPr>
        <w:t xml:space="preserve">  provider_payout_amount, platform_revenue, status</w:t>
      </w:r>
    </w:p>
    <w:p>
      <w:pPr>
        <w:shd w:fill="F5F5F5" w:val="clear"/>
        <w:spacing w:after="0"/>
      </w:pPr>
      <w:r>
        <w:rPr>
          <w:rFonts w:ascii="Consolas" w:cs="Consolas" w:eastAsia="Consolas" w:hAnsi="Consolas"/>
          <w:color w:val="222222"/>
          <w:sz w:val="18"/>
          <w:szCs w:val="18"/>
        </w:rPr>
        <w:t xml:space="preserve">  (held|released|refunded|disputed), stripe_payment_intent_id, events[]</w:t>
      </w:r>
    </w:p>
    <w:p>
      <w:pPr>
        <w:shd w:fill="F5F5F5" w:val="clear"/>
        <w:spacing w:after="0"/>
      </w:pPr>
      <w:r>
        <w:rPr>
          <w:rFonts w:ascii="Consolas" w:cs="Consolas" w:eastAsia="Consolas" w:hAnsi="Consolas"/>
          <w:color w:val="222222"/>
          <w:sz w:val="18"/>
          <w:szCs w:val="18"/>
        </w:rPr>
        <w:t xml:space="preserve"> </w:t>
      </w:r>
    </w:p>
    <w:p>
      <w:pPr>
        <w:shd w:fill="F5F5F5" w:val="clear"/>
        <w:spacing w:after="0"/>
      </w:pPr>
      <w:r>
        <w:rPr>
          <w:rFonts w:ascii="Consolas" w:cs="Consolas" w:eastAsia="Consolas" w:hAnsi="Consolas"/>
          <w:color w:val="222222"/>
          <w:sz w:val="18"/>
          <w:szCs w:val="18"/>
        </w:rPr>
        <w:t xml:space="preserve">messages</w:t>
      </w:r>
    </w:p>
    <w:p>
      <w:pPr>
        <w:shd w:fill="F5F5F5" w:val="clear"/>
        <w:spacing w:after="0"/>
      </w:pPr>
      <w:r>
        <w:rPr>
          <w:rFonts w:ascii="Consolas" w:cs="Consolas" w:eastAsia="Consolas" w:hAnsi="Consolas"/>
          <w:color w:val="222222"/>
          <w:sz w:val="18"/>
          <w:szCs w:val="18"/>
        </w:rPr>
        <w:t xml:space="preserve">  _id, booking_id or request_id, sender_id, content, flagged (bool),</w:t>
      </w:r>
    </w:p>
    <w:p>
      <w:pPr>
        <w:shd w:fill="F5F5F5" w:val="clear"/>
        <w:spacing w:after="0"/>
      </w:pPr>
      <w:r>
        <w:rPr>
          <w:rFonts w:ascii="Consolas" w:cs="Consolas" w:eastAsia="Consolas" w:hAnsi="Consolas"/>
          <w:color w:val="222222"/>
          <w:sz w:val="18"/>
          <w:szCs w:val="18"/>
        </w:rPr>
        <w:t xml:space="preserve">  flag_reason, created_at</w:t>
      </w:r>
    </w:p>
    <w:p>
      <w:pPr>
        <w:shd w:fill="F5F5F5" w:val="clear"/>
        <w:spacing w:after="0"/>
      </w:pPr>
      <w:r>
        <w:rPr>
          <w:rFonts w:ascii="Consolas" w:cs="Consolas" w:eastAsia="Consolas" w:hAnsi="Consolas"/>
          <w:color w:val="222222"/>
          <w:sz w:val="18"/>
          <w:szCs w:val="18"/>
        </w:rPr>
        <w:t xml:space="preserve"> </w:t>
      </w:r>
    </w:p>
    <w:p>
      <w:pPr>
        <w:shd w:fill="F5F5F5" w:val="clear"/>
        <w:spacing w:after="0"/>
      </w:pPr>
      <w:r>
        <w:rPr>
          <w:rFonts w:ascii="Consolas" w:cs="Consolas" w:eastAsia="Consolas" w:hAnsi="Consolas"/>
          <w:color w:val="222222"/>
          <w:sz w:val="18"/>
          <w:szCs w:val="18"/>
        </w:rPr>
        <w:t xml:space="preserve">reviews</w:t>
      </w:r>
    </w:p>
    <w:p>
      <w:pPr>
        <w:shd w:fill="F5F5F5" w:val="clear"/>
        <w:spacing w:after="0"/>
      </w:pPr>
      <w:r>
        <w:rPr>
          <w:rFonts w:ascii="Consolas" w:cs="Consolas" w:eastAsia="Consolas" w:hAnsi="Consolas"/>
          <w:color w:val="222222"/>
          <w:sz w:val="18"/>
          <w:szCs w:val="18"/>
        </w:rPr>
        <w:t xml:space="preserve">  _id, booking_id, from_user_id, to_user_id, rating, comment, created_at</w:t>
      </w:r>
    </w:p>
    <w:p>
      <w:pPr>
        <w:shd w:fill="F5F5F5" w:val="clear"/>
        <w:spacing w:after="0"/>
      </w:pPr>
      <w:r>
        <w:rPr>
          <w:rFonts w:ascii="Consolas" w:cs="Consolas" w:eastAsia="Consolas" w:hAnsi="Consolas"/>
          <w:color w:val="222222"/>
          <w:sz w:val="18"/>
          <w:szCs w:val="18"/>
        </w:rPr>
        <w:t xml:space="preserve"> </w:t>
      </w:r>
    </w:p>
    <w:p>
      <w:pPr>
        <w:shd w:fill="F5F5F5" w:val="clear"/>
        <w:spacing w:after="0"/>
      </w:pPr>
      <w:r>
        <w:rPr>
          <w:rFonts w:ascii="Consolas" w:cs="Consolas" w:eastAsia="Consolas" w:hAnsi="Consolas"/>
          <w:color w:val="222222"/>
          <w:sz w:val="18"/>
          <w:szCs w:val="18"/>
        </w:rPr>
        <w:t xml:space="preserve">disputes</w:t>
      </w:r>
    </w:p>
    <w:p>
      <w:pPr>
        <w:shd w:fill="F5F5F5" w:val="clear"/>
        <w:spacing w:after="0"/>
      </w:pPr>
      <w:r>
        <w:rPr>
          <w:rFonts w:ascii="Consolas" w:cs="Consolas" w:eastAsia="Consolas" w:hAnsi="Consolas"/>
          <w:color w:val="222222"/>
          <w:sz w:val="18"/>
          <w:szCs w:val="18"/>
        </w:rPr>
        <w:t xml:space="preserve">  _id, booking_id, opened_by, reason, evidence[], status, resolution</w:t>
      </w:r>
    </w:p>
    <w:p>
      <w:pPr>
        <w:spacing w:after="140"/>
      </w:pPr>
      <w:r>
        <w:rPr>
          <w:rFonts w:ascii="Calibri" w:cs="Calibri" w:eastAsia="Calibri" w:hAnsi="Calibri"/>
          <w:sz w:val="21"/>
          <w:szCs w:val="21"/>
        </w:rPr>
        <w:t xml:space="preserve">El campo transactions.events[] es el registro inmutable de auditoría del principio #5 — cada retención, liberación o reembolso agrega un evento, nunca sobreescribe.</w:t>
      </w:r>
    </w:p>
    <w:p>
      <w:pPr>
        <w:pStyle w:val="Heading1"/>
        <w:spacing w:after="200" w:before="400"/>
      </w:pPr>
      <w:r>
        <w:t xml:space="preserve">5. Motor de comisiones — implementación del modelo recomendado</w:t>
      </w:r>
    </w:p>
    <w:p>
      <w:pPr>
        <w:spacing w:after="140"/>
      </w:pPr>
      <w:r>
        <w:rPr>
          <w:rFonts w:ascii="Calibri" w:cs="Calibri" w:eastAsia="Calibri" w:hAnsi="Calibri"/>
          <w:sz w:val="21"/>
          <w:szCs w:val="21"/>
        </w:rPr>
        <w:t xml:space="preserve">Traduciendo la sección 9 del informe a lógica de negocio:</w:t>
      </w:r>
    </w:p>
    <w:p>
      <w:pPr>
        <w:shd w:fill="F5F5F5" w:val="clear"/>
        <w:spacing w:after="0"/>
      </w:pPr>
      <w:r>
        <w:rPr>
          <w:rFonts w:ascii="Consolas" w:cs="Consolas" w:eastAsia="Consolas" w:hAnsi="Consolas"/>
          <w:color w:val="222222"/>
          <w:sz w:val="18"/>
          <w:szCs w:val="18"/>
        </w:rPr>
        <w:t xml:space="preserve"># billing_engine.py — fuente única de verdad, equivalente a</w:t>
      </w:r>
    </w:p>
    <w:p>
      <w:pPr>
        <w:shd w:fill="F5F5F5" w:val="clear"/>
        <w:spacing w:after="0"/>
      </w:pPr>
      <w:r>
        <w:rPr>
          <w:rFonts w:ascii="Consolas" w:cs="Consolas" w:eastAsia="Consolas" w:hAnsi="Consolas"/>
          <w:color w:val="222222"/>
          <w:sz w:val="18"/>
          <w:szCs w:val="18"/>
        </w:rPr>
        <w:t xml:space="preserve"># calculate_final_amount_with_membership() en VFL</w:t>
      </w:r>
    </w:p>
    <w:p>
      <w:pPr>
        <w:shd w:fill="F5F5F5" w:val="clear"/>
        <w:spacing w:after="0"/>
      </w:pPr>
      <w:r>
        <w:rPr>
          <w:rFonts w:ascii="Consolas" w:cs="Consolas" w:eastAsia="Consolas" w:hAnsi="Consolas"/>
          <w:color w:val="222222"/>
          <w:sz w:val="18"/>
          <w:szCs w:val="18"/>
        </w:rPr>
        <w:t xml:space="preserve"> </w:t>
      </w:r>
    </w:p>
    <w:p>
      <w:pPr>
        <w:shd w:fill="F5F5F5" w:val="clear"/>
        <w:spacing w:after="0"/>
      </w:pPr>
      <w:r>
        <w:rPr>
          <w:rFonts w:ascii="Consolas" w:cs="Consolas" w:eastAsia="Consolas" w:hAnsi="Consolas"/>
          <w:color w:val="222222"/>
          <w:sz w:val="18"/>
          <w:szCs w:val="18"/>
        </w:rPr>
        <w:t xml:space="preserve">TIER_COMMISSION = {</w:t>
      </w:r>
    </w:p>
    <w:p>
      <w:pPr>
        <w:shd w:fill="F5F5F5" w:val="clear"/>
        <w:spacing w:after="0"/>
      </w:pPr>
      <w:r>
        <w:rPr>
          <w:rFonts w:ascii="Consolas" w:cs="Consolas" w:eastAsia="Consolas" w:hAnsi="Consolas"/>
          <w:color w:val="222222"/>
          <w:sz w:val="18"/>
          <w:szCs w:val="18"/>
        </w:rPr>
        <w:t xml:space="preserve">    "nuevo": 0.10,</w:t>
      </w:r>
    </w:p>
    <w:p>
      <w:pPr>
        <w:shd w:fill="F5F5F5" w:val="clear"/>
        <w:spacing w:after="0"/>
      </w:pPr>
      <w:r>
        <w:rPr>
          <w:rFonts w:ascii="Consolas" w:cs="Consolas" w:eastAsia="Consolas" w:hAnsi="Consolas"/>
          <w:color w:val="222222"/>
          <w:sz w:val="18"/>
          <w:szCs w:val="18"/>
        </w:rPr>
        <w:t xml:space="preserve">    "plata": 0.09,</w:t>
      </w:r>
    </w:p>
    <w:p>
      <w:pPr>
        <w:shd w:fill="F5F5F5" w:val="clear"/>
        <w:spacing w:after="0"/>
      </w:pPr>
      <w:r>
        <w:rPr>
          <w:rFonts w:ascii="Consolas" w:cs="Consolas" w:eastAsia="Consolas" w:hAnsi="Consolas"/>
          <w:color w:val="222222"/>
          <w:sz w:val="18"/>
          <w:szCs w:val="18"/>
        </w:rPr>
        <w:t xml:space="preserve">    "oro": 0.075,</w:t>
      </w:r>
    </w:p>
    <w:p>
      <w:pPr>
        <w:shd w:fill="F5F5F5" w:val="clear"/>
        <w:spacing w:after="0"/>
      </w:pPr>
      <w:r>
        <w:rPr>
          <w:rFonts w:ascii="Consolas" w:cs="Consolas" w:eastAsia="Consolas" w:hAnsi="Consolas"/>
          <w:color w:val="222222"/>
          <w:sz w:val="18"/>
          <w:szCs w:val="18"/>
        </w:rPr>
        <w:t xml:space="preserve">    "platino": 0.06,</w:t>
      </w:r>
    </w:p>
    <w:p>
      <w:pPr>
        <w:shd w:fill="F5F5F5" w:val="clear"/>
        <w:spacing w:after="0"/>
      </w:pPr>
      <w:r>
        <w:rPr>
          <w:rFonts w:ascii="Consolas" w:cs="Consolas" w:eastAsia="Consolas" w:hAnsi="Consolas"/>
          <w:color w:val="222222"/>
          <w:sz w:val="18"/>
          <w:szCs w:val="18"/>
        </w:rPr>
        <w:t xml:space="preserve">}</w:t>
      </w:r>
    </w:p>
    <w:p>
      <w:pPr>
        <w:shd w:fill="F5F5F5" w:val="clear"/>
        <w:spacing w:after="0"/>
      </w:pPr>
      <w:r>
        <w:rPr>
          <w:rFonts w:ascii="Consolas" w:cs="Consolas" w:eastAsia="Consolas" w:hAnsi="Consolas"/>
          <w:color w:val="222222"/>
          <w:sz w:val="18"/>
          <w:szCs w:val="18"/>
        </w:rPr>
        <w:t xml:space="preserve">CLIENT_SERVICE_FEE_PCT = 0.05</w:t>
      </w:r>
    </w:p>
    <w:p>
      <w:pPr>
        <w:shd w:fill="F5F5F5" w:val="clear"/>
        <w:spacing w:after="0"/>
      </w:pPr>
      <w:r>
        <w:rPr>
          <w:rFonts w:ascii="Consolas" w:cs="Consolas" w:eastAsia="Consolas" w:hAnsi="Consolas"/>
          <w:color w:val="222222"/>
          <w:sz w:val="18"/>
          <w:szCs w:val="18"/>
        </w:rPr>
        <w:t xml:space="preserve">CLIENT_FEE_MIN = 3.00</w:t>
      </w:r>
    </w:p>
    <w:p>
      <w:pPr>
        <w:shd w:fill="F5F5F5" w:val="clear"/>
        <w:spacing w:after="0"/>
      </w:pPr>
      <w:r>
        <w:rPr>
          <w:rFonts w:ascii="Consolas" w:cs="Consolas" w:eastAsia="Consolas" w:hAnsi="Consolas"/>
          <w:color w:val="222222"/>
          <w:sz w:val="18"/>
          <w:szCs w:val="18"/>
        </w:rPr>
        <w:t xml:space="preserve">CLIENT_FEE_CAP = 250.00</w:t>
      </w:r>
    </w:p>
    <w:p>
      <w:pPr>
        <w:shd w:fill="F5F5F5" w:val="clear"/>
        <w:spacing w:after="0"/>
      </w:pPr>
      <w:r>
        <w:rPr>
          <w:rFonts w:ascii="Consolas" w:cs="Consolas" w:eastAsia="Consolas" w:hAnsi="Consolas"/>
          <w:color w:val="222222"/>
          <w:sz w:val="18"/>
          <w:szCs w:val="18"/>
        </w:rPr>
        <w:t xml:space="preserve"> </w:t>
      </w:r>
    </w:p>
    <w:p>
      <w:pPr>
        <w:shd w:fill="F5F5F5" w:val="clear"/>
        <w:spacing w:after="0"/>
      </w:pPr>
      <w:r>
        <w:rPr>
          <w:rFonts w:ascii="Consolas" w:cs="Consolas" w:eastAsia="Consolas" w:hAnsi="Consolas"/>
          <w:color w:val="222222"/>
          <w:sz w:val="18"/>
          <w:szCs w:val="18"/>
        </w:rPr>
        <w:t xml:space="preserve">def calculate_transaction_split(job_value: float, provider_tier: str) -&gt; dict:</w:t>
      </w:r>
    </w:p>
    <w:p>
      <w:pPr>
        <w:shd w:fill="F5F5F5" w:val="clear"/>
        <w:spacing w:after="0"/>
      </w:pPr>
      <w:r>
        <w:rPr>
          <w:rFonts w:ascii="Consolas" w:cs="Consolas" w:eastAsia="Consolas" w:hAnsi="Consolas"/>
          <w:color w:val="222222"/>
          <w:sz w:val="18"/>
          <w:szCs w:val="18"/>
        </w:rPr>
        <w:t xml:space="preserve">    provider_commission_pct = TIER_COMMISSION[provider_tier]</w:t>
      </w:r>
    </w:p>
    <w:p>
      <w:pPr>
        <w:shd w:fill="F5F5F5" w:val="clear"/>
        <w:spacing w:after="0"/>
      </w:pPr>
      <w:r>
        <w:rPr>
          <w:rFonts w:ascii="Consolas" w:cs="Consolas" w:eastAsia="Consolas" w:hAnsi="Consolas"/>
          <w:color w:val="222222"/>
          <w:sz w:val="18"/>
          <w:szCs w:val="18"/>
        </w:rPr>
        <w:t xml:space="preserve">    provider_commission = round(job_value * provider_commission_pct, 2)</w:t>
      </w:r>
    </w:p>
    <w:p>
      <w:pPr>
        <w:shd w:fill="F5F5F5" w:val="clear"/>
        <w:spacing w:after="0"/>
      </w:pPr>
      <w:r>
        <w:rPr>
          <w:rFonts w:ascii="Consolas" w:cs="Consolas" w:eastAsia="Consolas" w:hAnsi="Consolas"/>
          <w:color w:val="222222"/>
          <w:sz w:val="18"/>
          <w:szCs w:val="18"/>
        </w:rPr>
        <w:t xml:space="preserve"> </w:t>
      </w:r>
    </w:p>
    <w:p>
      <w:pPr>
        <w:shd w:fill="F5F5F5" w:val="clear"/>
        <w:spacing w:after="0"/>
      </w:pPr>
      <w:r>
        <w:rPr>
          <w:rFonts w:ascii="Consolas" w:cs="Consolas" w:eastAsia="Consolas" w:hAnsi="Consolas"/>
          <w:color w:val="222222"/>
          <w:sz w:val="18"/>
          <w:szCs w:val="18"/>
        </w:rPr>
        <w:t xml:space="preserve">    client_fee = round(job_value * CLIENT_SERVICE_FEE_PCT, 2)</w:t>
      </w:r>
    </w:p>
    <w:p>
      <w:pPr>
        <w:shd w:fill="F5F5F5" w:val="clear"/>
        <w:spacing w:after="0"/>
      </w:pPr>
      <w:r>
        <w:rPr>
          <w:rFonts w:ascii="Consolas" w:cs="Consolas" w:eastAsia="Consolas" w:hAnsi="Consolas"/>
          <w:color w:val="222222"/>
          <w:sz w:val="18"/>
          <w:szCs w:val="18"/>
        </w:rPr>
        <w:t xml:space="preserve">    client_fee = max(client_fee, CLIENT_FEE_MIN)</w:t>
      </w:r>
    </w:p>
    <w:p>
      <w:pPr>
        <w:shd w:fill="F5F5F5" w:val="clear"/>
        <w:spacing w:after="0"/>
      </w:pPr>
      <w:r>
        <w:rPr>
          <w:rFonts w:ascii="Consolas" w:cs="Consolas" w:eastAsia="Consolas" w:hAnsi="Consolas"/>
          <w:color w:val="222222"/>
          <w:sz w:val="18"/>
          <w:szCs w:val="18"/>
        </w:rPr>
        <w:t xml:space="preserve">    client_fee = min(client_fee, CLIENT_FEE_CAP)</w:t>
      </w:r>
    </w:p>
    <w:p>
      <w:pPr>
        <w:shd w:fill="F5F5F5" w:val="clear"/>
        <w:spacing w:after="0"/>
      </w:pPr>
      <w:r>
        <w:rPr>
          <w:rFonts w:ascii="Consolas" w:cs="Consolas" w:eastAsia="Consolas" w:hAnsi="Consolas"/>
          <w:color w:val="222222"/>
          <w:sz w:val="18"/>
          <w:szCs w:val="18"/>
        </w:rPr>
        <w:t xml:space="preserve"> </w:t>
      </w:r>
    </w:p>
    <w:p>
      <w:pPr>
        <w:shd w:fill="F5F5F5" w:val="clear"/>
        <w:spacing w:after="0"/>
      </w:pPr>
      <w:r>
        <w:rPr>
          <w:rFonts w:ascii="Consolas" w:cs="Consolas" w:eastAsia="Consolas" w:hAnsi="Consolas"/>
          <w:color w:val="222222"/>
          <w:sz w:val="18"/>
          <w:szCs w:val="18"/>
        </w:rPr>
        <w:t xml:space="preserve">    return {</w:t>
      </w:r>
    </w:p>
    <w:p>
      <w:pPr>
        <w:shd w:fill="F5F5F5" w:val="clear"/>
        <w:spacing w:after="0"/>
      </w:pPr>
      <w:r>
        <w:rPr>
          <w:rFonts w:ascii="Consolas" w:cs="Consolas" w:eastAsia="Consolas" w:hAnsi="Consolas"/>
          <w:color w:val="222222"/>
          <w:sz w:val="18"/>
          <w:szCs w:val="18"/>
        </w:rPr>
        <w:t xml:space="preserve">        "job_value": job_value,</w:t>
      </w:r>
    </w:p>
    <w:p>
      <w:pPr>
        <w:shd w:fill="F5F5F5" w:val="clear"/>
        <w:spacing w:after="0"/>
      </w:pPr>
      <w:r>
        <w:rPr>
          <w:rFonts w:ascii="Consolas" w:cs="Consolas" w:eastAsia="Consolas" w:hAnsi="Consolas"/>
          <w:color w:val="222222"/>
          <w:sz w:val="18"/>
          <w:szCs w:val="18"/>
        </w:rPr>
        <w:t xml:space="preserve">        "provider_commission_pct": provider_commission_pct,</w:t>
      </w:r>
    </w:p>
    <w:p>
      <w:pPr>
        <w:shd w:fill="F5F5F5" w:val="clear"/>
        <w:spacing w:after="0"/>
      </w:pPr>
      <w:r>
        <w:rPr>
          <w:rFonts w:ascii="Consolas" w:cs="Consolas" w:eastAsia="Consolas" w:hAnsi="Consolas"/>
          <w:color w:val="222222"/>
          <w:sz w:val="18"/>
          <w:szCs w:val="18"/>
        </w:rPr>
        <w:t xml:space="preserve">        "provider_commission_amount": provider_commission,</w:t>
      </w:r>
    </w:p>
    <w:p>
      <w:pPr>
        <w:shd w:fill="F5F5F5" w:val="clear"/>
        <w:spacing w:after="0"/>
      </w:pPr>
      <w:r>
        <w:rPr>
          <w:rFonts w:ascii="Consolas" w:cs="Consolas" w:eastAsia="Consolas" w:hAnsi="Consolas"/>
          <w:color w:val="222222"/>
          <w:sz w:val="18"/>
          <w:szCs w:val="18"/>
        </w:rPr>
        <w:t xml:space="preserve">        "provider_payout": round(job_value - provider_commission, 2),</w:t>
      </w:r>
    </w:p>
    <w:p>
      <w:pPr>
        <w:shd w:fill="F5F5F5" w:val="clear"/>
        <w:spacing w:after="0"/>
      </w:pPr>
      <w:r>
        <w:rPr>
          <w:rFonts w:ascii="Consolas" w:cs="Consolas" w:eastAsia="Consolas" w:hAnsi="Consolas"/>
          <w:color w:val="222222"/>
          <w:sz w:val="18"/>
          <w:szCs w:val="18"/>
        </w:rPr>
        <w:t xml:space="preserve">        "client_service_fee": client_fee,</w:t>
      </w:r>
    </w:p>
    <w:p>
      <w:pPr>
        <w:shd w:fill="F5F5F5" w:val="clear"/>
        <w:spacing w:after="0"/>
      </w:pPr>
      <w:r>
        <w:rPr>
          <w:rFonts w:ascii="Consolas" w:cs="Consolas" w:eastAsia="Consolas" w:hAnsi="Consolas"/>
          <w:color w:val="222222"/>
          <w:sz w:val="18"/>
          <w:szCs w:val="18"/>
        </w:rPr>
        <w:t xml:space="preserve">        "total_charged_to_client": round(job_value + client_fee, 2),</w:t>
      </w:r>
    </w:p>
    <w:p>
      <w:pPr>
        <w:shd w:fill="F5F5F5" w:val="clear"/>
        <w:spacing w:after="0"/>
      </w:pPr>
      <w:r>
        <w:rPr>
          <w:rFonts w:ascii="Consolas" w:cs="Consolas" w:eastAsia="Consolas" w:hAnsi="Consolas"/>
          <w:color w:val="222222"/>
          <w:sz w:val="18"/>
          <w:szCs w:val="18"/>
        </w:rPr>
        <w:t xml:space="preserve">        "platform_revenue": round(provider_commission + client_fee, 2),</w:t>
      </w:r>
    </w:p>
    <w:p>
      <w:pPr>
        <w:shd w:fill="F5F5F5" w:val="clear"/>
        <w:spacing w:after="0"/>
      </w:pPr>
      <w:r>
        <w:rPr>
          <w:rFonts w:ascii="Consolas" w:cs="Consolas" w:eastAsia="Consolas" w:hAnsi="Consolas"/>
          <w:color w:val="222222"/>
          <w:sz w:val="18"/>
          <w:szCs w:val="18"/>
        </w:rPr>
        <w:t xml:space="preserve">    }</w:t>
      </w:r>
    </w:p>
    <w:p>
      <w:pPr>
        <w:spacing w:after="80" w:before="160"/>
      </w:pPr>
      <w:r>
        <w:rPr>
          <w:rFonts w:ascii="Calibri" w:cs="Calibri" w:eastAsia="Calibri" w:hAnsi="Calibri"/>
          <w:b/>
          <w:bCs/>
          <w:color w:val="1F3A5F"/>
          <w:sz w:val="22"/>
          <w:szCs w:val="22"/>
        </w:rPr>
        <w:t xml:space="preserve">Reglas duras que debe cumplir este módulo</w:t>
      </w:r>
    </w:p>
    <w:p>
      <w:pPr>
        <w:pStyle w:val="ListParagraph"/>
        <w:numPr>
          <w:ilvl w:val="0"/>
          <w:numId w:val="2"/>
        </w:numPr>
        <w:spacing w:after="60"/>
      </w:pPr>
      <w:r>
        <w:rPr>
          <w:rFonts w:ascii="Calibri" w:cs="Calibri" w:eastAsia="Calibri" w:hAnsi="Calibri"/>
          <w:sz w:val="21"/>
          <w:szCs w:val="21"/>
        </w:rPr>
        <w:t xml:space="preserve">Se ejecuta una sola vez, al confirmarse el booking, y su resultado se persiste — nunca se recalcula en el frontend ni en distintos endpoints.</w:t>
      </w:r>
    </w:p>
    <w:p>
      <w:pPr>
        <w:pStyle w:val="ListParagraph"/>
        <w:numPr>
          <w:ilvl w:val="0"/>
          <w:numId w:val="2"/>
        </w:numPr>
        <w:spacing w:after="60"/>
      </w:pPr>
      <w:r>
        <w:rPr>
          <w:rFonts w:ascii="Calibri" w:cs="Calibri" w:eastAsia="Calibri" w:hAnsi="Calibri"/>
          <w:sz w:val="21"/>
          <w:szCs w:val="21"/>
        </w:rPr>
        <w:t xml:space="preserve">El nivel del proveedor se congela en el momento de la transacción; no se recalcula retroactivamente si sube de nivel después.</w:t>
      </w:r>
    </w:p>
    <w:p>
      <w:pPr>
        <w:pStyle w:val="ListParagraph"/>
        <w:numPr>
          <w:ilvl w:val="0"/>
          <w:numId w:val="2"/>
        </w:numPr>
        <w:spacing w:after="60"/>
      </w:pPr>
      <w:r>
        <w:rPr>
          <w:rFonts w:ascii="Calibri" w:cs="Calibri" w:eastAsia="Calibri" w:hAnsi="Calibri"/>
          <w:sz w:val="21"/>
          <w:szCs w:val="21"/>
        </w:rPr>
        <w:t xml:space="preserve">Toda prueba unitaria de este módulo cubre los montos de ejemplo del informe ($50, $100, $250, $1,000, $5,000, $10,000, con y sin tier Oro) como casos de regresión.</w:t>
      </w:r>
    </w:p>
    <w:p>
      <w:pPr>
        <w:pStyle w:val="Heading1"/>
        <w:spacing w:after="200" w:before="400"/>
      </w:pPr>
      <w:r>
        <w:t xml:space="preserve">6. Sistema anti-fuga — especificación técnica</w:t>
      </w:r>
    </w:p>
    <w:p>
      <w:pPr>
        <w:spacing w:after="80" w:before="160"/>
      </w:pPr>
      <w:r>
        <w:rPr>
          <w:rFonts w:ascii="Calibri" w:cs="Calibri" w:eastAsia="Calibri" w:hAnsi="Calibri"/>
          <w:b/>
          <w:bCs/>
          <w:color w:val="1F3A5F"/>
          <w:sz w:val="22"/>
          <w:szCs w:val="22"/>
        </w:rPr>
        <w:t xml:space="preserve">Componentes</w:t>
      </w:r>
    </w:p>
    <w:p>
      <w:pPr>
        <w:pStyle w:val="ListParagraph"/>
        <w:numPr>
          <w:ilvl w:val="0"/>
          <w:numId w:val="2"/>
        </w:numPr>
        <w:spacing w:after="60"/>
      </w:pPr>
      <w:r>
        <w:rPr>
          <w:rFonts w:ascii="Calibri" w:cs="Calibri" w:eastAsia="Calibri" w:hAnsi="Calibri"/>
          <w:sz w:val="21"/>
          <w:szCs w:val="21"/>
        </w:rPr>
        <w:t xml:space="preserve">Números de teléfono enmascarados vía Twilio Proxy — número temporal por conversación, se libera el número real solo cuando escrow_status == held.</w:t>
      </w:r>
    </w:p>
    <w:p>
      <w:pPr>
        <w:pStyle w:val="ListParagraph"/>
        <w:numPr>
          <w:ilvl w:val="0"/>
          <w:numId w:val="2"/>
        </w:numPr>
        <w:spacing w:after="60"/>
      </w:pPr>
      <w:r>
        <w:rPr>
          <w:rFonts w:ascii="Calibri" w:cs="Calibri" w:eastAsia="Calibri" w:hAnsi="Calibri"/>
          <w:sz w:val="21"/>
          <w:szCs w:val="21"/>
        </w:rPr>
        <w:t xml:space="preserve">Detector de fuga en el chat (leak_detector.py): servicio de scoring, no reglas binarias. Señales: patrones de teléfono (incluyendo ofuscados), menciones de apps externas, dominios de correo, usuarios de redes sociales.</w:t>
      </w:r>
    </w:p>
    <w:p>
      <w:pPr>
        <w:pStyle w:val="ListParagraph"/>
        <w:numPr>
          <w:ilvl w:val="0"/>
          <w:numId w:val="2"/>
        </w:numPr>
        <w:spacing w:after="60"/>
      </w:pPr>
      <w:r>
        <w:rPr>
          <w:rFonts w:ascii="Calibri" w:cs="Calibri" w:eastAsia="Calibri" w:hAnsi="Calibri"/>
          <w:sz w:val="21"/>
          <w:szCs w:val="21"/>
        </w:rPr>
        <w:t xml:space="preserve">Cada mensaje recibe un leak_score; por encima de un umbral configurable el mensaje se retiene con explicación visible, no un bloqueo silencioso.</w:t>
      </w:r>
    </w:p>
    <w:p>
      <w:pPr>
        <w:pStyle w:val="ListParagraph"/>
        <w:numPr>
          <w:ilvl w:val="0"/>
          <w:numId w:val="2"/>
        </w:numPr>
        <w:spacing w:after="60"/>
      </w:pPr>
      <w:r>
        <w:rPr>
          <w:rFonts w:ascii="Calibri" w:cs="Calibri" w:eastAsia="Calibri" w:hAnsi="Calibri"/>
          <w:sz w:val="21"/>
          <w:szCs w:val="21"/>
        </w:rPr>
        <w:t xml:space="preserve">Umbrales y patrones viven en una colección de configuración (leak_detection_config), ajustable sin desplegar código nuevo.</w:t>
      </w:r>
    </w:p>
    <w:p>
      <w:pPr>
        <w:pStyle w:val="ListParagraph"/>
        <w:numPr>
          <w:ilvl w:val="0"/>
          <w:numId w:val="2"/>
        </w:numPr>
        <w:spacing w:after="60"/>
      </w:pPr>
      <w:r>
        <w:rPr>
          <w:rFonts w:ascii="Calibri" w:cs="Calibri" w:eastAsia="Calibri" w:hAnsi="Calibri"/>
          <w:sz w:val="21"/>
          <w:szCs w:val="21"/>
        </w:rPr>
        <w:t xml:space="preserve">Historial completo conservado como evidencia para disputas.</w:t>
      </w:r>
    </w:p>
    <w:p>
      <w:pPr>
        <w:pStyle w:val="ListParagraph"/>
        <w:numPr>
          <w:ilvl w:val="0"/>
          <w:numId w:val="2"/>
        </w:numPr>
        <w:spacing w:after="60"/>
      </w:pPr>
      <w:r>
        <w:rPr>
          <w:rFonts w:ascii="Calibri" w:cs="Calibri" w:eastAsia="Calibri" w:hAnsi="Calibri"/>
          <w:sz w:val="21"/>
          <w:szCs w:val="21"/>
        </w:rPr>
        <w:t xml:space="preserve">Scoring de cuentas (trust_score): cuentas con múltiples intentos de fuga se marcan para revisión manual antes de suspensión — debido proceso, no expulsión automática.</w:t>
      </w:r>
    </w:p>
    <w:p>
      <w:pPr>
        <w:pBdr>
          <w:left w:val="single" w:color="B8860B" w:sz="12" w:space="8"/>
        </w:pBdr>
        <w:shd w:fill="FFF6E0" w:val="clear"/>
        <w:spacing w:after="160" w:before="100"/>
        <w:ind w:left="100"/>
      </w:pPr>
      <w:r>
        <w:rPr>
          <w:rFonts w:ascii="Calibri" w:cs="Calibri" w:eastAsia="Calibri" w:hAnsi="Calibri"/>
          <w:i/>
          <w:iCs/>
          <w:color w:val="6B4E00"/>
          <w:sz w:val="20"/>
          <w:szCs w:val="20"/>
        </w:rPr>
        <w:t xml:space="preserve">El sistema técnico es secundario al incentivo económico (comisión decreciente). No se debe invertir más ingeniería en el detector de fuga que en hacer que quedarse dentro de la plataforma sea la opción obviamente más barata.</w:t>
      </w:r>
    </w:p>
    <w:p>
      <w:pPr>
        <w:pStyle w:val="Heading1"/>
        <w:spacing w:after="200" w:before="400"/>
      </w:pPr>
      <w:r>
        <w:t xml:space="preserve">7. Backlog por épicas (MVP)</w:t>
      </w:r>
    </w:p>
    <w:p>
      <w:pPr>
        <w:pStyle w:val="Heading3"/>
        <w:spacing w:after="100" w:before="220"/>
      </w:pPr>
      <w:r>
        <w:t xml:space="preserve">Épica A — Identidad y verificación (P0)</w:t>
      </w:r>
    </w:p>
    <w:p>
      <w:pPr>
        <w:pStyle w:val="ListParagraph"/>
        <w:numPr>
          <w:ilvl w:val="0"/>
          <w:numId w:val="2"/>
        </w:numPr>
        <w:spacing w:after="60"/>
      </w:pPr>
      <w:r>
        <w:rPr>
          <w:rFonts w:ascii="Calibri" w:cs="Calibri" w:eastAsia="Calibri" w:hAnsi="Calibri"/>
          <w:sz w:val="21"/>
          <w:szCs w:val="21"/>
        </w:rPr>
        <w:t xml:space="preserve">A1. Registro cliente/proveedor con verificación OTP.</w:t>
      </w:r>
    </w:p>
    <w:p>
      <w:pPr>
        <w:pStyle w:val="ListParagraph"/>
        <w:numPr>
          <w:ilvl w:val="0"/>
          <w:numId w:val="2"/>
        </w:numPr>
        <w:spacing w:after="60"/>
      </w:pPr>
      <w:r>
        <w:rPr>
          <w:rFonts w:ascii="Calibri" w:cs="Calibri" w:eastAsia="Calibri" w:hAnsi="Calibri"/>
          <w:sz w:val="21"/>
          <w:szCs w:val="21"/>
        </w:rPr>
        <w:t xml:space="preserve">A2. Integración KYC de identidad para proveedores.</w:t>
      </w:r>
    </w:p>
    <w:p>
      <w:pPr>
        <w:pStyle w:val="ListParagraph"/>
        <w:numPr>
          <w:ilvl w:val="0"/>
          <w:numId w:val="2"/>
        </w:numPr>
        <w:spacing w:after="60"/>
      </w:pPr>
      <w:r>
        <w:rPr>
          <w:rFonts w:ascii="Calibri" w:cs="Calibri" w:eastAsia="Calibri" w:hAnsi="Calibri"/>
          <w:sz w:val="21"/>
          <w:szCs w:val="21"/>
        </w:rPr>
        <w:t xml:space="preserve">A3. Carga y verificación manual de licencia/seguro para categorías reguladas.</w:t>
      </w:r>
    </w:p>
    <w:p>
      <w:pPr>
        <w:pStyle w:val="ListParagraph"/>
        <w:numPr>
          <w:ilvl w:val="0"/>
          <w:numId w:val="2"/>
        </w:numPr>
        <w:spacing w:after="60"/>
      </w:pPr>
      <w:r>
        <w:rPr>
          <w:rFonts w:ascii="Calibri" w:cs="Calibri" w:eastAsia="Calibri" w:hAnsi="Calibri"/>
          <w:sz w:val="21"/>
          <w:szCs w:val="21"/>
        </w:rPr>
        <w:t xml:space="preserve">A4. Perfil de proveedor: portafolio, zonas de cobertura, categorías.</w:t>
      </w:r>
    </w:p>
    <w:p>
      <w:pPr>
        <w:pStyle w:val="Heading3"/>
        <w:spacing w:after="100" w:before="220"/>
      </w:pPr>
      <w:r>
        <w:t xml:space="preserve">Épica B — Catálogo y publicación de necesidad (P0)</w:t>
      </w:r>
    </w:p>
    <w:p>
      <w:pPr>
        <w:pStyle w:val="ListParagraph"/>
        <w:numPr>
          <w:ilvl w:val="0"/>
          <w:numId w:val="2"/>
        </w:numPr>
        <w:spacing w:after="60"/>
      </w:pPr>
      <w:r>
        <w:rPr>
          <w:rFonts w:ascii="Calibri" w:cs="Calibri" w:eastAsia="Calibri" w:hAnsi="Calibri"/>
          <w:sz w:val="21"/>
          <w:szCs w:val="21"/>
        </w:rPr>
        <w:t xml:space="preserve">B1. Modelo de categorías configurable.</w:t>
      </w:r>
    </w:p>
    <w:p>
      <w:pPr>
        <w:pStyle w:val="ListParagraph"/>
        <w:numPr>
          <w:ilvl w:val="0"/>
          <w:numId w:val="2"/>
        </w:numPr>
        <w:spacing w:after="60"/>
      </w:pPr>
      <w:r>
        <w:rPr>
          <w:rFonts w:ascii="Calibri" w:cs="Calibri" w:eastAsia="Calibri" w:hAnsi="Calibri"/>
          <w:sz w:val="21"/>
          <w:szCs w:val="21"/>
        </w:rPr>
        <w:t xml:space="preserve">B2. Formulario de publicación de necesidad.</w:t>
      </w:r>
    </w:p>
    <w:p>
      <w:pPr>
        <w:pStyle w:val="ListParagraph"/>
        <w:numPr>
          <w:ilvl w:val="0"/>
          <w:numId w:val="2"/>
        </w:numPr>
        <w:spacing w:after="60"/>
      </w:pPr>
      <w:r>
        <w:rPr>
          <w:rFonts w:ascii="Calibri" w:cs="Calibri" w:eastAsia="Calibri" w:hAnsi="Calibri"/>
          <w:sz w:val="21"/>
          <w:szCs w:val="21"/>
        </w:rPr>
        <w:t xml:space="preserve">B3. Flujo alterno de precio fijo con reserva instantánea.</w:t>
      </w:r>
    </w:p>
    <w:p>
      <w:pPr>
        <w:pStyle w:val="Heading3"/>
        <w:spacing w:after="100" w:before="220"/>
      </w:pPr>
      <w:r>
        <w:t xml:space="preserve">Épica C — Matching (P0)</w:t>
      </w:r>
    </w:p>
    <w:p>
      <w:pPr>
        <w:pStyle w:val="ListParagraph"/>
        <w:numPr>
          <w:ilvl w:val="0"/>
          <w:numId w:val="2"/>
        </w:numPr>
        <w:spacing w:after="60"/>
      </w:pPr>
      <w:r>
        <w:rPr>
          <w:rFonts w:ascii="Calibri" w:cs="Calibri" w:eastAsia="Calibri" w:hAnsi="Calibri"/>
          <w:sz w:val="21"/>
          <w:szCs w:val="21"/>
        </w:rPr>
        <w:t xml:space="preserve">C1. Motor de reglas: categoría + cobertura + disponibilidad → 3–5 proveedores.</w:t>
      </w:r>
    </w:p>
    <w:p>
      <w:pPr>
        <w:pStyle w:val="ListParagraph"/>
        <w:numPr>
          <w:ilvl w:val="0"/>
          <w:numId w:val="2"/>
        </w:numPr>
        <w:spacing w:after="60"/>
      </w:pPr>
      <w:r>
        <w:rPr>
          <w:rFonts w:ascii="Calibri" w:cs="Calibri" w:eastAsia="Calibri" w:hAnsi="Calibri"/>
          <w:sz w:val="21"/>
          <w:szCs w:val="21"/>
        </w:rPr>
        <w:t xml:space="preserve">C2. Notificación a proveedores emparejados.</w:t>
      </w:r>
    </w:p>
    <w:p>
      <w:pPr>
        <w:pStyle w:val="ListParagraph"/>
        <w:numPr>
          <w:ilvl w:val="0"/>
          <w:numId w:val="2"/>
        </w:numPr>
        <w:spacing w:after="60"/>
      </w:pPr>
      <w:r>
        <w:rPr>
          <w:rFonts w:ascii="Calibri" w:cs="Calibri" w:eastAsia="Calibri" w:hAnsi="Calibri"/>
          <w:sz w:val="21"/>
          <w:szCs w:val="21"/>
        </w:rPr>
        <w:t xml:space="preserve">C3. Panel de proveedor para aceptar/rechazar oportunidad.</w:t>
      </w:r>
    </w:p>
    <w:p>
      <w:pPr>
        <w:pStyle w:val="Heading3"/>
        <w:spacing w:after="100" w:before="220"/>
      </w:pPr>
      <w:r>
        <w:t xml:space="preserve">Épica D — Cotización (P0)</w:t>
      </w:r>
    </w:p>
    <w:p>
      <w:pPr>
        <w:pStyle w:val="ListParagraph"/>
        <w:numPr>
          <w:ilvl w:val="0"/>
          <w:numId w:val="2"/>
        </w:numPr>
        <w:spacing w:after="60"/>
      </w:pPr>
      <w:r>
        <w:rPr>
          <w:rFonts w:ascii="Calibri" w:cs="Calibri" w:eastAsia="Calibri" w:hAnsi="Calibri"/>
          <w:sz w:val="21"/>
          <w:szCs w:val="21"/>
        </w:rPr>
        <w:t xml:space="preserve">D1. Generación de cotización formal dentro de la app.</w:t>
      </w:r>
    </w:p>
    <w:p>
      <w:pPr>
        <w:pStyle w:val="ListParagraph"/>
        <w:numPr>
          <w:ilvl w:val="0"/>
          <w:numId w:val="2"/>
        </w:numPr>
        <w:spacing w:after="60"/>
      </w:pPr>
      <w:r>
        <w:rPr>
          <w:rFonts w:ascii="Calibri" w:cs="Calibri" w:eastAsia="Calibri" w:hAnsi="Calibri"/>
          <w:sz w:val="21"/>
          <w:szCs w:val="21"/>
        </w:rPr>
        <w:t xml:space="preserve">D2. Aceptación digital de cotización por el cliente.</w:t>
      </w:r>
    </w:p>
    <w:p>
      <w:pPr>
        <w:pStyle w:val="Heading3"/>
        <w:spacing w:after="100" w:before="220"/>
      </w:pPr>
      <w:r>
        <w:t xml:space="preserve">Épica E — Mensajería y anti-fuga (P0)</w:t>
      </w:r>
    </w:p>
    <w:p>
      <w:pPr>
        <w:pStyle w:val="ListParagraph"/>
        <w:numPr>
          <w:ilvl w:val="0"/>
          <w:numId w:val="2"/>
        </w:numPr>
        <w:spacing w:after="60"/>
      </w:pPr>
      <w:r>
        <w:rPr>
          <w:rFonts w:ascii="Calibri" w:cs="Calibri" w:eastAsia="Calibri" w:hAnsi="Calibri"/>
          <w:sz w:val="21"/>
          <w:szCs w:val="21"/>
        </w:rPr>
        <w:t xml:space="preserve">E1. Chat interno en tiempo real (WebSocket).</w:t>
      </w:r>
    </w:p>
    <w:p>
      <w:pPr>
        <w:pStyle w:val="ListParagraph"/>
        <w:numPr>
          <w:ilvl w:val="0"/>
          <w:numId w:val="2"/>
        </w:numPr>
        <w:spacing w:after="60"/>
      </w:pPr>
      <w:r>
        <w:rPr>
          <w:rFonts w:ascii="Calibri" w:cs="Calibri" w:eastAsia="Calibri" w:hAnsi="Calibri"/>
          <w:sz w:val="21"/>
          <w:szCs w:val="21"/>
        </w:rPr>
        <w:t xml:space="preserve">E2. Números enmascarados vía Twilio Proxy.</w:t>
      </w:r>
    </w:p>
    <w:p>
      <w:pPr>
        <w:pStyle w:val="ListParagraph"/>
        <w:numPr>
          <w:ilvl w:val="0"/>
          <w:numId w:val="2"/>
        </w:numPr>
        <w:spacing w:after="60"/>
      </w:pPr>
      <w:r>
        <w:rPr>
          <w:rFonts w:ascii="Calibri" w:cs="Calibri" w:eastAsia="Calibri" w:hAnsi="Calibri"/>
          <w:sz w:val="21"/>
          <w:szCs w:val="21"/>
        </w:rPr>
        <w:t xml:space="preserve">E3. Detector de fuga con scoring configurable.</w:t>
      </w:r>
    </w:p>
    <w:p>
      <w:pPr>
        <w:pStyle w:val="Heading3"/>
        <w:spacing w:after="100" w:before="220"/>
      </w:pPr>
      <w:r>
        <w:t xml:space="preserve">Épica F — Pagos y escrow (P0)</w:t>
      </w:r>
    </w:p>
    <w:p>
      <w:pPr>
        <w:pStyle w:val="ListParagraph"/>
        <w:numPr>
          <w:ilvl w:val="0"/>
          <w:numId w:val="2"/>
        </w:numPr>
        <w:spacing w:after="60"/>
      </w:pPr>
      <w:r>
        <w:rPr>
          <w:rFonts w:ascii="Calibri" w:cs="Calibri" w:eastAsia="Calibri" w:hAnsi="Calibri"/>
          <w:sz w:val="21"/>
          <w:szCs w:val="21"/>
        </w:rPr>
        <w:t xml:space="preserve">F1. Integración Stripe Connect / Mercado Pago, onboarding de proveedor.</w:t>
      </w:r>
    </w:p>
    <w:p>
      <w:pPr>
        <w:pStyle w:val="ListParagraph"/>
        <w:numPr>
          <w:ilvl w:val="0"/>
          <w:numId w:val="2"/>
        </w:numPr>
        <w:spacing w:after="60"/>
      </w:pPr>
      <w:r>
        <w:rPr>
          <w:rFonts w:ascii="Calibri" w:cs="Calibri" w:eastAsia="Calibri" w:hAnsi="Calibri"/>
          <w:sz w:val="21"/>
          <w:szCs w:val="21"/>
        </w:rPr>
        <w:t xml:space="preserve">F2. Motor de comisiones.</w:t>
      </w:r>
    </w:p>
    <w:p>
      <w:pPr>
        <w:pStyle w:val="ListParagraph"/>
        <w:numPr>
          <w:ilvl w:val="0"/>
          <w:numId w:val="2"/>
        </w:numPr>
        <w:spacing w:after="60"/>
      </w:pPr>
      <w:r>
        <w:rPr>
          <w:rFonts w:ascii="Calibri" w:cs="Calibri" w:eastAsia="Calibri" w:hAnsi="Calibri"/>
          <w:sz w:val="21"/>
          <w:szCs w:val="21"/>
        </w:rPr>
        <w:t xml:space="preserve">F3. Cobro de depósito o pago completo, retención en escrow.</w:t>
      </w:r>
    </w:p>
    <w:p>
      <w:pPr>
        <w:pStyle w:val="ListParagraph"/>
        <w:numPr>
          <w:ilvl w:val="0"/>
          <w:numId w:val="2"/>
        </w:numPr>
        <w:spacing w:after="60"/>
      </w:pPr>
      <w:r>
        <w:rPr>
          <w:rFonts w:ascii="Calibri" w:cs="Calibri" w:eastAsia="Calibri" w:hAnsi="Calibri"/>
          <w:sz w:val="21"/>
          <w:szCs w:val="21"/>
        </w:rPr>
        <w:t xml:space="preserve">F4. Liberación de pago tras confirmación o vencimiento de ventana de disputa.</w:t>
      </w:r>
    </w:p>
    <w:p>
      <w:pPr>
        <w:pStyle w:val="ListParagraph"/>
        <w:numPr>
          <w:ilvl w:val="0"/>
          <w:numId w:val="2"/>
        </w:numPr>
        <w:spacing w:after="60"/>
      </w:pPr>
      <w:r>
        <w:rPr>
          <w:rFonts w:ascii="Calibri" w:cs="Calibri" w:eastAsia="Calibri" w:hAnsi="Calibri"/>
          <w:sz w:val="21"/>
          <w:szCs w:val="21"/>
        </w:rPr>
        <w:t xml:space="preserve">F5. Reembolsos y flujo básico de disputa.</w:t>
      </w:r>
    </w:p>
    <w:p>
      <w:pPr>
        <w:pStyle w:val="Heading3"/>
        <w:spacing w:after="100" w:before="220"/>
      </w:pPr>
      <w:r>
        <w:t xml:space="preserve">Épica G — Ejecución del trabajo (P0)</w:t>
      </w:r>
    </w:p>
    <w:p>
      <w:pPr>
        <w:pStyle w:val="ListParagraph"/>
        <w:numPr>
          <w:ilvl w:val="0"/>
          <w:numId w:val="2"/>
        </w:numPr>
        <w:spacing w:after="60"/>
      </w:pPr>
      <w:r>
        <w:rPr>
          <w:rFonts w:ascii="Calibri" w:cs="Calibri" w:eastAsia="Calibri" w:hAnsi="Calibri"/>
          <w:sz w:val="21"/>
          <w:szCs w:val="21"/>
        </w:rPr>
        <w:t xml:space="preserve">G1. Checklist y carga de evidencia (fotos antes/después).</w:t>
      </w:r>
    </w:p>
    <w:p>
      <w:pPr>
        <w:pStyle w:val="ListParagraph"/>
        <w:numPr>
          <w:ilvl w:val="0"/>
          <w:numId w:val="2"/>
        </w:numPr>
        <w:spacing w:after="60"/>
      </w:pPr>
      <w:r>
        <w:rPr>
          <w:rFonts w:ascii="Calibri" w:cs="Calibri" w:eastAsia="Calibri" w:hAnsi="Calibri"/>
          <w:sz w:val="21"/>
          <w:szCs w:val="21"/>
        </w:rPr>
        <w:t xml:space="preserve">G2. Confirmación de finalización por el cliente.</w:t>
      </w:r>
    </w:p>
    <w:p>
      <w:pPr>
        <w:pStyle w:val="Heading3"/>
        <w:spacing w:after="100" w:before="220"/>
      </w:pPr>
      <w:r>
        <w:t xml:space="preserve">Épica H — Reputación (P0)</w:t>
      </w:r>
    </w:p>
    <w:p>
      <w:pPr>
        <w:pStyle w:val="ListParagraph"/>
        <w:numPr>
          <w:ilvl w:val="0"/>
          <w:numId w:val="2"/>
        </w:numPr>
        <w:spacing w:after="60"/>
      </w:pPr>
      <w:r>
        <w:rPr>
          <w:rFonts w:ascii="Calibri" w:cs="Calibri" w:eastAsia="Calibri" w:hAnsi="Calibri"/>
          <w:sz w:val="21"/>
          <w:szCs w:val="21"/>
        </w:rPr>
        <w:t xml:space="preserve">H1. Reseñas bidireccionales tras finalización.</w:t>
      </w:r>
    </w:p>
    <w:p>
      <w:pPr>
        <w:pStyle w:val="ListParagraph"/>
        <w:numPr>
          <w:ilvl w:val="0"/>
          <w:numId w:val="2"/>
        </w:numPr>
        <w:spacing w:after="60"/>
      </w:pPr>
      <w:r>
        <w:rPr>
          <w:rFonts w:ascii="Calibri" w:cs="Calibri" w:eastAsia="Calibri" w:hAnsi="Calibri"/>
          <w:sz w:val="21"/>
          <w:szCs w:val="21"/>
        </w:rPr>
        <w:t xml:space="preserve">H2. Cálculo de rating_avg, jobs_completed, cancellation_rate.</w:t>
      </w:r>
    </w:p>
    <w:p>
      <w:pPr>
        <w:pStyle w:val="Heading3"/>
        <w:spacing w:after="100" w:before="220"/>
      </w:pPr>
      <w:r>
        <w:t xml:space="preserve">Épica I — Panel de negocio del proveedor (P0, versión simple)</w:t>
      </w:r>
    </w:p>
    <w:p>
      <w:pPr>
        <w:pStyle w:val="ListParagraph"/>
        <w:numPr>
          <w:ilvl w:val="0"/>
          <w:numId w:val="2"/>
        </w:numPr>
        <w:spacing w:after="60"/>
      </w:pPr>
      <w:r>
        <w:rPr>
          <w:rFonts w:ascii="Calibri" w:cs="Calibri" w:eastAsia="Calibri" w:hAnsi="Calibri"/>
          <w:sz w:val="21"/>
          <w:szCs w:val="21"/>
        </w:rPr>
        <w:t xml:space="preserve">I1. Calendario de disponibilidad.</w:t>
      </w:r>
    </w:p>
    <w:p>
      <w:pPr>
        <w:pStyle w:val="ListParagraph"/>
        <w:numPr>
          <w:ilvl w:val="0"/>
          <w:numId w:val="2"/>
        </w:numPr>
        <w:spacing w:after="60"/>
      </w:pPr>
      <w:r>
        <w:rPr>
          <w:rFonts w:ascii="Calibri" w:cs="Calibri" w:eastAsia="Calibri" w:hAnsi="Calibri"/>
          <w:sz w:val="21"/>
          <w:szCs w:val="21"/>
        </w:rPr>
        <w:t xml:space="preserve">I2. Historial de trabajos e ingresos.</w:t>
      </w:r>
    </w:p>
    <w:p>
      <w:pPr>
        <w:pStyle w:val="ListParagraph"/>
        <w:numPr>
          <w:ilvl w:val="0"/>
          <w:numId w:val="2"/>
        </w:numPr>
        <w:spacing w:after="60"/>
      </w:pPr>
      <w:r>
        <w:rPr>
          <w:rFonts w:ascii="Calibri" w:cs="Calibri" w:eastAsia="Calibri" w:hAnsi="Calibri"/>
          <w:sz w:val="21"/>
          <w:szCs w:val="21"/>
        </w:rPr>
        <w:t xml:space="preserve">I3. Métricas básicas: conversión, tiempo de respuesta.</w:t>
      </w:r>
    </w:p>
    <w:p>
      <w:pPr>
        <w:pStyle w:val="Heading3"/>
        <w:spacing w:after="100" w:before="220"/>
      </w:pPr>
      <w:r>
        <w:t xml:space="preserve">Épica J — Backoffice interno (P0, versión mínima)</w:t>
      </w:r>
    </w:p>
    <w:p>
      <w:pPr>
        <w:pStyle w:val="ListParagraph"/>
        <w:numPr>
          <w:ilvl w:val="0"/>
          <w:numId w:val="2"/>
        </w:numPr>
        <w:spacing w:after="60"/>
      </w:pPr>
      <w:r>
        <w:rPr>
          <w:rFonts w:ascii="Calibri" w:cs="Calibri" w:eastAsia="Calibri" w:hAnsi="Calibri"/>
          <w:sz w:val="21"/>
          <w:szCs w:val="21"/>
        </w:rPr>
        <w:t xml:space="preserve">J1. Moderación de perfiles y disputas.</w:t>
      </w:r>
    </w:p>
    <w:p>
      <w:pPr>
        <w:pStyle w:val="ListParagraph"/>
        <w:numPr>
          <w:ilvl w:val="0"/>
          <w:numId w:val="2"/>
        </w:numPr>
        <w:spacing w:after="60"/>
      </w:pPr>
      <w:r>
        <w:rPr>
          <w:rFonts w:ascii="Calibri" w:cs="Calibri" w:eastAsia="Calibri" w:hAnsi="Calibri"/>
          <w:sz w:val="21"/>
          <w:szCs w:val="21"/>
        </w:rPr>
        <w:t xml:space="preserve">J2. Panel de "salud del marketplace" (proveedores activos : solicitudes por categoría/zona).</w:t>
      </w:r>
    </w:p>
    <w:p>
      <w:pPr>
        <w:pStyle w:val="Heading1"/>
        <w:spacing w:after="200" w:before="400"/>
      </w:pPr>
      <w:r>
        <w:t xml:space="preserve">8. Fases de entrega — resumen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700"/>
        <w:gridCol w:w="2700"/>
      </w:tblGrid>
      <w:tr>
        <w:trPr>
          <w:tblHeader/>
        </w:trPr>
        <w:tc>
          <w:tcPr>
            <w:tcW w:type="dxa" w:w="22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Fase</w:t>
            </w:r>
          </w:p>
        </w:tc>
        <w:tc>
          <w:tcPr>
            <w:tcW w:type="dxa" w:w="22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Duración</w:t>
            </w:r>
          </w:p>
        </w:tc>
        <w:tc>
          <w:tcPr>
            <w:tcW w:type="dxa" w:w="37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Contenido</w:t>
            </w:r>
          </w:p>
        </w:tc>
        <w:tc>
          <w:tcPr>
            <w:tcW w:type="dxa" w:w="27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Criterio de salida</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Fase 0 — Fundación</w:t>
            </w:r>
          </w:p>
        </w:tc>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2 semanas</w:t>
            </w:r>
          </w:p>
        </w:tc>
        <w:tc>
          <w:tcPr>
            <w:tcW w:type="dxa" w:w="3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Infraestructura, CI/CD, auth base, sandbox de integraciones</w:t>
            </w:r>
          </w:p>
        </w:tc>
        <w:tc>
          <w:tcPr>
            <w:tcW w:type="dxa" w:w="2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Entorno listo para desarrollar producto</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Fase 1 — MVP</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12 semanas (6 sprints)</w:t>
            </w:r>
          </w:p>
        </w:tc>
        <w:tc>
          <w:tcPr>
            <w:tcW w:type="dxa" w:w="3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Épicas A–J, 1 ciudad, 3–5 categorías</w:t>
            </w:r>
          </w:p>
        </w:tc>
        <w:tc>
          <w:tcPr>
            <w:tcW w:type="dxa" w:w="2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Flujo feliz completo sin intervención manual</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Fase 2 — Consolidación</w:t>
            </w:r>
          </w:p>
        </w:tc>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12 semanas (6 sprints)</w:t>
            </w:r>
          </w:p>
        </w:tc>
        <w:tc>
          <w:tcPr>
            <w:tcW w:type="dxa" w:w="3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Niveles, IA, CRM avanzado, referidos, expansión</w:t>
            </w:r>
          </w:p>
        </w:tc>
        <w:tc>
          <w:tcPr>
            <w:tcW w:type="dxa" w:w="2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Retención de proveedor &gt; 50% a 90 días</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Fase 3 — Escala</w:t>
            </w:r>
          </w:p>
        </w:tc>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Roadmap trimestral</w:t>
            </w:r>
          </w:p>
        </w:tc>
        <w:tc>
          <w:tcPr>
            <w:tcW w:type="dxa" w:w="3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Financiamiento, marketplace de materiales, seguros, multi-país</w:t>
            </w:r>
          </w:p>
        </w:tc>
        <w:tc>
          <w:tcPr>
            <w:tcW w:type="dxa" w:w="27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Definido por tracción real del MVP</w:t>
            </w:r>
          </w:p>
        </w:tc>
      </w:tr>
    </w:tbl>
    <w:p>
      <w:r>
        <w:br w:type="page"/>
      </w:r>
    </w:p>
    <w:p>
      <w:pPr>
        <w:pStyle w:val="Heading1"/>
        <w:spacing w:after="200" w:before="400"/>
      </w:pPr>
      <w:r>
        <w:t xml:space="preserve">9. Cronograma detallado por sprint</w:t>
      </w:r>
    </w:p>
    <w:p>
      <w:pPr>
        <w:spacing w:after="140"/>
      </w:pPr>
      <w:r>
        <w:rPr>
          <w:rFonts w:ascii="Calibri" w:cs="Calibri" w:eastAsia="Calibri" w:hAnsi="Calibri"/>
          <w:sz w:val="21"/>
          <w:szCs w:val="21"/>
        </w:rPr>
        <w:t xml:space="preserve">Cada sprint dura dos semanas. La estructura es Etapa → Subetapa → Subtarea, con un criterio explícito de "hecho" (Definition of Done) para evitar sprints que se alargan sin cierre claro. La tabla siguiente da la vista de calendario; el detalle de cada sprint sigue a continuación.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400"/>
      </w:tblGrid>
      <w:tr>
        <w:trPr>
          <w:tblHeader/>
        </w:trPr>
        <w:tc>
          <w:tcPr>
            <w:tcW w:type="dxa" w:w="26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Sprint</w:t>
            </w:r>
          </w:p>
        </w:tc>
        <w:tc>
          <w:tcPr>
            <w:tcW w:type="dxa" w:w="14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Semanas</w:t>
            </w:r>
          </w:p>
        </w:tc>
        <w:tc>
          <w:tcPr>
            <w:tcW w:type="dxa" w:w="14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Fase</w:t>
            </w:r>
          </w:p>
        </w:tc>
        <w:tc>
          <w:tcPr>
            <w:tcW w:type="dxa" w:w="34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Foco principal</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Sprint 0</w:t>
            </w:r>
          </w:p>
        </w:tc>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1–2</w:t>
            </w:r>
          </w:p>
        </w:tc>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Fase 0</w:t>
            </w:r>
          </w:p>
        </w:tc>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Fundación técnica</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Sprint 1</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3–4</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Fase 1</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Identidad, verificación y perfiles</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Sprint 2</w:t>
            </w:r>
          </w:p>
        </w:tc>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5–6</w:t>
            </w:r>
          </w:p>
        </w:tc>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Fase 1</w:t>
            </w:r>
          </w:p>
        </w:tc>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Catálogo y matching</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Sprint 3</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7–8</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Fase 1</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Cotización, mensajería y anti-fuga</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Sprint 4</w:t>
            </w:r>
          </w:p>
        </w:tc>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9–10</w:t>
            </w:r>
          </w:p>
        </w:tc>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Fase 1</w:t>
            </w:r>
          </w:p>
        </w:tc>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Pagos y escrow</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Sprint 5</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11–12</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Fase 1</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Ejecución del trabajo y reputación</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Sprint 6</w:t>
            </w:r>
          </w:p>
        </w:tc>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13–14</w:t>
            </w:r>
          </w:p>
        </w:tc>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Fase 1</w:t>
            </w:r>
          </w:p>
        </w:tc>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Panel de negocio, backoffice y QA de lanzamiento</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 Lanzamiento piloto MVP —</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15</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1 ciudad, 3–5 categorías</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Sprint 7</w:t>
            </w:r>
          </w:p>
        </w:tc>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16–17</w:t>
            </w:r>
          </w:p>
        </w:tc>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Fase 2</w:t>
            </w:r>
          </w:p>
        </w:tc>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Niveles, comisión decreciente y pagos por etapas</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Sprint 8</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18–19</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Fase 2</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Cotizaciones asistidas por IA</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Sprint 9</w:t>
            </w:r>
          </w:p>
        </w:tc>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20–21</w:t>
            </w:r>
          </w:p>
        </w:tc>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Fase 2</w:t>
            </w:r>
          </w:p>
        </w:tc>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CRM y facturación avanzada para proveedores</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Sprint 10</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22–23</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Fase 2</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Referidos y expansión de categorías</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Sprint 11</w:t>
            </w:r>
          </w:p>
        </w:tc>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24–25</w:t>
            </w:r>
          </w:p>
        </w:tc>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Fase 2</w:t>
            </w:r>
          </w:p>
        </w:tc>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Seguimiento en tiempo real y traducción de chat</w:t>
            </w:r>
          </w:p>
        </w:tc>
      </w:tr>
      <w:tr>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Sprint 12</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26–27</w:t>
            </w:r>
          </w:p>
        </w:tc>
        <w:tc>
          <w:tcPr>
            <w:tcW w:type="dxa" w:w="1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Fase 2</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Hardening, performance y preparación de escala</w:t>
            </w:r>
          </w:p>
        </w:tc>
      </w:tr>
    </w:tbl>
    <w:p>
      <w:pPr>
        <w:spacing w:after="140"/>
      </w:pPr>
      <w:r>
        <w:rPr>
          <w:rFonts w:ascii="Calibri" w:cs="Calibri" w:eastAsia="Calibri" w:hAnsi="Calibri"/>
          <w:sz w:val="21"/>
          <w:szCs w:val="21"/>
        </w:rPr>
        <w:t xml:space="preserve">Nota de calendario: si el equipo de ingeniería es de una sola persona (como es el caso actual), cada sprint de 2 semanas debe tratarse como orientativo — el criterio de avance real es el Definition of Done de cada sprint, no la fecha en el calendario. Es preferible extender un sprint que lanzar con la Épica de pagos o anti-fuga incompleta.</w:t>
      </w:r>
    </w:p>
    <w:p>
      <w:r>
        <w:br w:type="page"/>
      </w:r>
    </w:p>
    <w:p>
      <w:pPr>
        <w:pStyle w:val="Heading2"/>
        <w:spacing w:after="60" w:before="100"/>
      </w:pPr>
      <w:r>
        <w:rPr>
          <w:rFonts w:ascii="Calibri" w:cs="Calibri" w:eastAsia="Calibri" w:hAnsi="Calibri"/>
          <w:b/>
          <w:bCs/>
          <w:color w:val="1F3A5F"/>
          <w:sz w:val="27"/>
          <w:szCs w:val="27"/>
        </w:rPr>
        <w:t xml:space="preserve">Sprint 0 — Fundación técnica</w:t>
      </w:r>
    </w:p>
    <w:p>
      <w:pPr>
        <w:spacing w:after="140"/>
      </w:pPr>
      <w:r>
        <w:rPr>
          <w:rFonts w:ascii="Calibri" w:cs="Calibri" w:eastAsia="Calibri" w:hAnsi="Calibri"/>
          <w:i/>
          <w:iCs/>
          <w:color w:val="5A5A5A"/>
          <w:sz w:val="19"/>
          <w:szCs w:val="19"/>
        </w:rPr>
        <w:t xml:space="preserve">Semanas 1–2  ·  Fase 0  ·  Épicas: prerrequisito (ninguna épica de producto)</w:t>
      </w:r>
    </w:p>
    <w:p>
      <w:pPr>
        <w:spacing w:after="140"/>
      </w:pPr>
      <w:r>
        <w:rPr>
          <w:rFonts w:ascii="Calibri" w:cs="Calibri" w:eastAsia="Calibri" w:hAnsi="Calibri"/>
          <w:b w:val="false"/>
          <w:bCs w:val="false"/>
          <w:sz w:val="21"/>
          <w:szCs w:val="21"/>
        </w:rPr>
        <w:t xml:space="preserve">Dejar el entorno de desarrollo, integraciones sandbox y esqueleto de la aplicación listos para empezar a construir producto sin fricción.</w:t>
      </w:r>
    </w:p>
    <w:p>
      <w:pPr>
        <w:spacing w:after="80" w:before="160"/>
      </w:pPr>
      <w:r>
        <w:rPr>
          <w:rFonts w:ascii="Calibri" w:cs="Calibri" w:eastAsia="Calibri" w:hAnsi="Calibri"/>
          <w:b/>
          <w:bCs/>
          <w:color w:val="1F3A5F"/>
          <w:sz w:val="22"/>
          <w:szCs w:val="22"/>
        </w:rPr>
        <w:t xml:space="preserve">Criterio de salida del sprint (Definition of Done)</w:t>
      </w:r>
    </w:p>
    <w:p>
      <w:pPr>
        <w:spacing w:after="140"/>
      </w:pPr>
      <w:r>
        <w:rPr>
          <w:rFonts w:ascii="Calibri" w:cs="Calibri" w:eastAsia="Calibri" w:hAnsi="Calibri"/>
          <w:sz w:val="21"/>
          <w:szCs w:val="21"/>
        </w:rPr>
        <w:t xml:space="preserve">Un desarrollador puede clonar el repo, levantar el entorno local con un comando, correr la suite de pruebas (aunque esté vacía) y ver un despliegue automático en staging al hacer merge a main.</w:t>
      </w:r>
    </w:p>
    <w:p>
      <w:pPr>
        <w:pStyle w:val="Heading3"/>
        <w:spacing w:after="100" w:before="220"/>
      </w:pPr>
      <w:r>
        <w:t xml:space="preserve">Etapa 1 — Infraestructura base</w:t>
      </w:r>
    </w:p>
    <w:p>
      <w:pPr>
        <w:spacing w:after="80" w:before="160"/>
      </w:pPr>
      <w:r>
        <w:rPr>
          <w:rFonts w:ascii="Calibri" w:cs="Calibri" w:eastAsia="Calibri" w:hAnsi="Calibri"/>
          <w:b/>
          <w:bCs/>
          <w:color w:val="1F3A5F"/>
          <w:sz w:val="22"/>
          <w:szCs w:val="22"/>
        </w:rPr>
        <w:t xml:space="preserve">Subetapa 1.1 — Repositorios y entornos</w:t>
      </w:r>
    </w:p>
    <w:p>
      <w:pPr>
        <w:pStyle w:val="ListParagraph"/>
        <w:numPr>
          <w:ilvl w:val="0"/>
          <w:numId w:val="3"/>
        </w:numPr>
        <w:spacing w:after="50"/>
      </w:pPr>
      <w:r>
        <w:rPr>
          <w:rFonts w:ascii="Calibri" w:cs="Calibri" w:eastAsia="Calibri" w:hAnsi="Calibri"/>
          <w:sz w:val="20"/>
          <w:szCs w:val="20"/>
        </w:rPr>
        <w:t xml:space="preserve">Crear repositorio (monorepo backend + frontend cliente + frontend proveedor)</w:t>
      </w:r>
    </w:p>
    <w:p>
      <w:pPr>
        <w:pStyle w:val="ListParagraph"/>
        <w:numPr>
          <w:ilvl w:val="0"/>
          <w:numId w:val="3"/>
        </w:numPr>
        <w:spacing w:after="50"/>
      </w:pPr>
      <w:r>
        <w:rPr>
          <w:rFonts w:ascii="Calibri" w:cs="Calibri" w:eastAsia="Calibri" w:hAnsi="Calibri"/>
          <w:sz w:val="20"/>
          <w:szCs w:val="20"/>
        </w:rPr>
        <w:t xml:space="preserve">Configurar variables de entorno separadas: dev, staging, producción</w:t>
      </w:r>
    </w:p>
    <w:p>
      <w:pPr>
        <w:pStyle w:val="ListParagraph"/>
        <w:numPr>
          <w:ilvl w:val="0"/>
          <w:numId w:val="3"/>
        </w:numPr>
        <w:spacing w:after="50"/>
      </w:pPr>
      <w:r>
        <w:rPr>
          <w:rFonts w:ascii="Calibri" w:cs="Calibri" w:eastAsia="Calibri" w:hAnsi="Calibri"/>
          <w:sz w:val="20"/>
          <w:szCs w:val="20"/>
        </w:rPr>
        <w:t xml:space="preserve">Definir estructura de carpetas por módulo (identity, matching, billing, messaging, reputation)</w:t>
      </w:r>
    </w:p>
    <w:p>
      <w:pPr>
        <w:pStyle w:val="ListParagraph"/>
        <w:numPr>
          <w:ilvl w:val="0"/>
          <w:numId w:val="3"/>
        </w:numPr>
        <w:spacing w:after="50"/>
      </w:pPr>
      <w:r>
        <w:rPr>
          <w:rFonts w:ascii="Calibri" w:cs="Calibri" w:eastAsia="Calibri" w:hAnsi="Calibri"/>
          <w:sz w:val="20"/>
          <w:szCs w:val="20"/>
        </w:rPr>
        <w:t xml:space="preserve">Documentar el setup local en README (para retomar el proyecto sin fricción)</w:t>
      </w:r>
    </w:p>
    <w:p>
      <w:pPr>
        <w:spacing w:after="80" w:before="160"/>
      </w:pPr>
      <w:r>
        <w:rPr>
          <w:rFonts w:ascii="Calibri" w:cs="Calibri" w:eastAsia="Calibri" w:hAnsi="Calibri"/>
          <w:b/>
          <w:bCs/>
          <w:color w:val="1F3A5F"/>
          <w:sz w:val="22"/>
          <w:szCs w:val="22"/>
        </w:rPr>
        <w:t xml:space="preserve">Subetapa 1.2 — CI/CD</w:t>
      </w:r>
    </w:p>
    <w:p>
      <w:pPr>
        <w:pStyle w:val="ListParagraph"/>
        <w:numPr>
          <w:ilvl w:val="0"/>
          <w:numId w:val="3"/>
        </w:numPr>
        <w:spacing w:after="50"/>
      </w:pPr>
      <w:r>
        <w:rPr>
          <w:rFonts w:ascii="Calibri" w:cs="Calibri" w:eastAsia="Calibri" w:hAnsi="Calibri"/>
          <w:sz w:val="20"/>
          <w:szCs w:val="20"/>
        </w:rPr>
        <w:t xml:space="preserve">Configurar pipeline (GitHub Actions) con lint + tests en cada PR</w:t>
      </w:r>
    </w:p>
    <w:p>
      <w:pPr>
        <w:pStyle w:val="ListParagraph"/>
        <w:numPr>
          <w:ilvl w:val="0"/>
          <w:numId w:val="3"/>
        </w:numPr>
        <w:spacing w:after="50"/>
      </w:pPr>
      <w:r>
        <w:rPr>
          <w:rFonts w:ascii="Calibri" w:cs="Calibri" w:eastAsia="Calibri" w:hAnsi="Calibri"/>
          <w:sz w:val="20"/>
          <w:szCs w:val="20"/>
        </w:rPr>
        <w:t xml:space="preserve">Configurar despliegue automático a staging al hacer merge a main</w:t>
      </w:r>
    </w:p>
    <w:p>
      <w:pPr>
        <w:pStyle w:val="ListParagraph"/>
        <w:numPr>
          <w:ilvl w:val="0"/>
          <w:numId w:val="3"/>
        </w:numPr>
        <w:spacing w:after="50"/>
      </w:pPr>
      <w:r>
        <w:rPr>
          <w:rFonts w:ascii="Calibri" w:cs="Calibri" w:eastAsia="Calibri" w:hAnsi="Calibri"/>
          <w:sz w:val="20"/>
          <w:szCs w:val="20"/>
        </w:rPr>
        <w:t xml:space="preserve">Configurar despliegue manual (con aprobación) a producción</w:t>
      </w:r>
    </w:p>
    <w:p>
      <w:pPr>
        <w:spacing w:after="80" w:before="160"/>
      </w:pPr>
      <w:r>
        <w:rPr>
          <w:rFonts w:ascii="Calibri" w:cs="Calibri" w:eastAsia="Calibri" w:hAnsi="Calibri"/>
          <w:b/>
          <w:bCs/>
          <w:color w:val="1F3A5F"/>
          <w:sz w:val="22"/>
          <w:szCs w:val="22"/>
        </w:rPr>
        <w:t xml:space="preserve">Subetapa 1.3 — Observabilidad</w:t>
      </w:r>
    </w:p>
    <w:p>
      <w:pPr>
        <w:pStyle w:val="ListParagraph"/>
        <w:numPr>
          <w:ilvl w:val="0"/>
          <w:numId w:val="3"/>
        </w:numPr>
        <w:spacing w:after="50"/>
      </w:pPr>
      <w:r>
        <w:rPr>
          <w:rFonts w:ascii="Calibri" w:cs="Calibri" w:eastAsia="Calibri" w:hAnsi="Calibri"/>
          <w:sz w:val="20"/>
          <w:szCs w:val="20"/>
        </w:rPr>
        <w:t xml:space="preserve">Integrar Sentry en backend y en ambos frontends</w:t>
      </w:r>
    </w:p>
    <w:p>
      <w:pPr>
        <w:pStyle w:val="ListParagraph"/>
        <w:numPr>
          <w:ilvl w:val="0"/>
          <w:numId w:val="3"/>
        </w:numPr>
        <w:spacing w:after="50"/>
      </w:pPr>
      <w:r>
        <w:rPr>
          <w:rFonts w:ascii="Calibri" w:cs="Calibri" w:eastAsia="Calibri" w:hAnsi="Calibri"/>
          <w:sz w:val="20"/>
          <w:szCs w:val="20"/>
        </w:rPr>
        <w:t xml:space="preserve">Definir formato de logs estructurados (JSON) con booking_id como campo de correlación</w:t>
      </w:r>
    </w:p>
    <w:p>
      <w:pPr>
        <w:pStyle w:val="ListParagraph"/>
        <w:numPr>
          <w:ilvl w:val="0"/>
          <w:numId w:val="3"/>
        </w:numPr>
        <w:spacing w:after="50"/>
      </w:pPr>
      <w:r>
        <w:rPr>
          <w:rFonts w:ascii="Calibri" w:cs="Calibri" w:eastAsia="Calibri" w:hAnsi="Calibri"/>
          <w:sz w:val="20"/>
          <w:szCs w:val="20"/>
        </w:rPr>
        <w:t xml:space="preserve">Configurar alertas básicas (errores 5xx, caída de servicio)</w:t>
      </w:r>
    </w:p>
    <w:p>
      <w:pPr>
        <w:pStyle w:val="Heading3"/>
        <w:spacing w:after="100" w:before="220"/>
      </w:pPr>
      <w:r>
        <w:t xml:space="preserve">Etapa 2 — Esquema base y autenticación</w:t>
      </w:r>
    </w:p>
    <w:p>
      <w:pPr>
        <w:spacing w:after="80" w:before="160"/>
      </w:pPr>
      <w:r>
        <w:rPr>
          <w:rFonts w:ascii="Calibri" w:cs="Calibri" w:eastAsia="Calibri" w:hAnsi="Calibri"/>
          <w:b/>
          <w:bCs/>
          <w:color w:val="1F3A5F"/>
          <w:sz w:val="22"/>
          <w:szCs w:val="22"/>
        </w:rPr>
        <w:t xml:space="preserve">Subetapa 2.1 — Modelo de datos inicial</w:t>
      </w:r>
    </w:p>
    <w:p>
      <w:pPr>
        <w:pStyle w:val="ListParagraph"/>
        <w:numPr>
          <w:ilvl w:val="0"/>
          <w:numId w:val="3"/>
        </w:numPr>
        <w:spacing w:after="50"/>
      </w:pPr>
      <w:r>
        <w:rPr>
          <w:rFonts w:ascii="Calibri" w:cs="Calibri" w:eastAsia="Calibri" w:hAnsi="Calibri"/>
          <w:sz w:val="20"/>
          <w:szCs w:val="20"/>
        </w:rPr>
        <w:t xml:space="preserve">Crear colecciones users y categories en MongoDB con índices base</w:t>
      </w:r>
    </w:p>
    <w:p>
      <w:pPr>
        <w:pStyle w:val="ListParagraph"/>
        <w:numPr>
          <w:ilvl w:val="0"/>
          <w:numId w:val="3"/>
        </w:numPr>
        <w:spacing w:after="50"/>
      </w:pPr>
      <w:r>
        <w:rPr>
          <w:rFonts w:ascii="Calibri" w:cs="Calibri" w:eastAsia="Calibri" w:hAnsi="Calibri"/>
          <w:sz w:val="20"/>
          <w:szCs w:val="20"/>
        </w:rPr>
        <w:t xml:space="preserve">Cargar 3–5 categorías iniciales con attributes_schema definido (dato, no código)</w:t>
      </w:r>
    </w:p>
    <w:p>
      <w:pPr>
        <w:pStyle w:val="ListParagraph"/>
        <w:numPr>
          <w:ilvl w:val="0"/>
          <w:numId w:val="3"/>
        </w:numPr>
        <w:spacing w:after="50"/>
      </w:pPr>
      <w:r>
        <w:rPr>
          <w:rFonts w:ascii="Calibri" w:cs="Calibri" w:eastAsia="Calibri" w:hAnsi="Calibri"/>
          <w:sz w:val="20"/>
          <w:szCs w:val="20"/>
        </w:rPr>
        <w:t xml:space="preserve">Definir convención de migraciones versionadas para cambios de esquema futuros</w:t>
      </w:r>
    </w:p>
    <w:p>
      <w:pPr>
        <w:spacing w:after="80" w:before="160"/>
      </w:pPr>
      <w:r>
        <w:rPr>
          <w:rFonts w:ascii="Calibri" w:cs="Calibri" w:eastAsia="Calibri" w:hAnsi="Calibri"/>
          <w:b/>
          <w:bCs/>
          <w:color w:val="1F3A5F"/>
          <w:sz w:val="22"/>
          <w:szCs w:val="22"/>
        </w:rPr>
        <w:t xml:space="preserve">Subetapa 2.2 — Autenticación</w:t>
      </w:r>
    </w:p>
    <w:p>
      <w:pPr>
        <w:pStyle w:val="ListParagraph"/>
        <w:numPr>
          <w:ilvl w:val="0"/>
          <w:numId w:val="3"/>
        </w:numPr>
        <w:spacing w:after="50"/>
      </w:pPr>
      <w:r>
        <w:rPr>
          <w:rFonts w:ascii="Calibri" w:cs="Calibri" w:eastAsia="Calibri" w:hAnsi="Calibri"/>
          <w:sz w:val="20"/>
          <w:szCs w:val="20"/>
        </w:rPr>
        <w:t xml:space="preserve">Registro/login por email y teléfono con verificación OTP</w:t>
      </w:r>
    </w:p>
    <w:p>
      <w:pPr>
        <w:pStyle w:val="ListParagraph"/>
        <w:numPr>
          <w:ilvl w:val="0"/>
          <w:numId w:val="3"/>
        </w:numPr>
        <w:spacing w:after="50"/>
      </w:pPr>
      <w:r>
        <w:rPr>
          <w:rFonts w:ascii="Calibri" w:cs="Calibri" w:eastAsia="Calibri" w:hAnsi="Calibri"/>
          <w:sz w:val="20"/>
          <w:szCs w:val="20"/>
        </w:rPr>
        <w:t xml:space="preserve">Emisión de JWT y middleware de autenticación en FastAPI</w:t>
      </w:r>
    </w:p>
    <w:p>
      <w:pPr>
        <w:pStyle w:val="ListParagraph"/>
        <w:numPr>
          <w:ilvl w:val="0"/>
          <w:numId w:val="3"/>
        </w:numPr>
        <w:spacing w:after="50"/>
      </w:pPr>
      <w:r>
        <w:rPr>
          <w:rFonts w:ascii="Calibri" w:cs="Calibri" w:eastAsia="Calibri" w:hAnsi="Calibri"/>
          <w:sz w:val="20"/>
          <w:szCs w:val="20"/>
        </w:rPr>
        <w:t xml:space="preserve">Modelo de roles: client, provider, both, admin</w:t>
      </w:r>
    </w:p>
    <w:p>
      <w:pPr>
        <w:pStyle w:val="Heading3"/>
        <w:spacing w:after="100" w:before="220"/>
      </w:pPr>
      <w:r>
        <w:t xml:space="preserve">Etapa 3 — Integraciones en modo sandbox</w:t>
      </w:r>
    </w:p>
    <w:p>
      <w:pPr>
        <w:spacing w:after="80" w:before="160"/>
      </w:pPr>
      <w:r>
        <w:rPr>
          <w:rFonts w:ascii="Calibri" w:cs="Calibri" w:eastAsia="Calibri" w:hAnsi="Calibri"/>
          <w:b/>
          <w:bCs/>
          <w:color w:val="1F3A5F"/>
          <w:sz w:val="22"/>
          <w:szCs w:val="22"/>
        </w:rPr>
        <w:t xml:space="preserve">Subetapa 3.1 — Pagos</w:t>
      </w:r>
    </w:p>
    <w:p>
      <w:pPr>
        <w:pStyle w:val="ListParagraph"/>
        <w:numPr>
          <w:ilvl w:val="0"/>
          <w:numId w:val="3"/>
        </w:numPr>
        <w:spacing w:after="50"/>
      </w:pPr>
      <w:r>
        <w:rPr>
          <w:rFonts w:ascii="Calibri" w:cs="Calibri" w:eastAsia="Calibri" w:hAnsi="Calibri"/>
          <w:sz w:val="20"/>
          <w:szCs w:val="20"/>
        </w:rPr>
        <w:t xml:space="preserve">Crear cuenta de prueba de Stripe Connect (o Mercado Pago según mercado elegido)</w:t>
      </w:r>
    </w:p>
    <w:p>
      <w:pPr>
        <w:pStyle w:val="ListParagraph"/>
        <w:numPr>
          <w:ilvl w:val="0"/>
          <w:numId w:val="3"/>
        </w:numPr>
        <w:spacing w:after="50"/>
      </w:pPr>
      <w:r>
        <w:rPr>
          <w:rFonts w:ascii="Calibri" w:cs="Calibri" w:eastAsia="Calibri" w:hAnsi="Calibri"/>
          <w:sz w:val="20"/>
          <w:szCs w:val="20"/>
        </w:rPr>
        <w:t xml:space="preserve">Validar flujo de onboarding de cuenta conectada en modo test</w:t>
      </w:r>
    </w:p>
    <w:p>
      <w:pPr>
        <w:spacing w:after="80" w:before="160"/>
      </w:pPr>
      <w:r>
        <w:rPr>
          <w:rFonts w:ascii="Calibri" w:cs="Calibri" w:eastAsia="Calibri" w:hAnsi="Calibri"/>
          <w:b/>
          <w:bCs/>
          <w:color w:val="1F3A5F"/>
          <w:sz w:val="22"/>
          <w:szCs w:val="22"/>
        </w:rPr>
        <w:t xml:space="preserve">Subetapa 3.2 — Comunicaciones</w:t>
      </w:r>
    </w:p>
    <w:p>
      <w:pPr>
        <w:pStyle w:val="ListParagraph"/>
        <w:numPr>
          <w:ilvl w:val="0"/>
          <w:numId w:val="3"/>
        </w:numPr>
        <w:spacing w:after="50"/>
      </w:pPr>
      <w:r>
        <w:rPr>
          <w:rFonts w:ascii="Calibri" w:cs="Calibri" w:eastAsia="Calibri" w:hAnsi="Calibri"/>
          <w:sz w:val="20"/>
          <w:szCs w:val="20"/>
        </w:rPr>
        <w:t xml:space="preserve">Configurar Twilio en modo test (Proxy para números enmascarados, SMS para OTP)</w:t>
      </w:r>
    </w:p>
    <w:p>
      <w:pPr>
        <w:pStyle w:val="ListParagraph"/>
        <w:numPr>
          <w:ilvl w:val="0"/>
          <w:numId w:val="3"/>
        </w:numPr>
        <w:spacing w:after="50"/>
      </w:pPr>
      <w:r>
        <w:rPr>
          <w:rFonts w:ascii="Calibri" w:cs="Calibri" w:eastAsia="Calibri" w:hAnsi="Calibri"/>
          <w:sz w:val="20"/>
          <w:szCs w:val="20"/>
        </w:rPr>
        <w:t xml:space="preserve">Configurar proveedor de email transaccional (SES/Resend) en modo sandbox</w:t>
      </w:r>
    </w:p>
    <w:p>
      <w:pPr>
        <w:spacing w:after="80" w:before="160"/>
      </w:pPr>
      <w:r>
        <w:rPr>
          <w:rFonts w:ascii="Calibri" w:cs="Calibri" w:eastAsia="Calibri" w:hAnsi="Calibri"/>
          <w:b/>
          <w:bCs/>
          <w:color w:val="1F3A5F"/>
          <w:sz w:val="22"/>
          <w:szCs w:val="22"/>
        </w:rPr>
        <w:t xml:space="preserve">Subetapa 3.3 — Mapas</w:t>
      </w:r>
    </w:p>
    <w:p>
      <w:pPr>
        <w:pStyle w:val="ListParagraph"/>
        <w:numPr>
          <w:ilvl w:val="0"/>
          <w:numId w:val="3"/>
        </w:numPr>
        <w:spacing w:after="50"/>
      </w:pPr>
      <w:r>
        <w:rPr>
          <w:rFonts w:ascii="Calibri" w:cs="Calibri" w:eastAsia="Calibri" w:hAnsi="Calibri"/>
          <w:sz w:val="20"/>
          <w:szCs w:val="20"/>
        </w:rPr>
        <w:t xml:space="preserve">Configurar API key de Google Maps con restricciones de dominio</w:t>
      </w:r>
    </w:p>
    <w:p>
      <w:pPr>
        <w:pStyle w:val="ListParagraph"/>
        <w:numPr>
          <w:ilvl w:val="0"/>
          <w:numId w:val="3"/>
        </w:numPr>
        <w:spacing w:after="50"/>
      </w:pPr>
      <w:r>
        <w:rPr>
          <w:rFonts w:ascii="Calibri" w:cs="Calibri" w:eastAsia="Calibri" w:hAnsi="Calibri"/>
          <w:sz w:val="20"/>
          <w:szCs w:val="20"/>
        </w:rPr>
        <w:t xml:space="preserve">Reutilizar patrón de caché de geocodificación ya implementado en VFL</w:t>
      </w:r>
    </w:p>
    <w:p>
      <w:r>
        <w:br w:type="page"/>
      </w:r>
    </w:p>
    <w:p>
      <w:pPr>
        <w:pStyle w:val="Heading2"/>
        <w:spacing w:after="60" w:before="100"/>
      </w:pPr>
      <w:r>
        <w:rPr>
          <w:rFonts w:ascii="Calibri" w:cs="Calibri" w:eastAsia="Calibri" w:hAnsi="Calibri"/>
          <w:b/>
          <w:bCs/>
          <w:color w:val="1F3A5F"/>
          <w:sz w:val="27"/>
          <w:szCs w:val="27"/>
        </w:rPr>
        <w:t xml:space="preserve">Sprint 1 — Identidad, verificación y perfiles</w:t>
      </w:r>
    </w:p>
    <w:p>
      <w:pPr>
        <w:spacing w:after="140"/>
      </w:pPr>
      <w:r>
        <w:rPr>
          <w:rFonts w:ascii="Calibri" w:cs="Calibri" w:eastAsia="Calibri" w:hAnsi="Calibri"/>
          <w:i/>
          <w:iCs/>
          <w:color w:val="5A5A5A"/>
          <w:sz w:val="19"/>
          <w:szCs w:val="19"/>
        </w:rPr>
        <w:t xml:space="preserve">Semanas 3–4  ·  Fase 1 (MVP)  ·  Épicas: Épica A</w:t>
      </w:r>
    </w:p>
    <w:p>
      <w:pPr>
        <w:spacing w:after="140"/>
      </w:pPr>
      <w:r>
        <w:rPr>
          <w:rFonts w:ascii="Calibri" w:cs="Calibri" w:eastAsia="Calibri" w:hAnsi="Calibri"/>
          <w:b w:val="false"/>
          <w:bCs w:val="false"/>
          <w:sz w:val="21"/>
          <w:szCs w:val="21"/>
        </w:rPr>
        <w:t xml:space="preserve">Cliente y proveedor pueden registrarse, verificar su identidad y completar un perfil utilizable por el motor de matching.</w:t>
      </w:r>
    </w:p>
    <w:p>
      <w:pPr>
        <w:spacing w:after="80" w:before="160"/>
      </w:pPr>
      <w:r>
        <w:rPr>
          <w:rFonts w:ascii="Calibri" w:cs="Calibri" w:eastAsia="Calibri" w:hAnsi="Calibri"/>
          <w:b/>
          <w:bCs/>
          <w:color w:val="1F3A5F"/>
          <w:sz w:val="22"/>
          <w:szCs w:val="22"/>
        </w:rPr>
        <w:t xml:space="preserve">Criterio de salida del sprint (Definition of Done)</w:t>
      </w:r>
    </w:p>
    <w:p>
      <w:pPr>
        <w:spacing w:after="140"/>
      </w:pPr>
      <w:r>
        <w:rPr>
          <w:rFonts w:ascii="Calibri" w:cs="Calibri" w:eastAsia="Calibri" w:hAnsi="Calibri"/>
          <w:sz w:val="21"/>
          <w:szCs w:val="21"/>
        </w:rPr>
        <w:t xml:space="preserve">Un proveedor de prueba puede registrarse, pasar KYC en modo sandbox y quedar visible para el motor de matching con su categoría y zona de cobertura.</w:t>
      </w:r>
    </w:p>
    <w:p>
      <w:pPr>
        <w:pStyle w:val="Heading3"/>
        <w:spacing w:after="100" w:before="220"/>
      </w:pPr>
      <w:r>
        <w:t xml:space="preserve">Etapa 1 — Registro y verificación</w:t>
      </w:r>
    </w:p>
    <w:p>
      <w:pPr>
        <w:spacing w:after="80" w:before="160"/>
      </w:pPr>
      <w:r>
        <w:rPr>
          <w:rFonts w:ascii="Calibri" w:cs="Calibri" w:eastAsia="Calibri" w:hAnsi="Calibri"/>
          <w:b/>
          <w:bCs/>
          <w:color w:val="1F3A5F"/>
          <w:sz w:val="22"/>
          <w:szCs w:val="22"/>
        </w:rPr>
        <w:t xml:space="preserve">Subetapa 1.1 — Registro de cliente</w:t>
      </w:r>
    </w:p>
    <w:p>
      <w:pPr>
        <w:pStyle w:val="ListParagraph"/>
        <w:numPr>
          <w:ilvl w:val="0"/>
          <w:numId w:val="3"/>
        </w:numPr>
        <w:spacing w:after="50"/>
      </w:pPr>
      <w:r>
        <w:rPr>
          <w:rFonts w:ascii="Calibri" w:cs="Calibri" w:eastAsia="Calibri" w:hAnsi="Calibri"/>
          <w:sz w:val="20"/>
          <w:szCs w:val="20"/>
        </w:rPr>
        <w:t xml:space="preserve">Formulario de registro (email/teléfono)</w:t>
      </w:r>
    </w:p>
    <w:p>
      <w:pPr>
        <w:pStyle w:val="ListParagraph"/>
        <w:numPr>
          <w:ilvl w:val="0"/>
          <w:numId w:val="3"/>
        </w:numPr>
        <w:spacing w:after="50"/>
      </w:pPr>
      <w:r>
        <w:rPr>
          <w:rFonts w:ascii="Calibri" w:cs="Calibri" w:eastAsia="Calibri" w:hAnsi="Calibri"/>
          <w:sz w:val="20"/>
          <w:szCs w:val="20"/>
        </w:rPr>
        <w:t xml:space="preserve">Verificación OTP por SMS</w:t>
      </w:r>
    </w:p>
    <w:p>
      <w:pPr>
        <w:pStyle w:val="ListParagraph"/>
        <w:numPr>
          <w:ilvl w:val="0"/>
          <w:numId w:val="3"/>
        </w:numPr>
        <w:spacing w:after="50"/>
      </w:pPr>
      <w:r>
        <w:rPr>
          <w:rFonts w:ascii="Calibri" w:cs="Calibri" w:eastAsia="Calibri" w:hAnsi="Calibri"/>
          <w:sz w:val="20"/>
          <w:szCs w:val="20"/>
        </w:rPr>
        <w:t xml:space="preserve">Pantalla de bienvenida y selección de idioma (EN/ES)</w:t>
      </w:r>
    </w:p>
    <w:p>
      <w:pPr>
        <w:spacing w:after="80" w:before="160"/>
      </w:pPr>
      <w:r>
        <w:rPr>
          <w:rFonts w:ascii="Calibri" w:cs="Calibri" w:eastAsia="Calibri" w:hAnsi="Calibri"/>
          <w:b/>
          <w:bCs/>
          <w:color w:val="1F3A5F"/>
          <w:sz w:val="22"/>
          <w:szCs w:val="22"/>
        </w:rPr>
        <w:t xml:space="preserve">Subetapa 1.2 — Registro de proveedor</w:t>
      </w:r>
    </w:p>
    <w:p>
      <w:pPr>
        <w:pStyle w:val="ListParagraph"/>
        <w:numPr>
          <w:ilvl w:val="0"/>
          <w:numId w:val="3"/>
        </w:numPr>
        <w:spacing w:after="50"/>
      </w:pPr>
      <w:r>
        <w:rPr>
          <w:rFonts w:ascii="Calibri" w:cs="Calibri" w:eastAsia="Calibri" w:hAnsi="Calibri"/>
          <w:sz w:val="20"/>
          <w:szCs w:val="20"/>
        </w:rPr>
        <w:t xml:space="preserve">Formulario de registro con selección individual vs. empresa con equipo</w:t>
      </w:r>
    </w:p>
    <w:p>
      <w:pPr>
        <w:pStyle w:val="ListParagraph"/>
        <w:numPr>
          <w:ilvl w:val="0"/>
          <w:numId w:val="3"/>
        </w:numPr>
        <w:spacing w:after="50"/>
      </w:pPr>
      <w:r>
        <w:rPr>
          <w:rFonts w:ascii="Calibri" w:cs="Calibri" w:eastAsia="Calibri" w:hAnsi="Calibri"/>
          <w:sz w:val="20"/>
          <w:szCs w:val="20"/>
        </w:rPr>
        <w:t xml:space="preserve">Integración KYC (Stripe Identity o Truora, patrón adapter ya usado en PROSIC)</w:t>
      </w:r>
    </w:p>
    <w:p>
      <w:pPr>
        <w:pStyle w:val="ListParagraph"/>
        <w:numPr>
          <w:ilvl w:val="0"/>
          <w:numId w:val="3"/>
        </w:numPr>
        <w:spacing w:after="50"/>
      </w:pPr>
      <w:r>
        <w:rPr>
          <w:rFonts w:ascii="Calibri" w:cs="Calibri" w:eastAsia="Calibri" w:hAnsi="Calibri"/>
          <w:sz w:val="20"/>
          <w:szCs w:val="20"/>
        </w:rPr>
        <w:t xml:space="preserve">Carga de licencia profesional y seguro para categorías reguladas</w:t>
      </w:r>
    </w:p>
    <w:p>
      <w:pPr>
        <w:pStyle w:val="ListParagraph"/>
        <w:numPr>
          <w:ilvl w:val="0"/>
          <w:numId w:val="3"/>
        </w:numPr>
        <w:spacing w:after="50"/>
      </w:pPr>
      <w:r>
        <w:rPr>
          <w:rFonts w:ascii="Calibri" w:cs="Calibri" w:eastAsia="Calibri" w:hAnsi="Calibri"/>
          <w:sz w:val="20"/>
          <w:szCs w:val="20"/>
        </w:rPr>
        <w:t xml:space="preserve">Estado de verificación visible en el perfil (pendiente/aprobado/rechazado)</w:t>
      </w:r>
    </w:p>
    <w:p>
      <w:pPr>
        <w:pStyle w:val="Heading3"/>
        <w:spacing w:after="100" w:before="220"/>
      </w:pPr>
      <w:r>
        <w:t xml:space="preserve">Etapa 2 — Perfil de proveedor</w:t>
      </w:r>
    </w:p>
    <w:p>
      <w:pPr>
        <w:spacing w:after="80" w:before="160"/>
      </w:pPr>
      <w:r>
        <w:rPr>
          <w:rFonts w:ascii="Calibri" w:cs="Calibri" w:eastAsia="Calibri" w:hAnsi="Calibri"/>
          <w:b/>
          <w:bCs/>
          <w:color w:val="1F3A5F"/>
          <w:sz w:val="22"/>
          <w:szCs w:val="22"/>
        </w:rPr>
        <w:t xml:space="preserve">Subetapa 2.1 — Datos del negocio</w:t>
      </w:r>
    </w:p>
    <w:p>
      <w:pPr>
        <w:pStyle w:val="ListParagraph"/>
        <w:numPr>
          <w:ilvl w:val="0"/>
          <w:numId w:val="3"/>
        </w:numPr>
        <w:spacing w:after="50"/>
      </w:pPr>
      <w:r>
        <w:rPr>
          <w:rFonts w:ascii="Calibri" w:cs="Calibri" w:eastAsia="Calibri" w:hAnsi="Calibri"/>
          <w:sz w:val="20"/>
          <w:szCs w:val="20"/>
        </w:rPr>
        <w:t xml:space="preserve">Nombre de negocio, años de experiencia, certificaciones</w:t>
      </w:r>
    </w:p>
    <w:p>
      <w:pPr>
        <w:pStyle w:val="ListParagraph"/>
        <w:numPr>
          <w:ilvl w:val="0"/>
          <w:numId w:val="3"/>
        </w:numPr>
        <w:spacing w:after="50"/>
      </w:pPr>
      <w:r>
        <w:rPr>
          <w:rFonts w:ascii="Calibri" w:cs="Calibri" w:eastAsia="Calibri" w:hAnsi="Calibri"/>
          <w:sz w:val="20"/>
          <w:szCs w:val="20"/>
        </w:rPr>
        <w:t xml:space="preserve">Carga de fotos/video de trabajos anteriores (portafolio)</w:t>
      </w:r>
    </w:p>
    <w:p>
      <w:pPr>
        <w:spacing w:after="80" w:before="160"/>
      </w:pPr>
      <w:r>
        <w:rPr>
          <w:rFonts w:ascii="Calibri" w:cs="Calibri" w:eastAsia="Calibri" w:hAnsi="Calibri"/>
          <w:b/>
          <w:bCs/>
          <w:color w:val="1F3A5F"/>
          <w:sz w:val="22"/>
          <w:szCs w:val="22"/>
        </w:rPr>
        <w:t xml:space="preserve">Subetapa 2.2 — Cobertura y categorías</w:t>
      </w:r>
    </w:p>
    <w:p>
      <w:pPr>
        <w:pStyle w:val="ListParagraph"/>
        <w:numPr>
          <w:ilvl w:val="0"/>
          <w:numId w:val="3"/>
        </w:numPr>
        <w:spacing w:after="50"/>
      </w:pPr>
      <w:r>
        <w:rPr>
          <w:rFonts w:ascii="Calibri" w:cs="Calibri" w:eastAsia="Calibri" w:hAnsi="Calibri"/>
          <w:sz w:val="20"/>
          <w:szCs w:val="20"/>
        </w:rPr>
        <w:t xml:space="preserve">Selector de categorías/servicios ofrecidos</w:t>
      </w:r>
    </w:p>
    <w:p>
      <w:pPr>
        <w:pStyle w:val="ListParagraph"/>
        <w:numPr>
          <w:ilvl w:val="0"/>
          <w:numId w:val="3"/>
        </w:numPr>
        <w:spacing w:after="50"/>
      </w:pPr>
      <w:r>
        <w:rPr>
          <w:rFonts w:ascii="Calibri" w:cs="Calibri" w:eastAsia="Calibri" w:hAnsi="Calibri"/>
          <w:sz w:val="20"/>
          <w:szCs w:val="20"/>
        </w:rPr>
        <w:t xml:space="preserve">Definición de zonas de cobertura geográfica (integración Google Maps)</w:t>
      </w:r>
    </w:p>
    <w:p>
      <w:pPr>
        <w:pStyle w:val="Heading3"/>
        <w:spacing w:after="100" w:before="220"/>
      </w:pPr>
      <w:r>
        <w:t xml:space="preserve">Etapa 3 — QA de la épica</w:t>
      </w:r>
    </w:p>
    <w:p>
      <w:pPr>
        <w:spacing w:after="80" w:before="160"/>
      </w:pPr>
      <w:r>
        <w:rPr>
          <w:rFonts w:ascii="Calibri" w:cs="Calibri" w:eastAsia="Calibri" w:hAnsi="Calibri"/>
          <w:b/>
          <w:bCs/>
          <w:color w:val="1F3A5F"/>
          <w:sz w:val="22"/>
          <w:szCs w:val="22"/>
        </w:rPr>
        <w:t xml:space="preserve">Subetapa 3.1 — Pruebas</w:t>
      </w:r>
    </w:p>
    <w:p>
      <w:pPr>
        <w:pStyle w:val="ListParagraph"/>
        <w:numPr>
          <w:ilvl w:val="0"/>
          <w:numId w:val="3"/>
        </w:numPr>
        <w:spacing w:after="50"/>
      </w:pPr>
      <w:r>
        <w:rPr>
          <w:rFonts w:ascii="Calibri" w:cs="Calibri" w:eastAsia="Calibri" w:hAnsi="Calibri"/>
          <w:sz w:val="20"/>
          <w:szCs w:val="20"/>
        </w:rPr>
        <w:t xml:space="preserve">Pruebas de integración del flujo completo de registro cliente y proveedor</w:t>
      </w:r>
    </w:p>
    <w:p>
      <w:pPr>
        <w:pStyle w:val="ListParagraph"/>
        <w:numPr>
          <w:ilvl w:val="0"/>
          <w:numId w:val="3"/>
        </w:numPr>
        <w:spacing w:after="50"/>
      </w:pPr>
      <w:r>
        <w:rPr>
          <w:rFonts w:ascii="Calibri" w:cs="Calibri" w:eastAsia="Calibri" w:hAnsi="Calibri"/>
          <w:sz w:val="20"/>
          <w:szCs w:val="20"/>
        </w:rPr>
        <w:t xml:space="preserve">Pruebas de casos límite de KYC (documento rechazado, reintento)</w:t>
      </w:r>
    </w:p>
    <w:p>
      <w:r>
        <w:br w:type="page"/>
      </w:r>
    </w:p>
    <w:p>
      <w:pPr>
        <w:pStyle w:val="Heading2"/>
        <w:spacing w:after="60" w:before="100"/>
      </w:pPr>
      <w:r>
        <w:rPr>
          <w:rFonts w:ascii="Calibri" w:cs="Calibri" w:eastAsia="Calibri" w:hAnsi="Calibri"/>
          <w:b/>
          <w:bCs/>
          <w:color w:val="1F3A5F"/>
          <w:sz w:val="27"/>
          <w:szCs w:val="27"/>
        </w:rPr>
        <w:t xml:space="preserve">Sprint 2 — Catálogo y matching</w:t>
      </w:r>
    </w:p>
    <w:p>
      <w:pPr>
        <w:spacing w:after="140"/>
      </w:pPr>
      <w:r>
        <w:rPr>
          <w:rFonts w:ascii="Calibri" w:cs="Calibri" w:eastAsia="Calibri" w:hAnsi="Calibri"/>
          <w:i/>
          <w:iCs/>
          <w:color w:val="5A5A5A"/>
          <w:sz w:val="19"/>
          <w:szCs w:val="19"/>
        </w:rPr>
        <w:t xml:space="preserve">Semanas 5–6  ·  Fase 1 (MVP)  ·  Épicas: Épicas B y C</w:t>
      </w:r>
    </w:p>
    <w:p>
      <w:pPr>
        <w:spacing w:after="140"/>
      </w:pPr>
      <w:r>
        <w:rPr>
          <w:rFonts w:ascii="Calibri" w:cs="Calibri" w:eastAsia="Calibri" w:hAnsi="Calibri"/>
          <w:b w:val="false"/>
          <w:bCs w:val="false"/>
          <w:sz w:val="21"/>
          <w:szCs w:val="21"/>
        </w:rPr>
        <w:t xml:space="preserve">Un cliente puede publicar una necesidad y el sistema la empareja automáticamente con 3–5 proveedores relevantes.</w:t>
      </w:r>
    </w:p>
    <w:p>
      <w:pPr>
        <w:spacing w:after="80" w:before="160"/>
      </w:pPr>
      <w:r>
        <w:rPr>
          <w:rFonts w:ascii="Calibri" w:cs="Calibri" w:eastAsia="Calibri" w:hAnsi="Calibri"/>
          <w:b/>
          <w:bCs/>
          <w:color w:val="1F3A5F"/>
          <w:sz w:val="22"/>
          <w:szCs w:val="22"/>
        </w:rPr>
        <w:t xml:space="preserve">Criterio de salida del sprint (Definition of Done)</w:t>
      </w:r>
    </w:p>
    <w:p>
      <w:pPr>
        <w:spacing w:after="140"/>
      </w:pPr>
      <w:r>
        <w:rPr>
          <w:rFonts w:ascii="Calibri" w:cs="Calibri" w:eastAsia="Calibri" w:hAnsi="Calibri"/>
          <w:sz w:val="21"/>
          <w:szCs w:val="21"/>
        </w:rPr>
        <w:t xml:space="preserve">Una solicitud publicada por un cliente de prueba genera notificación a los proveedores correctos según categoría, cobertura y disponibilidad, visibles en su panel en menos de 1 minuto.</w:t>
      </w:r>
    </w:p>
    <w:p>
      <w:pPr>
        <w:pStyle w:val="Heading3"/>
        <w:spacing w:after="100" w:before="220"/>
      </w:pPr>
      <w:r>
        <w:t xml:space="preserve">Etapa 1 — Catálogo de categorías</w:t>
      </w:r>
    </w:p>
    <w:p>
      <w:pPr>
        <w:spacing w:after="80" w:before="160"/>
      </w:pPr>
      <w:r>
        <w:rPr>
          <w:rFonts w:ascii="Calibri" w:cs="Calibri" w:eastAsia="Calibri" w:hAnsi="Calibri"/>
          <w:b/>
          <w:bCs/>
          <w:color w:val="1F3A5F"/>
          <w:sz w:val="22"/>
          <w:szCs w:val="22"/>
        </w:rPr>
        <w:t xml:space="preserve">Subetapa 1.1 — Modelo configurable</w:t>
      </w:r>
    </w:p>
    <w:p>
      <w:pPr>
        <w:pStyle w:val="ListParagraph"/>
        <w:numPr>
          <w:ilvl w:val="0"/>
          <w:numId w:val="3"/>
        </w:numPr>
        <w:spacing w:after="50"/>
      </w:pPr>
      <w:r>
        <w:rPr>
          <w:rFonts w:ascii="Calibri" w:cs="Calibri" w:eastAsia="Calibri" w:hAnsi="Calibri"/>
          <w:sz w:val="20"/>
          <w:szCs w:val="20"/>
        </w:rPr>
        <w:t xml:space="preserve">Finalizar attributes_schema por categoría (jerarquía categoría → subcategoría → servicio → variantes)</w:t>
      </w:r>
    </w:p>
    <w:p>
      <w:pPr>
        <w:pStyle w:val="ListParagraph"/>
        <w:numPr>
          <w:ilvl w:val="0"/>
          <w:numId w:val="3"/>
        </w:numPr>
        <w:spacing w:after="50"/>
      </w:pPr>
      <w:r>
        <w:rPr>
          <w:rFonts w:ascii="Calibri" w:cs="Calibri" w:eastAsia="Calibri" w:hAnsi="Calibri"/>
          <w:sz w:val="20"/>
          <w:szCs w:val="20"/>
        </w:rPr>
        <w:t xml:space="preserve">Marcar categorías como pricing_mode: fixed, quote o both</w:t>
      </w:r>
    </w:p>
    <w:p>
      <w:pPr>
        <w:pStyle w:val="ListParagraph"/>
        <w:numPr>
          <w:ilvl w:val="0"/>
          <w:numId w:val="3"/>
        </w:numPr>
        <w:spacing w:after="50"/>
      </w:pPr>
      <w:r>
        <w:rPr>
          <w:rFonts w:ascii="Calibri" w:cs="Calibri" w:eastAsia="Calibri" w:hAnsi="Calibri"/>
          <w:sz w:val="20"/>
          <w:szCs w:val="20"/>
        </w:rPr>
        <w:t xml:space="preserve">Marcar categorías como risk_level: standard o regulated</w:t>
      </w:r>
    </w:p>
    <w:p>
      <w:pPr>
        <w:pStyle w:val="Heading3"/>
        <w:spacing w:after="100" w:before="220"/>
      </w:pPr>
      <w:r>
        <w:t xml:space="preserve">Etapa 2 — Publicación de necesidad (cliente)</w:t>
      </w:r>
    </w:p>
    <w:p>
      <w:pPr>
        <w:spacing w:after="80" w:before="160"/>
      </w:pPr>
      <w:r>
        <w:rPr>
          <w:rFonts w:ascii="Calibri" w:cs="Calibri" w:eastAsia="Calibri" w:hAnsi="Calibri"/>
          <w:b/>
          <w:bCs/>
          <w:color w:val="1F3A5F"/>
          <w:sz w:val="22"/>
          <w:szCs w:val="22"/>
        </w:rPr>
        <w:t xml:space="preserve">Subetapa 2.1 — Formulario de solicitud</w:t>
      </w:r>
    </w:p>
    <w:p>
      <w:pPr>
        <w:pStyle w:val="ListParagraph"/>
        <w:numPr>
          <w:ilvl w:val="0"/>
          <w:numId w:val="3"/>
        </w:numPr>
        <w:spacing w:after="50"/>
      </w:pPr>
      <w:r>
        <w:rPr>
          <w:rFonts w:ascii="Calibri" w:cs="Calibri" w:eastAsia="Calibri" w:hAnsi="Calibri"/>
          <w:sz w:val="20"/>
          <w:szCs w:val="20"/>
        </w:rPr>
        <w:t xml:space="preserve">Selección de categoría/subcategoría</w:t>
      </w:r>
    </w:p>
    <w:p>
      <w:pPr>
        <w:pStyle w:val="ListParagraph"/>
        <w:numPr>
          <w:ilvl w:val="0"/>
          <w:numId w:val="3"/>
        </w:numPr>
        <w:spacing w:after="50"/>
      </w:pPr>
      <w:r>
        <w:rPr>
          <w:rFonts w:ascii="Calibri" w:cs="Calibri" w:eastAsia="Calibri" w:hAnsi="Calibri"/>
          <w:sz w:val="20"/>
          <w:szCs w:val="20"/>
        </w:rPr>
        <w:t xml:space="preserve">Carga de fotos, descripción, ubicación, fecha deseada</w:t>
      </w:r>
    </w:p>
    <w:p>
      <w:pPr>
        <w:pStyle w:val="ListParagraph"/>
        <w:numPr>
          <w:ilvl w:val="0"/>
          <w:numId w:val="3"/>
        </w:numPr>
        <w:spacing w:after="50"/>
      </w:pPr>
      <w:r>
        <w:rPr>
          <w:rFonts w:ascii="Calibri" w:cs="Calibri" w:eastAsia="Calibri" w:hAnsi="Calibri"/>
          <w:sz w:val="20"/>
          <w:szCs w:val="20"/>
        </w:rPr>
        <w:t xml:space="preserve">Campo de presupuesto orientativo (opcional)</w:t>
      </w:r>
    </w:p>
    <w:p>
      <w:pPr>
        <w:spacing w:after="80" w:before="160"/>
      </w:pPr>
      <w:r>
        <w:rPr>
          <w:rFonts w:ascii="Calibri" w:cs="Calibri" w:eastAsia="Calibri" w:hAnsi="Calibri"/>
          <w:b/>
          <w:bCs/>
          <w:color w:val="1F3A5F"/>
          <w:sz w:val="22"/>
          <w:szCs w:val="22"/>
        </w:rPr>
        <w:t xml:space="preserve">Subetapa 2.2 — Flujo de precio fijo</w:t>
      </w:r>
    </w:p>
    <w:p>
      <w:pPr>
        <w:pStyle w:val="ListParagraph"/>
        <w:numPr>
          <w:ilvl w:val="0"/>
          <w:numId w:val="3"/>
        </w:numPr>
        <w:spacing w:after="50"/>
      </w:pPr>
      <w:r>
        <w:rPr>
          <w:rFonts w:ascii="Calibri" w:cs="Calibri" w:eastAsia="Calibri" w:hAnsi="Calibri"/>
          <w:sz w:val="20"/>
          <w:szCs w:val="20"/>
        </w:rPr>
        <w:t xml:space="preserve">Vista de reserva instantánea para categorías con pricing_mode fixed</w:t>
      </w:r>
    </w:p>
    <w:p>
      <w:pPr>
        <w:pStyle w:val="ListParagraph"/>
        <w:numPr>
          <w:ilvl w:val="0"/>
          <w:numId w:val="3"/>
        </w:numPr>
        <w:spacing w:after="50"/>
      </w:pPr>
      <w:r>
        <w:rPr>
          <w:rFonts w:ascii="Calibri" w:cs="Calibri" w:eastAsia="Calibri" w:hAnsi="Calibri"/>
          <w:sz w:val="20"/>
          <w:szCs w:val="20"/>
        </w:rPr>
        <w:t xml:space="preserve">Selección de fecha/hora sin proceso de cotización abierta</w:t>
      </w:r>
    </w:p>
    <w:p>
      <w:pPr>
        <w:pStyle w:val="Heading3"/>
        <w:spacing w:after="100" w:before="220"/>
      </w:pPr>
      <w:r>
        <w:t xml:space="preserve">Etapa 3 — Motor de matching</w:t>
      </w:r>
    </w:p>
    <w:p>
      <w:pPr>
        <w:spacing w:after="80" w:before="160"/>
      </w:pPr>
      <w:r>
        <w:rPr>
          <w:rFonts w:ascii="Calibri" w:cs="Calibri" w:eastAsia="Calibri" w:hAnsi="Calibri"/>
          <w:b/>
          <w:bCs/>
          <w:color w:val="1F3A5F"/>
          <w:sz w:val="22"/>
          <w:szCs w:val="22"/>
        </w:rPr>
        <w:t xml:space="preserve">Subetapa 3.1 — Reglas de emparejamiento</w:t>
      </w:r>
    </w:p>
    <w:p>
      <w:pPr>
        <w:pStyle w:val="ListParagraph"/>
        <w:numPr>
          <w:ilvl w:val="0"/>
          <w:numId w:val="3"/>
        </w:numPr>
        <w:spacing w:after="50"/>
      </w:pPr>
      <w:r>
        <w:rPr>
          <w:rFonts w:ascii="Calibri" w:cs="Calibri" w:eastAsia="Calibri" w:hAnsi="Calibri"/>
          <w:sz w:val="20"/>
          <w:szCs w:val="20"/>
        </w:rPr>
        <w:t xml:space="preserve">Filtro por categoría + cobertura geográfica + disponibilidad</w:t>
      </w:r>
    </w:p>
    <w:p>
      <w:pPr>
        <w:pStyle w:val="ListParagraph"/>
        <w:numPr>
          <w:ilvl w:val="0"/>
          <w:numId w:val="3"/>
        </w:numPr>
        <w:spacing w:after="50"/>
      </w:pPr>
      <w:r>
        <w:rPr>
          <w:rFonts w:ascii="Calibri" w:cs="Calibri" w:eastAsia="Calibri" w:hAnsi="Calibri"/>
          <w:sz w:val="20"/>
          <w:szCs w:val="20"/>
        </w:rPr>
        <w:t xml:space="preserve">Selección de 3–5 proveedores relevantes por solicitud</w:t>
      </w:r>
    </w:p>
    <w:p>
      <w:pPr>
        <w:pStyle w:val="ListParagraph"/>
        <w:numPr>
          <w:ilvl w:val="0"/>
          <w:numId w:val="3"/>
        </w:numPr>
        <w:spacing w:after="50"/>
      </w:pPr>
      <w:r>
        <w:rPr>
          <w:rFonts w:ascii="Calibri" w:cs="Calibri" w:eastAsia="Calibri" w:hAnsi="Calibri"/>
          <w:sz w:val="20"/>
          <w:szCs w:val="20"/>
        </w:rPr>
        <w:t xml:space="preserve">Registro del match en la colección matches</w:t>
      </w:r>
    </w:p>
    <w:p>
      <w:pPr>
        <w:spacing w:after="80" w:before="160"/>
      </w:pPr>
      <w:r>
        <w:rPr>
          <w:rFonts w:ascii="Calibri" w:cs="Calibri" w:eastAsia="Calibri" w:hAnsi="Calibri"/>
          <w:b/>
          <w:bCs/>
          <w:color w:val="1F3A5F"/>
          <w:sz w:val="22"/>
          <w:szCs w:val="22"/>
        </w:rPr>
        <w:t xml:space="preserve">Subetapa 3.2 — Notificación y respuesta del proveedor</w:t>
      </w:r>
    </w:p>
    <w:p>
      <w:pPr>
        <w:pStyle w:val="ListParagraph"/>
        <w:numPr>
          <w:ilvl w:val="0"/>
          <w:numId w:val="3"/>
        </w:numPr>
        <w:spacing w:after="50"/>
      </w:pPr>
      <w:r>
        <w:rPr>
          <w:rFonts w:ascii="Calibri" w:cs="Calibri" w:eastAsia="Calibri" w:hAnsi="Calibri"/>
          <w:sz w:val="20"/>
          <w:szCs w:val="20"/>
        </w:rPr>
        <w:t xml:space="preserve">Notificación push/email al proveedor emparejado</w:t>
      </w:r>
    </w:p>
    <w:p>
      <w:pPr>
        <w:pStyle w:val="ListParagraph"/>
        <w:numPr>
          <w:ilvl w:val="0"/>
          <w:numId w:val="3"/>
        </w:numPr>
        <w:spacing w:after="50"/>
      </w:pPr>
      <w:r>
        <w:rPr>
          <w:rFonts w:ascii="Calibri" w:cs="Calibri" w:eastAsia="Calibri" w:hAnsi="Calibri"/>
          <w:sz w:val="20"/>
          <w:szCs w:val="20"/>
        </w:rPr>
        <w:t xml:space="preserve">Panel de proveedor para aceptar/rechazar la oportunidad</w:t>
      </w:r>
    </w:p>
    <w:p>
      <w:pPr>
        <w:pStyle w:val="ListParagraph"/>
        <w:numPr>
          <w:ilvl w:val="0"/>
          <w:numId w:val="3"/>
        </w:numPr>
        <w:spacing w:after="50"/>
      </w:pPr>
      <w:r>
        <w:rPr>
          <w:rFonts w:ascii="Calibri" w:cs="Calibri" w:eastAsia="Calibri" w:hAnsi="Calibri"/>
          <w:sz w:val="20"/>
          <w:szCs w:val="20"/>
        </w:rPr>
        <w:t xml:space="preserve">Métrica de tiempo de respuesta por proveedor (insumo para reputación futura)</w:t>
      </w:r>
    </w:p>
    <w:p>
      <w:r>
        <w:br w:type="page"/>
      </w:r>
    </w:p>
    <w:p>
      <w:pPr>
        <w:pStyle w:val="Heading2"/>
        <w:spacing w:after="60" w:before="100"/>
      </w:pPr>
      <w:r>
        <w:rPr>
          <w:rFonts w:ascii="Calibri" w:cs="Calibri" w:eastAsia="Calibri" w:hAnsi="Calibri"/>
          <w:b/>
          <w:bCs/>
          <w:color w:val="1F3A5F"/>
          <w:sz w:val="27"/>
          <w:szCs w:val="27"/>
        </w:rPr>
        <w:t xml:space="preserve">Sprint 3 — Cotización, mensajería y anti-fuga</w:t>
      </w:r>
    </w:p>
    <w:p>
      <w:pPr>
        <w:spacing w:after="140"/>
      </w:pPr>
      <w:r>
        <w:rPr>
          <w:rFonts w:ascii="Calibri" w:cs="Calibri" w:eastAsia="Calibri" w:hAnsi="Calibri"/>
          <w:i/>
          <w:iCs/>
          <w:color w:val="5A5A5A"/>
          <w:sz w:val="19"/>
          <w:szCs w:val="19"/>
        </w:rPr>
        <w:t xml:space="preserve">Semanas 7–8  ·  Fase 1 (MVP)  ·  Épicas: Épicas D y E</w:t>
      </w:r>
    </w:p>
    <w:p>
      <w:pPr>
        <w:spacing w:after="140"/>
      </w:pPr>
      <w:r>
        <w:rPr>
          <w:rFonts w:ascii="Calibri" w:cs="Calibri" w:eastAsia="Calibri" w:hAnsi="Calibri"/>
          <w:b w:val="false"/>
          <w:bCs w:val="false"/>
          <w:sz w:val="21"/>
          <w:szCs w:val="21"/>
        </w:rPr>
        <w:t xml:space="preserve">Cliente y proveedor pueden cotizar y comunicarse dentro de la plataforma sin exponer datos de contacto reales antes del pago.</w:t>
      </w:r>
    </w:p>
    <w:p>
      <w:pPr>
        <w:spacing w:after="80" w:before="160"/>
      </w:pPr>
      <w:r>
        <w:rPr>
          <w:rFonts w:ascii="Calibri" w:cs="Calibri" w:eastAsia="Calibri" w:hAnsi="Calibri"/>
          <w:b/>
          <w:bCs/>
          <w:color w:val="1F3A5F"/>
          <w:sz w:val="22"/>
          <w:szCs w:val="22"/>
        </w:rPr>
        <w:t xml:space="preserve">Criterio de salida del sprint (Definition of Done)</w:t>
      </w:r>
    </w:p>
    <w:p>
      <w:pPr>
        <w:spacing w:after="140"/>
      </w:pPr>
      <w:r>
        <w:rPr>
          <w:rFonts w:ascii="Calibri" w:cs="Calibri" w:eastAsia="Calibri" w:hAnsi="Calibri"/>
          <w:sz w:val="21"/>
          <w:szCs w:val="21"/>
        </w:rPr>
        <w:t xml:space="preserve">Dos usuarios de prueba pueden completar una conversación y una cotización formal sin poder compartir un teléfono o correo real; el intento de hacerlo es detectado y retenido con explicación visible.</w:t>
      </w:r>
    </w:p>
    <w:p>
      <w:pPr>
        <w:pStyle w:val="Heading3"/>
        <w:spacing w:after="100" w:before="220"/>
      </w:pPr>
      <w:r>
        <w:t xml:space="preserve">Etapa 1 — Cotización</w:t>
      </w:r>
    </w:p>
    <w:p>
      <w:pPr>
        <w:spacing w:after="80" w:before="160"/>
      </w:pPr>
      <w:r>
        <w:rPr>
          <w:rFonts w:ascii="Calibri" w:cs="Calibri" w:eastAsia="Calibri" w:hAnsi="Calibri"/>
          <w:b/>
          <w:bCs/>
          <w:color w:val="1F3A5F"/>
          <w:sz w:val="22"/>
          <w:szCs w:val="22"/>
        </w:rPr>
        <w:t xml:space="preserve">Subetapa 1.1 — Generación de cotización</w:t>
      </w:r>
    </w:p>
    <w:p>
      <w:pPr>
        <w:pStyle w:val="ListParagraph"/>
        <w:numPr>
          <w:ilvl w:val="0"/>
          <w:numId w:val="3"/>
        </w:numPr>
        <w:spacing w:after="50"/>
      </w:pPr>
      <w:r>
        <w:rPr>
          <w:rFonts w:ascii="Calibri" w:cs="Calibri" w:eastAsia="Calibri" w:hAnsi="Calibri"/>
          <w:sz w:val="20"/>
          <w:szCs w:val="20"/>
        </w:rPr>
        <w:t xml:space="preserve">Formulario de cotización formal (precio, alcance, condiciones) para el proveedor</w:t>
      </w:r>
    </w:p>
    <w:p>
      <w:pPr>
        <w:pStyle w:val="ListParagraph"/>
        <w:numPr>
          <w:ilvl w:val="0"/>
          <w:numId w:val="3"/>
        </w:numPr>
        <w:spacing w:after="50"/>
      </w:pPr>
      <w:r>
        <w:rPr>
          <w:rFonts w:ascii="Calibri" w:cs="Calibri" w:eastAsia="Calibri" w:hAnsi="Calibri"/>
          <w:sz w:val="20"/>
          <w:szCs w:val="20"/>
        </w:rPr>
        <w:t xml:space="preserve">Vista de cotización recibida para el cliente</w:t>
      </w:r>
    </w:p>
    <w:p>
      <w:pPr>
        <w:spacing w:after="80" w:before="160"/>
      </w:pPr>
      <w:r>
        <w:rPr>
          <w:rFonts w:ascii="Calibri" w:cs="Calibri" w:eastAsia="Calibri" w:hAnsi="Calibri"/>
          <w:b/>
          <w:bCs/>
          <w:color w:val="1F3A5F"/>
          <w:sz w:val="22"/>
          <w:szCs w:val="22"/>
        </w:rPr>
        <w:t xml:space="preserve">Subetapa 1.2 — Aceptación</w:t>
      </w:r>
    </w:p>
    <w:p>
      <w:pPr>
        <w:pStyle w:val="ListParagraph"/>
        <w:numPr>
          <w:ilvl w:val="0"/>
          <w:numId w:val="3"/>
        </w:numPr>
        <w:spacing w:after="50"/>
      </w:pPr>
      <w:r>
        <w:rPr>
          <w:rFonts w:ascii="Calibri" w:cs="Calibri" w:eastAsia="Calibri" w:hAnsi="Calibri"/>
          <w:sz w:val="20"/>
          <w:szCs w:val="20"/>
        </w:rPr>
        <w:t xml:space="preserve">Aceptación digital de la cotización por el cliente</w:t>
      </w:r>
    </w:p>
    <w:p>
      <w:pPr>
        <w:pStyle w:val="ListParagraph"/>
        <w:numPr>
          <w:ilvl w:val="0"/>
          <w:numId w:val="3"/>
        </w:numPr>
        <w:spacing w:after="50"/>
      </w:pPr>
      <w:r>
        <w:rPr>
          <w:rFonts w:ascii="Calibri" w:cs="Calibri" w:eastAsia="Calibri" w:hAnsi="Calibri"/>
          <w:sz w:val="20"/>
          <w:szCs w:val="20"/>
        </w:rPr>
        <w:t xml:space="preserve">Cambio de estado de la solicitud a quoted → booked (pendiente de pago)</w:t>
      </w:r>
    </w:p>
    <w:p>
      <w:pPr>
        <w:pStyle w:val="Heading3"/>
        <w:spacing w:after="100" w:before="220"/>
      </w:pPr>
      <w:r>
        <w:t xml:space="preserve">Etapa 2 — Mensajería interna</w:t>
      </w:r>
    </w:p>
    <w:p>
      <w:pPr>
        <w:spacing w:after="80" w:before="160"/>
      </w:pPr>
      <w:r>
        <w:rPr>
          <w:rFonts w:ascii="Calibri" w:cs="Calibri" w:eastAsia="Calibri" w:hAnsi="Calibri"/>
          <w:b/>
          <w:bCs/>
          <w:color w:val="1F3A5F"/>
          <w:sz w:val="22"/>
          <w:szCs w:val="22"/>
        </w:rPr>
        <w:t xml:space="preserve">Subetapa 2.1 — Chat en tiempo real</w:t>
      </w:r>
    </w:p>
    <w:p>
      <w:pPr>
        <w:pStyle w:val="ListParagraph"/>
        <w:numPr>
          <w:ilvl w:val="0"/>
          <w:numId w:val="3"/>
        </w:numPr>
        <w:spacing w:after="50"/>
      </w:pPr>
      <w:r>
        <w:rPr>
          <w:rFonts w:ascii="Calibri" w:cs="Calibri" w:eastAsia="Calibri" w:hAnsi="Calibri"/>
          <w:sz w:val="20"/>
          <w:szCs w:val="20"/>
        </w:rPr>
        <w:t xml:space="preserve">Implementación de WebSocket ligado a request_id/booking_id</w:t>
      </w:r>
    </w:p>
    <w:p>
      <w:pPr>
        <w:pStyle w:val="ListParagraph"/>
        <w:numPr>
          <w:ilvl w:val="0"/>
          <w:numId w:val="3"/>
        </w:numPr>
        <w:spacing w:after="50"/>
      </w:pPr>
      <w:r>
        <w:rPr>
          <w:rFonts w:ascii="Calibri" w:cs="Calibri" w:eastAsia="Calibri" w:hAnsi="Calibri"/>
          <w:sz w:val="20"/>
          <w:szCs w:val="20"/>
        </w:rPr>
        <w:t xml:space="preserve">Historial persistente de conversación en Mongo</w:t>
      </w:r>
    </w:p>
    <w:p>
      <w:pPr>
        <w:pStyle w:val="ListParagraph"/>
        <w:numPr>
          <w:ilvl w:val="0"/>
          <w:numId w:val="3"/>
        </w:numPr>
        <w:spacing w:after="50"/>
      </w:pPr>
      <w:r>
        <w:rPr>
          <w:rFonts w:ascii="Calibri" w:cs="Calibri" w:eastAsia="Calibri" w:hAnsi="Calibri"/>
          <w:sz w:val="20"/>
          <w:szCs w:val="20"/>
        </w:rPr>
        <w:t xml:space="preserve">Adjuntos de fotos en el chat</w:t>
      </w:r>
    </w:p>
    <w:p>
      <w:pPr>
        <w:spacing w:after="80" w:before="160"/>
      </w:pPr>
      <w:r>
        <w:rPr>
          <w:rFonts w:ascii="Calibri" w:cs="Calibri" w:eastAsia="Calibri" w:hAnsi="Calibri"/>
          <w:b/>
          <w:bCs/>
          <w:color w:val="1F3A5F"/>
          <w:sz w:val="22"/>
          <w:szCs w:val="22"/>
        </w:rPr>
        <w:t xml:space="preserve">Subetapa 2.2 — Números enmascarados</w:t>
      </w:r>
    </w:p>
    <w:p>
      <w:pPr>
        <w:pStyle w:val="ListParagraph"/>
        <w:numPr>
          <w:ilvl w:val="0"/>
          <w:numId w:val="3"/>
        </w:numPr>
        <w:spacing w:after="50"/>
      </w:pPr>
      <w:r>
        <w:rPr>
          <w:rFonts w:ascii="Calibri" w:cs="Calibri" w:eastAsia="Calibri" w:hAnsi="Calibri"/>
          <w:sz w:val="20"/>
          <w:szCs w:val="20"/>
        </w:rPr>
        <w:t xml:space="preserve">Integración de Twilio Proxy: número temporal por conversación</w:t>
      </w:r>
    </w:p>
    <w:p>
      <w:pPr>
        <w:pStyle w:val="ListParagraph"/>
        <w:numPr>
          <w:ilvl w:val="0"/>
          <w:numId w:val="3"/>
        </w:numPr>
        <w:spacing w:after="50"/>
      </w:pPr>
      <w:r>
        <w:rPr>
          <w:rFonts w:ascii="Calibri" w:cs="Calibri" w:eastAsia="Calibri" w:hAnsi="Calibri"/>
          <w:sz w:val="20"/>
          <w:szCs w:val="20"/>
        </w:rPr>
        <w:t xml:space="preserve">Liberación del número real solo tras escrow_status == held</w:t>
      </w:r>
    </w:p>
    <w:p>
      <w:pPr>
        <w:pStyle w:val="Heading3"/>
        <w:spacing w:after="100" w:before="220"/>
      </w:pPr>
      <w:r>
        <w:t xml:space="preserve">Etapa 3 — Sistema anti-fuga</w:t>
      </w:r>
    </w:p>
    <w:p>
      <w:pPr>
        <w:spacing w:after="80" w:before="160"/>
      </w:pPr>
      <w:r>
        <w:rPr>
          <w:rFonts w:ascii="Calibri" w:cs="Calibri" w:eastAsia="Calibri" w:hAnsi="Calibri"/>
          <w:b/>
          <w:bCs/>
          <w:color w:val="1F3A5F"/>
          <w:sz w:val="22"/>
          <w:szCs w:val="22"/>
        </w:rPr>
        <w:t xml:space="preserve">Subetapa 3.1 — Detector de fuga (leak_detector.py)</w:t>
      </w:r>
    </w:p>
    <w:p>
      <w:pPr>
        <w:pStyle w:val="ListParagraph"/>
        <w:numPr>
          <w:ilvl w:val="0"/>
          <w:numId w:val="3"/>
        </w:numPr>
        <w:spacing w:after="50"/>
      </w:pPr>
      <w:r>
        <w:rPr>
          <w:rFonts w:ascii="Calibri" w:cs="Calibri" w:eastAsia="Calibri" w:hAnsi="Calibri"/>
          <w:sz w:val="20"/>
          <w:szCs w:val="20"/>
        </w:rPr>
        <w:t xml:space="preserve">Detección de patrones de teléfono, incluyendo variantes ofuscadas</w:t>
      </w:r>
    </w:p>
    <w:p>
      <w:pPr>
        <w:pStyle w:val="ListParagraph"/>
        <w:numPr>
          <w:ilvl w:val="0"/>
          <w:numId w:val="3"/>
        </w:numPr>
        <w:spacing w:after="50"/>
      </w:pPr>
      <w:r>
        <w:rPr>
          <w:rFonts w:ascii="Calibri" w:cs="Calibri" w:eastAsia="Calibri" w:hAnsi="Calibri"/>
          <w:sz w:val="20"/>
          <w:szCs w:val="20"/>
        </w:rPr>
        <w:t xml:space="preserve">Detección de menciones de apps externas, correos y redes sociales</w:t>
      </w:r>
    </w:p>
    <w:p>
      <w:pPr>
        <w:pStyle w:val="ListParagraph"/>
        <w:numPr>
          <w:ilvl w:val="0"/>
          <w:numId w:val="3"/>
        </w:numPr>
        <w:spacing w:after="50"/>
      </w:pPr>
      <w:r>
        <w:rPr>
          <w:rFonts w:ascii="Calibri" w:cs="Calibri" w:eastAsia="Calibri" w:hAnsi="Calibri"/>
          <w:sz w:val="20"/>
          <w:szCs w:val="20"/>
        </w:rPr>
        <w:t xml:space="preserve">Cálculo de leak_score configurable por colección leak_detection_config</w:t>
      </w:r>
    </w:p>
    <w:p>
      <w:pPr>
        <w:spacing w:after="80" w:before="160"/>
      </w:pPr>
      <w:r>
        <w:rPr>
          <w:rFonts w:ascii="Calibri" w:cs="Calibri" w:eastAsia="Calibri" w:hAnsi="Calibri"/>
          <w:b/>
          <w:bCs/>
          <w:color w:val="1F3A5F"/>
          <w:sz w:val="22"/>
          <w:szCs w:val="22"/>
        </w:rPr>
        <w:t xml:space="preserve">Subetapa 3.2 — Manejo de mensajes retenidos</w:t>
      </w:r>
    </w:p>
    <w:p>
      <w:pPr>
        <w:pStyle w:val="ListParagraph"/>
        <w:numPr>
          <w:ilvl w:val="0"/>
          <w:numId w:val="3"/>
        </w:numPr>
        <w:spacing w:after="50"/>
      </w:pPr>
      <w:r>
        <w:rPr>
          <w:rFonts w:ascii="Calibri" w:cs="Calibri" w:eastAsia="Calibri" w:hAnsi="Calibri"/>
          <w:sz w:val="20"/>
          <w:szCs w:val="20"/>
        </w:rPr>
        <w:t xml:space="preserve">Soft-block con explicación visible al usuario (no bloqueo silencioso)</w:t>
      </w:r>
    </w:p>
    <w:p>
      <w:pPr>
        <w:pStyle w:val="ListParagraph"/>
        <w:numPr>
          <w:ilvl w:val="0"/>
          <w:numId w:val="3"/>
        </w:numPr>
        <w:spacing w:after="50"/>
      </w:pPr>
      <w:r>
        <w:rPr>
          <w:rFonts w:ascii="Calibri" w:cs="Calibri" w:eastAsia="Calibri" w:hAnsi="Calibri"/>
          <w:sz w:val="20"/>
          <w:szCs w:val="20"/>
        </w:rPr>
        <w:t xml:space="preserve">Registro de intentos de fuga en trust_score de la cuenta</w:t>
      </w:r>
    </w:p>
    <w:p>
      <w:r>
        <w:br w:type="page"/>
      </w:r>
    </w:p>
    <w:p>
      <w:pPr>
        <w:pStyle w:val="Heading2"/>
        <w:spacing w:after="60" w:before="100"/>
      </w:pPr>
      <w:r>
        <w:rPr>
          <w:rFonts w:ascii="Calibri" w:cs="Calibri" w:eastAsia="Calibri" w:hAnsi="Calibri"/>
          <w:b/>
          <w:bCs/>
          <w:color w:val="1F3A5F"/>
          <w:sz w:val="27"/>
          <w:szCs w:val="27"/>
        </w:rPr>
        <w:t xml:space="preserve">Sprint 4 — Pagos y escrow</w:t>
      </w:r>
    </w:p>
    <w:p>
      <w:pPr>
        <w:spacing w:after="140"/>
      </w:pPr>
      <w:r>
        <w:rPr>
          <w:rFonts w:ascii="Calibri" w:cs="Calibri" w:eastAsia="Calibri" w:hAnsi="Calibri"/>
          <w:i/>
          <w:iCs/>
          <w:color w:val="5A5A5A"/>
          <w:sz w:val="19"/>
          <w:szCs w:val="19"/>
        </w:rPr>
        <w:t xml:space="preserve">Semanas 9–10  ·  Fase 1 (MVP)  ·  Épicas: Épica F</w:t>
      </w:r>
    </w:p>
    <w:p>
      <w:pPr>
        <w:spacing w:after="140"/>
      </w:pPr>
      <w:r>
        <w:rPr>
          <w:rFonts w:ascii="Calibri" w:cs="Calibri" w:eastAsia="Calibri" w:hAnsi="Calibri"/>
          <w:b w:val="false"/>
          <w:bCs w:val="false"/>
          <w:sz w:val="21"/>
          <w:szCs w:val="21"/>
        </w:rPr>
        <w:t xml:space="preserve">El dinero fluye de forma segura: depósito o pago completo retenido en escrow y liberado automáticamente al proveedor tras confirmación.</w:t>
      </w:r>
    </w:p>
    <w:p>
      <w:pPr>
        <w:spacing w:after="80" w:before="160"/>
      </w:pPr>
      <w:r>
        <w:rPr>
          <w:rFonts w:ascii="Calibri" w:cs="Calibri" w:eastAsia="Calibri" w:hAnsi="Calibri"/>
          <w:b/>
          <w:bCs/>
          <w:color w:val="1F3A5F"/>
          <w:sz w:val="22"/>
          <w:szCs w:val="22"/>
        </w:rPr>
        <w:t xml:space="preserve">Criterio de salida del sprint (Definition of Done)</w:t>
      </w:r>
    </w:p>
    <w:p>
      <w:pPr>
        <w:spacing w:after="140"/>
      </w:pPr>
      <w:r>
        <w:rPr>
          <w:rFonts w:ascii="Calibri" w:cs="Calibri" w:eastAsia="Calibri" w:hAnsi="Calibri"/>
          <w:sz w:val="21"/>
          <w:szCs w:val="21"/>
        </w:rPr>
        <w:t xml:space="preserve">Una transacción de prueba de extremo a extremo (cotización aceptada → pago retenido → confirmación → liberación de pago) se ejecuta sin intervención manual y queda auditada en transactions.events[].</w:t>
      </w:r>
    </w:p>
    <w:p>
      <w:pPr>
        <w:pStyle w:val="Heading3"/>
        <w:spacing w:after="100" w:before="220"/>
      </w:pPr>
      <w:r>
        <w:t xml:space="preserve">Etapa 1 — Onboarding de pagos</w:t>
      </w:r>
    </w:p>
    <w:p>
      <w:pPr>
        <w:spacing w:after="80" w:before="160"/>
      </w:pPr>
      <w:r>
        <w:rPr>
          <w:rFonts w:ascii="Calibri" w:cs="Calibri" w:eastAsia="Calibri" w:hAnsi="Calibri"/>
          <w:b/>
          <w:bCs/>
          <w:color w:val="1F3A5F"/>
          <w:sz w:val="22"/>
          <w:szCs w:val="22"/>
        </w:rPr>
        <w:t xml:space="preserve">Subetapa 1.1 — Cuenta conectada del proveedor</w:t>
      </w:r>
    </w:p>
    <w:p>
      <w:pPr>
        <w:pStyle w:val="ListParagraph"/>
        <w:numPr>
          <w:ilvl w:val="0"/>
          <w:numId w:val="3"/>
        </w:numPr>
        <w:spacing w:after="50"/>
      </w:pPr>
      <w:r>
        <w:rPr>
          <w:rFonts w:ascii="Calibri" w:cs="Calibri" w:eastAsia="Calibri" w:hAnsi="Calibri"/>
          <w:sz w:val="20"/>
          <w:szCs w:val="20"/>
        </w:rPr>
        <w:t xml:space="preserve">Integración de onboarding de Stripe Connect (o Mercado Pago según mercado elegido)</w:t>
      </w:r>
    </w:p>
    <w:p>
      <w:pPr>
        <w:pStyle w:val="ListParagraph"/>
        <w:numPr>
          <w:ilvl w:val="0"/>
          <w:numId w:val="3"/>
        </w:numPr>
        <w:spacing w:after="50"/>
      </w:pPr>
      <w:r>
        <w:rPr>
          <w:rFonts w:ascii="Calibri" w:cs="Calibri" w:eastAsia="Calibri" w:hAnsi="Calibri"/>
          <w:sz w:val="20"/>
          <w:szCs w:val="20"/>
        </w:rPr>
        <w:t xml:space="preserve">Validación de estado de cuenta conectada antes de permitir recibir pagos</w:t>
      </w:r>
    </w:p>
    <w:p>
      <w:pPr>
        <w:pStyle w:val="Heading3"/>
        <w:spacing w:after="100" w:before="220"/>
      </w:pPr>
      <w:r>
        <w:t xml:space="preserve">Etapa 2 — Motor de comisiones</w:t>
      </w:r>
    </w:p>
    <w:p>
      <w:pPr>
        <w:spacing w:after="80" w:before="160"/>
      </w:pPr>
      <w:r>
        <w:rPr>
          <w:rFonts w:ascii="Calibri" w:cs="Calibri" w:eastAsia="Calibri" w:hAnsi="Calibri"/>
          <w:b/>
          <w:bCs/>
          <w:color w:val="1F3A5F"/>
          <w:sz w:val="22"/>
          <w:szCs w:val="22"/>
        </w:rPr>
        <w:t xml:space="preserve">Subetapa 2.1 — Implementación de billing_engine</w:t>
      </w:r>
    </w:p>
    <w:p>
      <w:pPr>
        <w:pStyle w:val="ListParagraph"/>
        <w:numPr>
          <w:ilvl w:val="0"/>
          <w:numId w:val="3"/>
        </w:numPr>
        <w:spacing w:after="50"/>
      </w:pPr>
      <w:r>
        <w:rPr>
          <w:rFonts w:ascii="Calibri" w:cs="Calibri" w:eastAsia="Calibri" w:hAnsi="Calibri"/>
          <w:sz w:val="20"/>
          <w:szCs w:val="20"/>
        </w:rPr>
        <w:t xml:space="preserve">Función calculate_transaction_split() como fuente única de verdad</w:t>
      </w:r>
    </w:p>
    <w:p>
      <w:pPr>
        <w:pStyle w:val="ListParagraph"/>
        <w:numPr>
          <w:ilvl w:val="0"/>
          <w:numId w:val="3"/>
        </w:numPr>
        <w:spacing w:after="50"/>
      </w:pPr>
      <w:r>
        <w:rPr>
          <w:rFonts w:ascii="Calibri" w:cs="Calibri" w:eastAsia="Calibri" w:hAnsi="Calibri"/>
          <w:sz w:val="20"/>
          <w:szCs w:val="20"/>
        </w:rPr>
        <w:t xml:space="preserve">Congelamiento del tier del proveedor al momento de la transacción</w:t>
      </w:r>
    </w:p>
    <w:p>
      <w:pPr>
        <w:pStyle w:val="ListParagraph"/>
        <w:numPr>
          <w:ilvl w:val="0"/>
          <w:numId w:val="3"/>
        </w:numPr>
        <w:spacing w:after="50"/>
      </w:pPr>
      <w:r>
        <w:rPr>
          <w:rFonts w:ascii="Calibri" w:cs="Calibri" w:eastAsia="Calibri" w:hAnsi="Calibri"/>
          <w:sz w:val="20"/>
          <w:szCs w:val="20"/>
        </w:rPr>
        <w:t xml:space="preserve">Pruebas unitarias con los montos de referencia del informe ($50 a $10,000)</w:t>
      </w:r>
    </w:p>
    <w:p>
      <w:pPr>
        <w:pStyle w:val="Heading3"/>
        <w:spacing w:after="100" w:before="220"/>
      </w:pPr>
      <w:r>
        <w:t xml:space="preserve">Etapa 3 — Cobro y escrow</w:t>
      </w:r>
    </w:p>
    <w:p>
      <w:pPr>
        <w:spacing w:after="80" w:before="160"/>
      </w:pPr>
      <w:r>
        <w:rPr>
          <w:rFonts w:ascii="Calibri" w:cs="Calibri" w:eastAsia="Calibri" w:hAnsi="Calibri"/>
          <w:b/>
          <w:bCs/>
          <w:color w:val="1F3A5F"/>
          <w:sz w:val="22"/>
          <w:szCs w:val="22"/>
        </w:rPr>
        <w:t xml:space="preserve">Subetapa 3.1 — Cobro</w:t>
      </w:r>
    </w:p>
    <w:p>
      <w:pPr>
        <w:pStyle w:val="ListParagraph"/>
        <w:numPr>
          <w:ilvl w:val="0"/>
          <w:numId w:val="3"/>
        </w:numPr>
        <w:spacing w:after="50"/>
      </w:pPr>
      <w:r>
        <w:rPr>
          <w:rFonts w:ascii="Calibri" w:cs="Calibri" w:eastAsia="Calibri" w:hAnsi="Calibri"/>
          <w:sz w:val="20"/>
          <w:szCs w:val="20"/>
        </w:rPr>
        <w:t xml:space="preserve">Cobro de depósito (10–30%) o pago completo según categoría</w:t>
      </w:r>
    </w:p>
    <w:p>
      <w:pPr>
        <w:pStyle w:val="ListParagraph"/>
        <w:numPr>
          <w:ilvl w:val="0"/>
          <w:numId w:val="3"/>
        </w:numPr>
        <w:spacing w:after="50"/>
      </w:pPr>
      <w:r>
        <w:rPr>
          <w:rFonts w:ascii="Calibri" w:cs="Calibri" w:eastAsia="Calibri" w:hAnsi="Calibri"/>
          <w:sz w:val="20"/>
          <w:szCs w:val="20"/>
        </w:rPr>
        <w:t xml:space="preserve">Retención de fondos en escrow (payout diferido en Stripe Connect / retención equivalente en Mercado Pago)</w:t>
      </w:r>
    </w:p>
    <w:p>
      <w:pPr>
        <w:spacing w:after="80" w:before="160"/>
      </w:pPr>
      <w:r>
        <w:rPr>
          <w:rFonts w:ascii="Calibri" w:cs="Calibri" w:eastAsia="Calibri" w:hAnsi="Calibri"/>
          <w:b/>
          <w:bCs/>
          <w:color w:val="1F3A5F"/>
          <w:sz w:val="22"/>
          <w:szCs w:val="22"/>
        </w:rPr>
        <w:t xml:space="preserve">Subetapa 3.2 — Webhooks</w:t>
      </w:r>
    </w:p>
    <w:p>
      <w:pPr>
        <w:pStyle w:val="ListParagraph"/>
        <w:numPr>
          <w:ilvl w:val="0"/>
          <w:numId w:val="3"/>
        </w:numPr>
        <w:spacing w:after="50"/>
      </w:pPr>
      <w:r>
        <w:rPr>
          <w:rFonts w:ascii="Calibri" w:cs="Calibri" w:eastAsia="Calibri" w:hAnsi="Calibri"/>
          <w:sz w:val="20"/>
          <w:szCs w:val="20"/>
        </w:rPr>
        <w:t xml:space="preserve">Manejo idempotente de webhooks de pago (por stripe_payment_intent_id)</w:t>
      </w:r>
    </w:p>
    <w:p>
      <w:pPr>
        <w:pStyle w:val="ListParagraph"/>
        <w:numPr>
          <w:ilvl w:val="0"/>
          <w:numId w:val="3"/>
        </w:numPr>
        <w:spacing w:after="50"/>
      </w:pPr>
      <w:r>
        <w:rPr>
          <w:rFonts w:ascii="Calibri" w:cs="Calibri" w:eastAsia="Calibri" w:hAnsi="Calibri"/>
          <w:sz w:val="20"/>
          <w:szCs w:val="20"/>
        </w:rPr>
        <w:t xml:space="preserve">Registro de cada cambio de estado como evento inmutable</w:t>
      </w:r>
    </w:p>
    <w:p>
      <w:pPr>
        <w:pStyle w:val="Heading3"/>
        <w:spacing w:after="100" w:before="220"/>
      </w:pPr>
      <w:r>
        <w:t xml:space="preserve">Etapa 4 — Liberación, reembolsos y disputas</w:t>
      </w:r>
    </w:p>
    <w:p>
      <w:pPr>
        <w:spacing w:after="80" w:before="160"/>
      </w:pPr>
      <w:r>
        <w:rPr>
          <w:rFonts w:ascii="Calibri" w:cs="Calibri" w:eastAsia="Calibri" w:hAnsi="Calibri"/>
          <w:b/>
          <w:bCs/>
          <w:color w:val="1F3A5F"/>
          <w:sz w:val="22"/>
          <w:szCs w:val="22"/>
        </w:rPr>
        <w:t xml:space="preserve">Subetapa 4.1 — Liberación de pago</w:t>
      </w:r>
    </w:p>
    <w:p>
      <w:pPr>
        <w:pStyle w:val="ListParagraph"/>
        <w:numPr>
          <w:ilvl w:val="0"/>
          <w:numId w:val="3"/>
        </w:numPr>
        <w:spacing w:after="50"/>
      </w:pPr>
      <w:r>
        <w:rPr>
          <w:rFonts w:ascii="Calibri" w:cs="Calibri" w:eastAsia="Calibri" w:hAnsi="Calibri"/>
          <w:sz w:val="20"/>
          <w:szCs w:val="20"/>
        </w:rPr>
        <w:t xml:space="preserve">Liberación automática tras confirmación de finalización del cliente</w:t>
      </w:r>
    </w:p>
    <w:p>
      <w:pPr>
        <w:pStyle w:val="ListParagraph"/>
        <w:numPr>
          <w:ilvl w:val="0"/>
          <w:numId w:val="3"/>
        </w:numPr>
        <w:spacing w:after="50"/>
      </w:pPr>
      <w:r>
        <w:rPr>
          <w:rFonts w:ascii="Calibri" w:cs="Calibri" w:eastAsia="Calibri" w:hAnsi="Calibri"/>
          <w:sz w:val="20"/>
          <w:szCs w:val="20"/>
        </w:rPr>
        <w:t xml:space="preserve">Liberación automática tras vencimiento de ventana de disputa (48–72h) sin objeción</w:t>
      </w:r>
    </w:p>
    <w:p>
      <w:pPr>
        <w:spacing w:after="80" w:before="160"/>
      </w:pPr>
      <w:r>
        <w:rPr>
          <w:rFonts w:ascii="Calibri" w:cs="Calibri" w:eastAsia="Calibri" w:hAnsi="Calibri"/>
          <w:b/>
          <w:bCs/>
          <w:color w:val="1F3A5F"/>
          <w:sz w:val="22"/>
          <w:szCs w:val="22"/>
        </w:rPr>
        <w:t xml:space="preserve">Subetapa 4.2 — Reembolsos y disputas (versión básica)</w:t>
      </w:r>
    </w:p>
    <w:p>
      <w:pPr>
        <w:pStyle w:val="ListParagraph"/>
        <w:numPr>
          <w:ilvl w:val="0"/>
          <w:numId w:val="3"/>
        </w:numPr>
        <w:spacing w:after="50"/>
      </w:pPr>
      <w:r>
        <w:rPr>
          <w:rFonts w:ascii="Calibri" w:cs="Calibri" w:eastAsia="Calibri" w:hAnsi="Calibri"/>
          <w:sz w:val="20"/>
          <w:szCs w:val="20"/>
        </w:rPr>
        <w:t xml:space="preserve">Flujo de apertura de disputa por el cliente o el proveedor</w:t>
      </w:r>
    </w:p>
    <w:p>
      <w:pPr>
        <w:pStyle w:val="ListParagraph"/>
        <w:numPr>
          <w:ilvl w:val="0"/>
          <w:numId w:val="3"/>
        </w:numPr>
        <w:spacing w:after="50"/>
      </w:pPr>
      <w:r>
        <w:rPr>
          <w:rFonts w:ascii="Calibri" w:cs="Calibri" w:eastAsia="Calibri" w:hAnsi="Calibri"/>
          <w:sz w:val="20"/>
          <w:szCs w:val="20"/>
        </w:rPr>
        <w:t xml:space="preserve">Reembolso manual desde backoffice con registro de motivo</w:t>
      </w:r>
    </w:p>
    <w:p>
      <w:r>
        <w:br w:type="page"/>
      </w:r>
    </w:p>
    <w:p>
      <w:pPr>
        <w:pStyle w:val="Heading2"/>
        <w:spacing w:after="60" w:before="100"/>
      </w:pPr>
      <w:r>
        <w:rPr>
          <w:rFonts w:ascii="Calibri" w:cs="Calibri" w:eastAsia="Calibri" w:hAnsi="Calibri"/>
          <w:b/>
          <w:bCs/>
          <w:color w:val="1F3A5F"/>
          <w:sz w:val="27"/>
          <w:szCs w:val="27"/>
        </w:rPr>
        <w:t xml:space="preserve">Sprint 5 — Ejecución del trabajo y reputación</w:t>
      </w:r>
    </w:p>
    <w:p>
      <w:pPr>
        <w:spacing w:after="140"/>
      </w:pPr>
      <w:r>
        <w:rPr>
          <w:rFonts w:ascii="Calibri" w:cs="Calibri" w:eastAsia="Calibri" w:hAnsi="Calibri"/>
          <w:i/>
          <w:iCs/>
          <w:color w:val="5A5A5A"/>
          <w:sz w:val="19"/>
          <w:szCs w:val="19"/>
        </w:rPr>
        <w:t xml:space="preserve">Semanas 11–12  ·  Fase 1 (MVP)  ·  Épicas: Épicas G y H</w:t>
      </w:r>
    </w:p>
    <w:p>
      <w:pPr>
        <w:spacing w:after="140"/>
      </w:pPr>
      <w:r>
        <w:rPr>
          <w:rFonts w:ascii="Calibri" w:cs="Calibri" w:eastAsia="Calibri" w:hAnsi="Calibri"/>
          <w:b w:val="false"/>
          <w:bCs w:val="false"/>
          <w:sz w:val="21"/>
          <w:szCs w:val="21"/>
        </w:rPr>
        <w:t xml:space="preserve">El proveedor documenta el trabajo realizado y ambas partes se califican, cerrando el ciclo de confianza.</w:t>
      </w:r>
    </w:p>
    <w:p>
      <w:pPr>
        <w:spacing w:after="80" w:before="160"/>
      </w:pPr>
      <w:r>
        <w:rPr>
          <w:rFonts w:ascii="Calibri" w:cs="Calibri" w:eastAsia="Calibri" w:hAnsi="Calibri"/>
          <w:b/>
          <w:bCs/>
          <w:color w:val="1F3A5F"/>
          <w:sz w:val="22"/>
          <w:szCs w:val="22"/>
        </w:rPr>
        <w:t xml:space="preserve">Criterio de salida del sprint (Definition of Done)</w:t>
      </w:r>
    </w:p>
    <w:p>
      <w:pPr>
        <w:spacing w:after="140"/>
      </w:pPr>
      <w:r>
        <w:rPr>
          <w:rFonts w:ascii="Calibri" w:cs="Calibri" w:eastAsia="Calibri" w:hAnsi="Calibri"/>
          <w:sz w:val="21"/>
          <w:szCs w:val="21"/>
        </w:rPr>
        <w:t xml:space="preserve">Un booking de prueba puede marcarse como completado con evidencia fotográfica, y ambas partes pueden calificarse; el rating_avg del proveedor se actualiza automáticamente.</w:t>
      </w:r>
    </w:p>
    <w:p>
      <w:pPr>
        <w:pStyle w:val="Heading3"/>
        <w:spacing w:after="100" w:before="220"/>
      </w:pPr>
      <w:r>
        <w:t xml:space="preserve">Etapa 1 — Ejecución del trabajo</w:t>
      </w:r>
    </w:p>
    <w:p>
      <w:pPr>
        <w:spacing w:after="80" w:before="160"/>
      </w:pPr>
      <w:r>
        <w:rPr>
          <w:rFonts w:ascii="Calibri" w:cs="Calibri" w:eastAsia="Calibri" w:hAnsi="Calibri"/>
          <w:b/>
          <w:bCs/>
          <w:color w:val="1F3A5F"/>
          <w:sz w:val="22"/>
          <w:szCs w:val="22"/>
        </w:rPr>
        <w:t xml:space="preserve">Subetapa 1.1 — Checklist y evidencia</w:t>
      </w:r>
    </w:p>
    <w:p>
      <w:pPr>
        <w:pStyle w:val="ListParagraph"/>
        <w:numPr>
          <w:ilvl w:val="0"/>
          <w:numId w:val="3"/>
        </w:numPr>
        <w:spacing w:after="50"/>
      </w:pPr>
      <w:r>
        <w:rPr>
          <w:rFonts w:ascii="Calibri" w:cs="Calibri" w:eastAsia="Calibri" w:hAnsi="Calibri"/>
          <w:sz w:val="20"/>
          <w:szCs w:val="20"/>
        </w:rPr>
        <w:t xml:space="preserve">Checklist de tareas por categoría (configurable)</w:t>
      </w:r>
    </w:p>
    <w:p>
      <w:pPr>
        <w:pStyle w:val="ListParagraph"/>
        <w:numPr>
          <w:ilvl w:val="0"/>
          <w:numId w:val="3"/>
        </w:numPr>
        <w:spacing w:after="50"/>
      </w:pPr>
      <w:r>
        <w:rPr>
          <w:rFonts w:ascii="Calibri" w:cs="Calibri" w:eastAsia="Calibri" w:hAnsi="Calibri"/>
          <w:sz w:val="20"/>
          <w:szCs w:val="20"/>
        </w:rPr>
        <w:t xml:space="preserve">Carga de fotos antes/después</w:t>
      </w:r>
    </w:p>
    <w:p>
      <w:pPr>
        <w:pStyle w:val="ListParagraph"/>
        <w:numPr>
          <w:ilvl w:val="0"/>
          <w:numId w:val="3"/>
        </w:numPr>
        <w:spacing w:after="50"/>
      </w:pPr>
      <w:r>
        <w:rPr>
          <w:rFonts w:ascii="Calibri" w:cs="Calibri" w:eastAsia="Calibri" w:hAnsi="Calibri"/>
          <w:sz w:val="20"/>
          <w:szCs w:val="20"/>
        </w:rPr>
        <w:t xml:space="preserve">Notas y registro de materiales usados</w:t>
      </w:r>
    </w:p>
    <w:p>
      <w:pPr>
        <w:spacing w:after="80" w:before="160"/>
      </w:pPr>
      <w:r>
        <w:rPr>
          <w:rFonts w:ascii="Calibri" w:cs="Calibri" w:eastAsia="Calibri" w:hAnsi="Calibri"/>
          <w:b/>
          <w:bCs/>
          <w:color w:val="1F3A5F"/>
          <w:sz w:val="22"/>
          <w:szCs w:val="22"/>
        </w:rPr>
        <w:t xml:space="preserve">Subetapa 1.2 — Confirmación de finalización</w:t>
      </w:r>
    </w:p>
    <w:p>
      <w:pPr>
        <w:pStyle w:val="ListParagraph"/>
        <w:numPr>
          <w:ilvl w:val="0"/>
          <w:numId w:val="3"/>
        </w:numPr>
        <w:spacing w:after="50"/>
      </w:pPr>
      <w:r>
        <w:rPr>
          <w:rFonts w:ascii="Calibri" w:cs="Calibri" w:eastAsia="Calibri" w:hAnsi="Calibri"/>
          <w:sz w:val="20"/>
          <w:szCs w:val="20"/>
        </w:rPr>
        <w:t xml:space="preserve">Botón de confirmación de finalización por el cliente</w:t>
      </w:r>
    </w:p>
    <w:p>
      <w:pPr>
        <w:pStyle w:val="ListParagraph"/>
        <w:numPr>
          <w:ilvl w:val="0"/>
          <w:numId w:val="3"/>
        </w:numPr>
        <w:spacing w:after="50"/>
      </w:pPr>
      <w:r>
        <w:rPr>
          <w:rFonts w:ascii="Calibri" w:cs="Calibri" w:eastAsia="Calibri" w:hAnsi="Calibri"/>
          <w:sz w:val="20"/>
          <w:szCs w:val="20"/>
        </w:rPr>
        <w:t xml:space="preserve">Disparo del temporizador de ventana de disputa</w:t>
      </w:r>
    </w:p>
    <w:p>
      <w:pPr>
        <w:pStyle w:val="Heading3"/>
        <w:spacing w:after="100" w:before="220"/>
      </w:pPr>
      <w:r>
        <w:t xml:space="preserve">Etapa 2 — Reputación</w:t>
      </w:r>
    </w:p>
    <w:p>
      <w:pPr>
        <w:spacing w:after="80" w:before="160"/>
      </w:pPr>
      <w:r>
        <w:rPr>
          <w:rFonts w:ascii="Calibri" w:cs="Calibri" w:eastAsia="Calibri" w:hAnsi="Calibri"/>
          <w:b/>
          <w:bCs/>
          <w:color w:val="1F3A5F"/>
          <w:sz w:val="22"/>
          <w:szCs w:val="22"/>
        </w:rPr>
        <w:t xml:space="preserve">Subetapa 2.1 — Reseñas</w:t>
      </w:r>
    </w:p>
    <w:p>
      <w:pPr>
        <w:pStyle w:val="ListParagraph"/>
        <w:numPr>
          <w:ilvl w:val="0"/>
          <w:numId w:val="3"/>
        </w:numPr>
        <w:spacing w:after="50"/>
      </w:pPr>
      <w:r>
        <w:rPr>
          <w:rFonts w:ascii="Calibri" w:cs="Calibri" w:eastAsia="Calibri" w:hAnsi="Calibri"/>
          <w:sz w:val="20"/>
          <w:szCs w:val="20"/>
        </w:rPr>
        <w:t xml:space="preserve">Formulario de reseña bidireccional (cliente ↔ proveedor)</w:t>
      </w:r>
    </w:p>
    <w:p>
      <w:pPr>
        <w:pStyle w:val="ListParagraph"/>
        <w:numPr>
          <w:ilvl w:val="0"/>
          <w:numId w:val="3"/>
        </w:numPr>
        <w:spacing w:after="50"/>
      </w:pPr>
      <w:r>
        <w:rPr>
          <w:rFonts w:ascii="Calibri" w:cs="Calibri" w:eastAsia="Calibri" w:hAnsi="Calibri"/>
          <w:sz w:val="20"/>
          <w:szCs w:val="20"/>
        </w:rPr>
        <w:t xml:space="preserve">Restricción de una reseña por booking</w:t>
      </w:r>
    </w:p>
    <w:p>
      <w:pPr>
        <w:spacing w:after="80" w:before="160"/>
      </w:pPr>
      <w:r>
        <w:rPr>
          <w:rFonts w:ascii="Calibri" w:cs="Calibri" w:eastAsia="Calibri" w:hAnsi="Calibri"/>
          <w:b/>
          <w:bCs/>
          <w:color w:val="1F3A5F"/>
          <w:sz w:val="22"/>
          <w:szCs w:val="22"/>
        </w:rPr>
        <w:t xml:space="preserve">Subetapa 2.2 — Métricas derivadas</w:t>
      </w:r>
    </w:p>
    <w:p>
      <w:pPr>
        <w:pStyle w:val="ListParagraph"/>
        <w:numPr>
          <w:ilvl w:val="0"/>
          <w:numId w:val="3"/>
        </w:numPr>
        <w:spacing w:after="50"/>
      </w:pPr>
      <w:r>
        <w:rPr>
          <w:rFonts w:ascii="Calibri" w:cs="Calibri" w:eastAsia="Calibri" w:hAnsi="Calibri"/>
          <w:sz w:val="20"/>
          <w:szCs w:val="20"/>
        </w:rPr>
        <w:t xml:space="preserve">Cálculo de rating_avg y jobs_completed</w:t>
      </w:r>
    </w:p>
    <w:p>
      <w:pPr>
        <w:pStyle w:val="ListParagraph"/>
        <w:numPr>
          <w:ilvl w:val="0"/>
          <w:numId w:val="3"/>
        </w:numPr>
        <w:spacing w:after="50"/>
      </w:pPr>
      <w:r>
        <w:rPr>
          <w:rFonts w:ascii="Calibri" w:cs="Calibri" w:eastAsia="Calibri" w:hAnsi="Calibri"/>
          <w:sz w:val="20"/>
          <w:szCs w:val="20"/>
        </w:rPr>
        <w:t xml:space="preserve">Cálculo de cancellation_rate</w:t>
      </w:r>
    </w:p>
    <w:p>
      <w:pPr>
        <w:pStyle w:val="ListParagraph"/>
        <w:numPr>
          <w:ilvl w:val="0"/>
          <w:numId w:val="3"/>
        </w:numPr>
        <w:spacing w:after="50"/>
      </w:pPr>
      <w:r>
        <w:rPr>
          <w:rFonts w:ascii="Calibri" w:cs="Calibri" w:eastAsia="Calibri" w:hAnsi="Calibri"/>
          <w:sz w:val="20"/>
          <w:szCs w:val="20"/>
        </w:rPr>
        <w:t xml:space="preserve">Detección básica de manipulación de reseñas (ráfagas anómalas)</w:t>
      </w:r>
    </w:p>
    <w:p>
      <w:r>
        <w:br w:type="page"/>
      </w:r>
    </w:p>
    <w:p>
      <w:pPr>
        <w:pStyle w:val="Heading2"/>
        <w:spacing w:after="60" w:before="100"/>
      </w:pPr>
      <w:r>
        <w:rPr>
          <w:rFonts w:ascii="Calibri" w:cs="Calibri" w:eastAsia="Calibri" w:hAnsi="Calibri"/>
          <w:b/>
          <w:bCs/>
          <w:color w:val="1F3A5F"/>
          <w:sz w:val="27"/>
          <w:szCs w:val="27"/>
        </w:rPr>
        <w:t xml:space="preserve">Sprint 6 — Panel de negocio, backoffice y QA de lanzamiento</w:t>
      </w:r>
    </w:p>
    <w:p>
      <w:pPr>
        <w:spacing w:after="140"/>
      </w:pPr>
      <w:r>
        <w:rPr>
          <w:rFonts w:ascii="Calibri" w:cs="Calibri" w:eastAsia="Calibri" w:hAnsi="Calibri"/>
          <w:i/>
          <w:iCs/>
          <w:color w:val="5A5A5A"/>
          <w:sz w:val="19"/>
          <w:szCs w:val="19"/>
        </w:rPr>
        <w:t xml:space="preserve">Semanas 13–14  ·  Fase 1 (MVP)  ·  Épicas: Épicas I y J + cierre de Fase 1</w:t>
      </w:r>
    </w:p>
    <w:p>
      <w:pPr>
        <w:spacing w:after="140"/>
      </w:pPr>
      <w:r>
        <w:rPr>
          <w:rFonts w:ascii="Calibri" w:cs="Calibri" w:eastAsia="Calibri" w:hAnsi="Calibri"/>
          <w:b w:val="false"/>
          <w:bCs w:val="false"/>
          <w:sz w:val="21"/>
          <w:szCs w:val="21"/>
        </w:rPr>
        <w:t xml:space="preserve">El proveedor tiene un panel de negocio mínimo pero real, el equipo fundador tiene backoffice operativo, y el sistema completo se prueba de extremo a extremo antes del piloto.</w:t>
      </w:r>
    </w:p>
    <w:p>
      <w:pPr>
        <w:spacing w:after="80" w:before="160"/>
      </w:pPr>
      <w:r>
        <w:rPr>
          <w:rFonts w:ascii="Calibri" w:cs="Calibri" w:eastAsia="Calibri" w:hAnsi="Calibri"/>
          <w:b/>
          <w:bCs/>
          <w:color w:val="1F3A5F"/>
          <w:sz w:val="22"/>
          <w:szCs w:val="22"/>
        </w:rPr>
        <w:t xml:space="preserve">Criterio de salida del sprint (Definition of Done)</w:t>
      </w:r>
    </w:p>
    <w:p>
      <w:pPr>
        <w:spacing w:after="140"/>
      </w:pPr>
      <w:r>
        <w:rPr>
          <w:rFonts w:ascii="Calibri" w:cs="Calibri" w:eastAsia="Calibri" w:hAnsi="Calibri"/>
          <w:sz w:val="21"/>
          <w:szCs w:val="21"/>
        </w:rPr>
        <w:t xml:space="preserve">El flujo feliz completo (publicar → emparejar → cotizar → chatear → pagar → ejecutar → calificar) corre sin intervención manual en staging, con el backoffice mostrando el estado real del marketplace por categoría y zona.</w:t>
      </w:r>
    </w:p>
    <w:p>
      <w:pPr>
        <w:pStyle w:val="Heading3"/>
        <w:spacing w:after="100" w:before="220"/>
      </w:pPr>
      <w:r>
        <w:t xml:space="preserve">Etapa 1 — Panel de negocio del proveedor</w:t>
      </w:r>
    </w:p>
    <w:p>
      <w:pPr>
        <w:spacing w:after="80" w:before="160"/>
      </w:pPr>
      <w:r>
        <w:rPr>
          <w:rFonts w:ascii="Calibri" w:cs="Calibri" w:eastAsia="Calibri" w:hAnsi="Calibri"/>
          <w:b/>
          <w:bCs/>
          <w:color w:val="1F3A5F"/>
          <w:sz w:val="22"/>
          <w:szCs w:val="22"/>
        </w:rPr>
        <w:t xml:space="preserve">Subetapa 1.1 — Calendario y disponibilidad</w:t>
      </w:r>
    </w:p>
    <w:p>
      <w:pPr>
        <w:pStyle w:val="ListParagraph"/>
        <w:numPr>
          <w:ilvl w:val="0"/>
          <w:numId w:val="3"/>
        </w:numPr>
        <w:spacing w:after="50"/>
      </w:pPr>
      <w:r>
        <w:rPr>
          <w:rFonts w:ascii="Calibri" w:cs="Calibri" w:eastAsia="Calibri" w:hAnsi="Calibri"/>
          <w:sz w:val="20"/>
          <w:szCs w:val="20"/>
        </w:rPr>
        <w:t xml:space="preserve">Vista de calendario con disponibilidad configurable</w:t>
      </w:r>
    </w:p>
    <w:p>
      <w:pPr>
        <w:pStyle w:val="ListParagraph"/>
        <w:numPr>
          <w:ilvl w:val="0"/>
          <w:numId w:val="3"/>
        </w:numPr>
        <w:spacing w:after="50"/>
      </w:pPr>
      <w:r>
        <w:rPr>
          <w:rFonts w:ascii="Calibri" w:cs="Calibri" w:eastAsia="Calibri" w:hAnsi="Calibri"/>
          <w:sz w:val="20"/>
          <w:szCs w:val="20"/>
        </w:rPr>
        <w:t xml:space="preserve">Sincronización opcional con Google Calendar (si el tiempo del sprint lo permite; si no, pasa a Fase 2)</w:t>
      </w:r>
    </w:p>
    <w:p>
      <w:pPr>
        <w:spacing w:after="80" w:before="160"/>
      </w:pPr>
      <w:r>
        <w:rPr>
          <w:rFonts w:ascii="Calibri" w:cs="Calibri" w:eastAsia="Calibri" w:hAnsi="Calibri"/>
          <w:b/>
          <w:bCs/>
          <w:color w:val="1F3A5F"/>
          <w:sz w:val="22"/>
          <w:szCs w:val="22"/>
        </w:rPr>
        <w:t xml:space="preserve">Subetapa 1.2 — Historial y métricas</w:t>
      </w:r>
    </w:p>
    <w:p>
      <w:pPr>
        <w:pStyle w:val="ListParagraph"/>
        <w:numPr>
          <w:ilvl w:val="0"/>
          <w:numId w:val="3"/>
        </w:numPr>
        <w:spacing w:after="50"/>
      </w:pPr>
      <w:r>
        <w:rPr>
          <w:rFonts w:ascii="Calibri" w:cs="Calibri" w:eastAsia="Calibri" w:hAnsi="Calibri"/>
          <w:sz w:val="20"/>
          <w:szCs w:val="20"/>
        </w:rPr>
        <w:t xml:space="preserve">Historial de trabajos e ingresos</w:t>
      </w:r>
    </w:p>
    <w:p>
      <w:pPr>
        <w:pStyle w:val="ListParagraph"/>
        <w:numPr>
          <w:ilvl w:val="0"/>
          <w:numId w:val="3"/>
        </w:numPr>
        <w:spacing w:after="50"/>
      </w:pPr>
      <w:r>
        <w:rPr>
          <w:rFonts w:ascii="Calibri" w:cs="Calibri" w:eastAsia="Calibri" w:hAnsi="Calibri"/>
          <w:sz w:val="20"/>
          <w:szCs w:val="20"/>
        </w:rPr>
        <w:t xml:space="preserve">Métricas básicas: tasa de conversión, tiempo de respuesta</w:t>
      </w:r>
    </w:p>
    <w:p>
      <w:pPr>
        <w:pStyle w:val="Heading3"/>
        <w:spacing w:after="100" w:before="220"/>
      </w:pPr>
      <w:r>
        <w:t xml:space="preserve">Etapa 2 — Backoffice interno</w:t>
      </w:r>
    </w:p>
    <w:p>
      <w:pPr>
        <w:spacing w:after="80" w:before="160"/>
      </w:pPr>
      <w:r>
        <w:rPr>
          <w:rFonts w:ascii="Calibri" w:cs="Calibri" w:eastAsia="Calibri" w:hAnsi="Calibri"/>
          <w:b/>
          <w:bCs/>
          <w:color w:val="1F3A5F"/>
          <w:sz w:val="22"/>
          <w:szCs w:val="22"/>
        </w:rPr>
        <w:t xml:space="preserve">Subetapa 2.1 — Moderación</w:t>
      </w:r>
    </w:p>
    <w:p>
      <w:pPr>
        <w:pStyle w:val="ListParagraph"/>
        <w:numPr>
          <w:ilvl w:val="0"/>
          <w:numId w:val="3"/>
        </w:numPr>
        <w:spacing w:after="50"/>
      </w:pPr>
      <w:r>
        <w:rPr>
          <w:rFonts w:ascii="Calibri" w:cs="Calibri" w:eastAsia="Calibri" w:hAnsi="Calibri"/>
          <w:sz w:val="20"/>
          <w:szCs w:val="20"/>
        </w:rPr>
        <w:t xml:space="preserve">Panel de revisión de perfiles pendientes de verificación</w:t>
      </w:r>
    </w:p>
    <w:p>
      <w:pPr>
        <w:pStyle w:val="ListParagraph"/>
        <w:numPr>
          <w:ilvl w:val="0"/>
          <w:numId w:val="3"/>
        </w:numPr>
        <w:spacing w:after="50"/>
      </w:pPr>
      <w:r>
        <w:rPr>
          <w:rFonts w:ascii="Calibri" w:cs="Calibri" w:eastAsia="Calibri" w:hAnsi="Calibri"/>
          <w:sz w:val="20"/>
          <w:szCs w:val="20"/>
        </w:rPr>
        <w:t xml:space="preserve">Panel de gestión de disputas abiertas</w:t>
      </w:r>
    </w:p>
    <w:p>
      <w:pPr>
        <w:spacing w:after="80" w:before="160"/>
      </w:pPr>
      <w:r>
        <w:rPr>
          <w:rFonts w:ascii="Calibri" w:cs="Calibri" w:eastAsia="Calibri" w:hAnsi="Calibri"/>
          <w:b/>
          <w:bCs/>
          <w:color w:val="1F3A5F"/>
          <w:sz w:val="22"/>
          <w:szCs w:val="22"/>
        </w:rPr>
        <w:t xml:space="preserve">Subetapa 2.2 — Salud del marketplace</w:t>
      </w:r>
    </w:p>
    <w:p>
      <w:pPr>
        <w:pStyle w:val="ListParagraph"/>
        <w:numPr>
          <w:ilvl w:val="0"/>
          <w:numId w:val="3"/>
        </w:numPr>
        <w:spacing w:after="50"/>
      </w:pPr>
      <w:r>
        <w:rPr>
          <w:rFonts w:ascii="Calibri" w:cs="Calibri" w:eastAsia="Calibri" w:hAnsi="Calibri"/>
          <w:sz w:val="20"/>
          <w:szCs w:val="20"/>
        </w:rPr>
        <w:t xml:space="preserve">Panel de ratio proveedores activos : solicitudes por categoría/zona</w:t>
      </w:r>
    </w:p>
    <w:p>
      <w:pPr>
        <w:pStyle w:val="ListParagraph"/>
        <w:numPr>
          <w:ilvl w:val="0"/>
          <w:numId w:val="3"/>
        </w:numPr>
        <w:spacing w:after="50"/>
      </w:pPr>
      <w:r>
        <w:rPr>
          <w:rFonts w:ascii="Calibri" w:cs="Calibri" w:eastAsia="Calibri" w:hAnsi="Calibri"/>
          <w:sz w:val="20"/>
          <w:szCs w:val="20"/>
        </w:rPr>
        <w:t xml:space="preserve">Alerta cuando el ratio cae por debajo del umbral definido antes de abrir marketing en una zona</w:t>
      </w:r>
    </w:p>
    <w:p>
      <w:pPr>
        <w:pStyle w:val="Heading3"/>
        <w:spacing w:after="100" w:before="220"/>
      </w:pPr>
      <w:r>
        <w:t xml:space="preserve">Etapa 3 — QA y preparación del piloto</w:t>
      </w:r>
    </w:p>
    <w:p>
      <w:pPr>
        <w:spacing w:after="80" w:before="160"/>
      </w:pPr>
      <w:r>
        <w:rPr>
          <w:rFonts w:ascii="Calibri" w:cs="Calibri" w:eastAsia="Calibri" w:hAnsi="Calibri"/>
          <w:b/>
          <w:bCs/>
          <w:color w:val="1F3A5F"/>
          <w:sz w:val="22"/>
          <w:szCs w:val="22"/>
        </w:rPr>
        <w:t xml:space="preserve">Subetapa 3.1 — Pruebas de extremo a extremo</w:t>
      </w:r>
    </w:p>
    <w:p>
      <w:pPr>
        <w:pStyle w:val="ListParagraph"/>
        <w:numPr>
          <w:ilvl w:val="0"/>
          <w:numId w:val="3"/>
        </w:numPr>
        <w:spacing w:after="50"/>
      </w:pPr>
      <w:r>
        <w:rPr>
          <w:rFonts w:ascii="Calibri" w:cs="Calibri" w:eastAsia="Calibri" w:hAnsi="Calibri"/>
          <w:sz w:val="20"/>
          <w:szCs w:val="20"/>
        </w:rPr>
        <w:t xml:space="preserve">Prueba manual y automatizada del flujo feliz completo</w:t>
      </w:r>
    </w:p>
    <w:p>
      <w:pPr>
        <w:pStyle w:val="ListParagraph"/>
        <w:numPr>
          <w:ilvl w:val="0"/>
          <w:numId w:val="3"/>
        </w:numPr>
        <w:spacing w:after="50"/>
      </w:pPr>
      <w:r>
        <w:rPr>
          <w:rFonts w:ascii="Calibri" w:cs="Calibri" w:eastAsia="Calibri" w:hAnsi="Calibri"/>
          <w:sz w:val="20"/>
          <w:szCs w:val="20"/>
        </w:rPr>
        <w:t xml:space="preserve">Prueba de los casos de disputa, reembolso y expiración de ventana</w:t>
      </w:r>
    </w:p>
    <w:p>
      <w:pPr>
        <w:pStyle w:val="ListParagraph"/>
        <w:numPr>
          <w:ilvl w:val="0"/>
          <w:numId w:val="3"/>
        </w:numPr>
        <w:spacing w:after="50"/>
      </w:pPr>
      <w:r>
        <w:rPr>
          <w:rFonts w:ascii="Calibri" w:cs="Calibri" w:eastAsia="Calibri" w:hAnsi="Calibri"/>
          <w:sz w:val="20"/>
          <w:szCs w:val="20"/>
        </w:rPr>
        <w:t xml:space="preserve">Prueba de carga ligera (simular el volumen esperado del primer mes)</w:t>
      </w:r>
    </w:p>
    <w:p>
      <w:pPr>
        <w:spacing w:after="80" w:before="160"/>
      </w:pPr>
      <w:r>
        <w:rPr>
          <w:rFonts w:ascii="Calibri" w:cs="Calibri" w:eastAsia="Calibri" w:hAnsi="Calibri"/>
          <w:b/>
          <w:bCs/>
          <w:color w:val="1F3A5F"/>
          <w:sz w:val="22"/>
          <w:szCs w:val="22"/>
        </w:rPr>
        <w:t xml:space="preserve">Subetapa 3.2 — Pulido y lanzamiento</w:t>
      </w:r>
    </w:p>
    <w:p>
      <w:pPr>
        <w:pStyle w:val="ListParagraph"/>
        <w:numPr>
          <w:ilvl w:val="0"/>
          <w:numId w:val="3"/>
        </w:numPr>
        <w:spacing w:after="50"/>
      </w:pPr>
      <w:r>
        <w:rPr>
          <w:rFonts w:ascii="Calibri" w:cs="Calibri" w:eastAsia="Calibri" w:hAnsi="Calibri"/>
          <w:sz w:val="20"/>
          <w:szCs w:val="20"/>
        </w:rPr>
        <w:t xml:space="preserve">Revisión de UI/UX en ambos frontends (cliente y proveedor)</w:t>
      </w:r>
    </w:p>
    <w:p>
      <w:pPr>
        <w:pStyle w:val="ListParagraph"/>
        <w:numPr>
          <w:ilvl w:val="0"/>
          <w:numId w:val="3"/>
        </w:numPr>
        <w:spacing w:after="50"/>
      </w:pPr>
      <w:r>
        <w:rPr>
          <w:rFonts w:ascii="Calibri" w:cs="Calibri" w:eastAsia="Calibri" w:hAnsi="Calibri"/>
          <w:sz w:val="20"/>
          <w:szCs w:val="20"/>
        </w:rPr>
        <w:t xml:space="preserve">Checklist legal mínimo revisado con abogado (términos, política de cancelación, licencias por categoría)</w:t>
      </w:r>
    </w:p>
    <w:p>
      <w:pPr>
        <w:pStyle w:val="ListParagraph"/>
        <w:numPr>
          <w:ilvl w:val="0"/>
          <w:numId w:val="3"/>
        </w:numPr>
        <w:spacing w:after="50"/>
      </w:pPr>
      <w:r>
        <w:rPr>
          <w:rFonts w:ascii="Calibri" w:cs="Calibri" w:eastAsia="Calibri" w:hAnsi="Calibri"/>
          <w:sz w:val="20"/>
          <w:szCs w:val="20"/>
        </w:rPr>
        <w:t xml:space="preserve">Selección final de ciudad y 3–5 categorías de lanzamiento</w:t>
      </w:r>
    </w:p>
    <w:p>
      <w:pPr>
        <w:pStyle w:val="ListParagraph"/>
        <w:numPr>
          <w:ilvl w:val="0"/>
          <w:numId w:val="3"/>
        </w:numPr>
        <w:spacing w:after="50"/>
      </w:pPr>
      <w:r>
        <w:rPr>
          <w:rFonts w:ascii="Calibri" w:cs="Calibri" w:eastAsia="Calibri" w:hAnsi="Calibri"/>
          <w:sz w:val="20"/>
          <w:szCs w:val="20"/>
        </w:rPr>
        <w:t xml:space="preserve">Onboarding manual ("concierge") de los primeros proveedores piloto</w:t>
      </w:r>
    </w:p>
    <w:p>
      <w:r>
        <w:br w:type="page"/>
      </w:r>
    </w:p>
    <w:p>
      <w:pPr>
        <w:pStyle w:val="Heading2"/>
        <w:spacing w:after="60" w:before="100"/>
      </w:pPr>
      <w:r>
        <w:rPr>
          <w:rFonts w:ascii="Calibri" w:cs="Calibri" w:eastAsia="Calibri" w:hAnsi="Calibri"/>
          <w:b/>
          <w:bCs/>
          <w:color w:val="1F3A5F"/>
          <w:sz w:val="27"/>
          <w:szCs w:val="27"/>
        </w:rPr>
        <w:t xml:space="preserve">Sprint 7 — Niveles, comisión decreciente y pagos por etapas</w:t>
      </w:r>
    </w:p>
    <w:p>
      <w:pPr>
        <w:spacing w:after="140"/>
      </w:pPr>
      <w:r>
        <w:rPr>
          <w:rFonts w:ascii="Calibri" w:cs="Calibri" w:eastAsia="Calibri" w:hAnsi="Calibri"/>
          <w:i/>
          <w:iCs/>
          <w:color w:val="5A5A5A"/>
          <w:sz w:val="19"/>
          <w:szCs w:val="19"/>
        </w:rPr>
        <w:t xml:space="preserve">Semanas 16–17  ·  Fase 2  ·  Épicas: Mejora de Épica F + nueva funcionalidad de niveles</w:t>
      </w:r>
    </w:p>
    <w:p>
      <w:pPr>
        <w:spacing w:after="140"/>
      </w:pPr>
      <w:r>
        <w:rPr>
          <w:rFonts w:ascii="Calibri" w:cs="Calibri" w:eastAsia="Calibri" w:hAnsi="Calibri"/>
          <w:b w:val="false"/>
          <w:bCs w:val="false"/>
          <w:sz w:val="21"/>
          <w:szCs w:val="21"/>
        </w:rPr>
        <w:t xml:space="preserve">Activar el sistema completo de niveles de proveedor y habilitar pagos por etapas para proyectos grandes, usando datos reales del piloto.</w:t>
      </w:r>
    </w:p>
    <w:p>
      <w:pPr>
        <w:spacing w:after="80" w:before="160"/>
      </w:pPr>
      <w:r>
        <w:rPr>
          <w:rFonts w:ascii="Calibri" w:cs="Calibri" w:eastAsia="Calibri" w:hAnsi="Calibri"/>
          <w:b/>
          <w:bCs/>
          <w:color w:val="1F3A5F"/>
          <w:sz w:val="22"/>
          <w:szCs w:val="22"/>
        </w:rPr>
        <w:t xml:space="preserve">Criterio de salida del sprint (Definition of Done)</w:t>
      </w:r>
    </w:p>
    <w:p>
      <w:pPr>
        <w:spacing w:after="140"/>
      </w:pPr>
      <w:r>
        <w:rPr>
          <w:rFonts w:ascii="Calibri" w:cs="Calibri" w:eastAsia="Calibri" w:hAnsi="Calibri"/>
          <w:sz w:val="21"/>
          <w:szCs w:val="21"/>
        </w:rPr>
        <w:t xml:space="preserve">Un proveedor con historial suficiente sube de nivel automáticamente y su próxima transacción refleja la comisión reducida; un proyecto grande puede pagarse en al menos 2 hitos.</w:t>
      </w:r>
    </w:p>
    <w:p>
      <w:pPr>
        <w:pStyle w:val="Heading3"/>
        <w:spacing w:after="100" w:before="220"/>
      </w:pPr>
      <w:r>
        <w:t xml:space="preserve">Etapa 1 — Niveles de proveedor</w:t>
      </w:r>
    </w:p>
    <w:p>
      <w:pPr>
        <w:spacing w:after="80" w:before="160"/>
      </w:pPr>
      <w:r>
        <w:rPr>
          <w:rFonts w:ascii="Calibri" w:cs="Calibri" w:eastAsia="Calibri" w:hAnsi="Calibri"/>
          <w:b/>
          <w:bCs/>
          <w:color w:val="1F3A5F"/>
          <w:sz w:val="22"/>
          <w:szCs w:val="22"/>
        </w:rPr>
        <w:t xml:space="preserve">Subetapa 1.1 — Cálculo de nivel</w:t>
      </w:r>
    </w:p>
    <w:p>
      <w:pPr>
        <w:pStyle w:val="ListParagraph"/>
        <w:numPr>
          <w:ilvl w:val="0"/>
          <w:numId w:val="3"/>
        </w:numPr>
        <w:spacing w:after="50"/>
      </w:pPr>
      <w:r>
        <w:rPr>
          <w:rFonts w:ascii="Calibri" w:cs="Calibri" w:eastAsia="Calibri" w:hAnsi="Calibri"/>
          <w:sz w:val="20"/>
          <w:szCs w:val="20"/>
        </w:rPr>
        <w:t xml:space="preserve">Job programado que evalúa trabajos completados, rating y tasa de cancelación</w:t>
      </w:r>
    </w:p>
    <w:p>
      <w:pPr>
        <w:pStyle w:val="ListParagraph"/>
        <w:numPr>
          <w:ilvl w:val="0"/>
          <w:numId w:val="3"/>
        </w:numPr>
        <w:spacing w:after="50"/>
      </w:pPr>
      <w:r>
        <w:rPr>
          <w:rFonts w:ascii="Calibri" w:cs="Calibri" w:eastAsia="Calibri" w:hAnsi="Calibri"/>
          <w:sz w:val="20"/>
          <w:szCs w:val="20"/>
        </w:rPr>
        <w:t xml:space="preserve">Actualización de provider_profiles.tier según los umbrales de la tabla de niveles</w:t>
      </w:r>
    </w:p>
    <w:p>
      <w:pPr>
        <w:spacing w:after="80" w:before="160"/>
      </w:pPr>
      <w:r>
        <w:rPr>
          <w:rFonts w:ascii="Calibri" w:cs="Calibri" w:eastAsia="Calibri" w:hAnsi="Calibri"/>
          <w:b/>
          <w:bCs/>
          <w:color w:val="1F3A5F"/>
          <w:sz w:val="22"/>
          <w:szCs w:val="22"/>
        </w:rPr>
        <w:t xml:space="preserve">Subetapa 1.2 — Comunicación al proveedor</w:t>
      </w:r>
    </w:p>
    <w:p>
      <w:pPr>
        <w:pStyle w:val="ListParagraph"/>
        <w:numPr>
          <w:ilvl w:val="0"/>
          <w:numId w:val="3"/>
        </w:numPr>
        <w:spacing w:after="50"/>
      </w:pPr>
      <w:r>
        <w:rPr>
          <w:rFonts w:ascii="Calibri" w:cs="Calibri" w:eastAsia="Calibri" w:hAnsi="Calibri"/>
          <w:sz w:val="20"/>
          <w:szCs w:val="20"/>
        </w:rPr>
        <w:t xml:space="preserve">Notificación de cambio de nivel</w:t>
      </w:r>
    </w:p>
    <w:p>
      <w:pPr>
        <w:pStyle w:val="ListParagraph"/>
        <w:numPr>
          <w:ilvl w:val="0"/>
          <w:numId w:val="3"/>
        </w:numPr>
        <w:spacing w:after="50"/>
      </w:pPr>
      <w:r>
        <w:rPr>
          <w:rFonts w:ascii="Calibri" w:cs="Calibri" w:eastAsia="Calibri" w:hAnsi="Calibri"/>
          <w:sz w:val="20"/>
          <w:szCs w:val="20"/>
        </w:rPr>
        <w:t xml:space="preserve">Visualización de progreso hacia el siguiente nivel en el panel de negocio</w:t>
      </w:r>
    </w:p>
    <w:p>
      <w:pPr>
        <w:pStyle w:val="Heading3"/>
        <w:spacing w:after="100" w:before="220"/>
      </w:pPr>
      <w:r>
        <w:t xml:space="preserve">Etapa 2 — Pagos por etapas (milestones)</w:t>
      </w:r>
    </w:p>
    <w:p>
      <w:pPr>
        <w:spacing w:after="80" w:before="160"/>
      </w:pPr>
      <w:r>
        <w:rPr>
          <w:rFonts w:ascii="Calibri" w:cs="Calibri" w:eastAsia="Calibri" w:hAnsi="Calibri"/>
          <w:b/>
          <w:bCs/>
          <w:color w:val="1F3A5F"/>
          <w:sz w:val="22"/>
          <w:szCs w:val="22"/>
        </w:rPr>
        <w:t xml:space="preserve">Subetapa 2.1 — Modelo de hitos</w:t>
      </w:r>
    </w:p>
    <w:p>
      <w:pPr>
        <w:pStyle w:val="ListParagraph"/>
        <w:numPr>
          <w:ilvl w:val="0"/>
          <w:numId w:val="3"/>
        </w:numPr>
        <w:spacing w:after="50"/>
      </w:pPr>
      <w:r>
        <w:rPr>
          <w:rFonts w:ascii="Calibri" w:cs="Calibri" w:eastAsia="Calibri" w:hAnsi="Calibri"/>
          <w:sz w:val="20"/>
          <w:szCs w:val="20"/>
        </w:rPr>
        <w:t xml:space="preserve">Extensión del modelo bookings para soportar múltiples milestones</w:t>
      </w:r>
    </w:p>
    <w:p>
      <w:pPr>
        <w:pStyle w:val="ListParagraph"/>
        <w:numPr>
          <w:ilvl w:val="0"/>
          <w:numId w:val="3"/>
        </w:numPr>
        <w:spacing w:after="50"/>
      </w:pPr>
      <w:r>
        <w:rPr>
          <w:rFonts w:ascii="Calibri" w:cs="Calibri" w:eastAsia="Calibri" w:hAnsi="Calibri"/>
          <w:sz w:val="20"/>
          <w:szCs w:val="20"/>
        </w:rPr>
        <w:t xml:space="preserve">Definición de porcentaje/monto por hito al momento de la cotización</w:t>
      </w:r>
    </w:p>
    <w:p>
      <w:pPr>
        <w:spacing w:after="80" w:before="160"/>
      </w:pPr>
      <w:r>
        <w:rPr>
          <w:rFonts w:ascii="Calibri" w:cs="Calibri" w:eastAsia="Calibri" w:hAnsi="Calibri"/>
          <w:b/>
          <w:bCs/>
          <w:color w:val="1F3A5F"/>
          <w:sz w:val="22"/>
          <w:szCs w:val="22"/>
        </w:rPr>
        <w:t xml:space="preserve">Subetapa 2.2 — Flujo de aprobación y pago por hito</w:t>
      </w:r>
    </w:p>
    <w:p>
      <w:pPr>
        <w:pStyle w:val="ListParagraph"/>
        <w:numPr>
          <w:ilvl w:val="0"/>
          <w:numId w:val="3"/>
        </w:numPr>
        <w:spacing w:after="50"/>
      </w:pPr>
      <w:r>
        <w:rPr>
          <w:rFonts w:ascii="Calibri" w:cs="Calibri" w:eastAsia="Calibri" w:hAnsi="Calibri"/>
          <w:sz w:val="20"/>
          <w:szCs w:val="20"/>
        </w:rPr>
        <w:t xml:space="preserve">Evidencia fotográfica requerida para liberar cada hito</w:t>
      </w:r>
    </w:p>
    <w:p>
      <w:pPr>
        <w:pStyle w:val="ListParagraph"/>
        <w:numPr>
          <w:ilvl w:val="0"/>
          <w:numId w:val="3"/>
        </w:numPr>
        <w:spacing w:after="50"/>
      </w:pPr>
      <w:r>
        <w:rPr>
          <w:rFonts w:ascii="Calibri" w:cs="Calibri" w:eastAsia="Calibri" w:hAnsi="Calibri"/>
          <w:sz w:val="20"/>
          <w:szCs w:val="20"/>
        </w:rPr>
        <w:t xml:space="preserve">Aprobación del cliente por hito antes de liberar el pago correspondiente</w:t>
      </w:r>
    </w:p>
    <w:p>
      <w:r>
        <w:br w:type="page"/>
      </w:r>
    </w:p>
    <w:p>
      <w:pPr>
        <w:pStyle w:val="Heading2"/>
        <w:spacing w:after="60" w:before="100"/>
      </w:pPr>
      <w:r>
        <w:rPr>
          <w:rFonts w:ascii="Calibri" w:cs="Calibri" w:eastAsia="Calibri" w:hAnsi="Calibri"/>
          <w:b/>
          <w:bCs/>
          <w:color w:val="1F3A5F"/>
          <w:sz w:val="27"/>
          <w:szCs w:val="27"/>
        </w:rPr>
        <w:t xml:space="preserve">Sprint 8 — Cotizaciones asistidas por IA</w:t>
      </w:r>
    </w:p>
    <w:p>
      <w:pPr>
        <w:spacing w:after="140"/>
      </w:pPr>
      <w:r>
        <w:rPr>
          <w:rFonts w:ascii="Calibri" w:cs="Calibri" w:eastAsia="Calibri" w:hAnsi="Calibri"/>
          <w:i/>
          <w:iCs/>
          <w:color w:val="5A5A5A"/>
          <w:sz w:val="19"/>
          <w:szCs w:val="19"/>
        </w:rPr>
        <w:t xml:space="preserve">Semanas 18–19  ·  Fase 2  ·  Épicas: Mejora de Épica D</w:t>
      </w:r>
    </w:p>
    <w:p>
      <w:pPr>
        <w:spacing w:after="140"/>
      </w:pPr>
      <w:r>
        <w:rPr>
          <w:rFonts w:ascii="Calibri" w:cs="Calibri" w:eastAsia="Calibri" w:hAnsi="Calibri"/>
          <w:b w:val="false"/>
          <w:bCs w:val="false"/>
          <w:sz w:val="21"/>
          <w:szCs w:val="21"/>
        </w:rPr>
        <w:t xml:space="preserve">Reducir la fricción de cotización usando IA para sugerir alcance y precio a partir de fotos y descripción del cliente.</w:t>
      </w:r>
    </w:p>
    <w:p>
      <w:pPr>
        <w:spacing w:after="80" w:before="160"/>
      </w:pPr>
      <w:r>
        <w:rPr>
          <w:rFonts w:ascii="Calibri" w:cs="Calibri" w:eastAsia="Calibri" w:hAnsi="Calibri"/>
          <w:b/>
          <w:bCs/>
          <w:color w:val="1F3A5F"/>
          <w:sz w:val="22"/>
          <w:szCs w:val="22"/>
        </w:rPr>
        <w:t xml:space="preserve">Criterio de salida del sprint (Definition of Done)</w:t>
      </w:r>
    </w:p>
    <w:p>
      <w:pPr>
        <w:spacing w:after="140"/>
      </w:pPr>
      <w:r>
        <w:rPr>
          <w:rFonts w:ascii="Calibri" w:cs="Calibri" w:eastAsia="Calibri" w:hAnsi="Calibri"/>
          <w:sz w:val="21"/>
          <w:szCs w:val="21"/>
        </w:rPr>
        <w:t xml:space="preserve">A partir de una solicitud con fotos, el sistema sugiere un alcance de trabajo y rango de precio que el proveedor puede aceptar, editar o descartar antes de enviarlo al cliente.</w:t>
      </w:r>
    </w:p>
    <w:p>
      <w:pPr>
        <w:pStyle w:val="Heading3"/>
        <w:spacing w:after="100" w:before="220"/>
      </w:pPr>
      <w:r>
        <w:t xml:space="preserve">Etapa 1 — Análisis de la solicitud</w:t>
      </w:r>
    </w:p>
    <w:p>
      <w:pPr>
        <w:spacing w:after="80" w:before="160"/>
      </w:pPr>
      <w:r>
        <w:rPr>
          <w:rFonts w:ascii="Calibri" w:cs="Calibri" w:eastAsia="Calibri" w:hAnsi="Calibri"/>
          <w:b/>
          <w:bCs/>
          <w:color w:val="1F3A5F"/>
          <w:sz w:val="22"/>
          <w:szCs w:val="22"/>
        </w:rPr>
        <w:t xml:space="preserve">Subetapa 1.1 — Integración con API de IA</w:t>
      </w:r>
    </w:p>
    <w:p>
      <w:pPr>
        <w:pStyle w:val="ListParagraph"/>
        <w:numPr>
          <w:ilvl w:val="0"/>
          <w:numId w:val="3"/>
        </w:numPr>
        <w:spacing w:after="50"/>
      </w:pPr>
      <w:r>
        <w:rPr>
          <w:rFonts w:ascii="Calibri" w:cs="Calibri" w:eastAsia="Calibri" w:hAnsi="Calibri"/>
          <w:sz w:val="20"/>
          <w:szCs w:val="20"/>
        </w:rPr>
        <w:t xml:space="preserve">Envío de fotos y descripción a la API de Claude para estructurar alcance sugerido</w:t>
      </w:r>
    </w:p>
    <w:p>
      <w:pPr>
        <w:pStyle w:val="ListParagraph"/>
        <w:numPr>
          <w:ilvl w:val="0"/>
          <w:numId w:val="3"/>
        </w:numPr>
        <w:spacing w:after="50"/>
      </w:pPr>
      <w:r>
        <w:rPr>
          <w:rFonts w:ascii="Calibri" w:cs="Calibri" w:eastAsia="Calibri" w:hAnsi="Calibri"/>
          <w:sz w:val="20"/>
          <w:szCs w:val="20"/>
        </w:rPr>
        <w:t xml:space="preserve">Definición de un formato de salida estructurado (JSON) para alcance y rango de precio</w:t>
      </w:r>
    </w:p>
    <w:p>
      <w:pPr>
        <w:spacing w:after="80" w:before="160"/>
      </w:pPr>
      <w:r>
        <w:rPr>
          <w:rFonts w:ascii="Calibri" w:cs="Calibri" w:eastAsia="Calibri" w:hAnsi="Calibri"/>
          <w:b/>
          <w:bCs/>
          <w:color w:val="1F3A5F"/>
          <w:sz w:val="22"/>
          <w:szCs w:val="22"/>
        </w:rPr>
        <w:t xml:space="preserve">Subetapa 1.2 — Presentación al proveedor</w:t>
      </w:r>
    </w:p>
    <w:p>
      <w:pPr>
        <w:pStyle w:val="ListParagraph"/>
        <w:numPr>
          <w:ilvl w:val="0"/>
          <w:numId w:val="3"/>
        </w:numPr>
        <w:spacing w:after="50"/>
      </w:pPr>
      <w:r>
        <w:rPr>
          <w:rFonts w:ascii="Calibri" w:cs="Calibri" w:eastAsia="Calibri" w:hAnsi="Calibri"/>
          <w:sz w:val="20"/>
          <w:szCs w:val="20"/>
        </w:rPr>
        <w:t xml:space="preserve">Vista de "cotización sugerida" editable antes de enviarla al cliente</w:t>
      </w:r>
    </w:p>
    <w:p>
      <w:pPr>
        <w:pStyle w:val="ListParagraph"/>
        <w:numPr>
          <w:ilvl w:val="0"/>
          <w:numId w:val="3"/>
        </w:numPr>
        <w:spacing w:after="50"/>
      </w:pPr>
      <w:r>
        <w:rPr>
          <w:rFonts w:ascii="Calibri" w:cs="Calibri" w:eastAsia="Calibri" w:hAnsi="Calibri"/>
          <w:sz w:val="20"/>
          <w:szCs w:val="20"/>
        </w:rPr>
        <w:t xml:space="preserve">Registro de qué tanto edita el proveedor la sugerencia (insumo para mejorar el prompt)</w:t>
      </w:r>
    </w:p>
    <w:p>
      <w:pPr>
        <w:pStyle w:val="Heading3"/>
        <w:spacing w:after="100" w:before="220"/>
      </w:pPr>
      <w:r>
        <w:t xml:space="preserve">Etapa 2 — Calibración y control de calidad</w:t>
      </w:r>
    </w:p>
    <w:p>
      <w:pPr>
        <w:spacing w:after="80" w:before="160"/>
      </w:pPr>
      <w:r>
        <w:rPr>
          <w:rFonts w:ascii="Calibri" w:cs="Calibri" w:eastAsia="Calibri" w:hAnsi="Calibri"/>
          <w:b/>
          <w:bCs/>
          <w:color w:val="1F3A5F"/>
          <w:sz w:val="22"/>
          <w:szCs w:val="22"/>
        </w:rPr>
        <w:t xml:space="preserve">Subetapa 2.1 — Validación</w:t>
      </w:r>
    </w:p>
    <w:p>
      <w:pPr>
        <w:pStyle w:val="ListParagraph"/>
        <w:numPr>
          <w:ilvl w:val="0"/>
          <w:numId w:val="3"/>
        </w:numPr>
        <w:spacing w:after="50"/>
      </w:pPr>
      <w:r>
        <w:rPr>
          <w:rFonts w:ascii="Calibri" w:cs="Calibri" w:eastAsia="Calibri" w:hAnsi="Calibri"/>
          <w:sz w:val="20"/>
          <w:szCs w:val="20"/>
        </w:rPr>
        <w:t xml:space="preserve">Revisión manual de una muestra de sugerencias durante las primeras semanas</w:t>
      </w:r>
    </w:p>
    <w:p>
      <w:pPr>
        <w:pStyle w:val="ListParagraph"/>
        <w:numPr>
          <w:ilvl w:val="0"/>
          <w:numId w:val="3"/>
        </w:numPr>
        <w:spacing w:after="50"/>
      </w:pPr>
      <w:r>
        <w:rPr>
          <w:rFonts w:ascii="Calibri" w:cs="Calibri" w:eastAsia="Calibri" w:hAnsi="Calibri"/>
          <w:sz w:val="20"/>
          <w:szCs w:val="20"/>
        </w:rPr>
        <w:t xml:space="preserve">Ajuste de prompt/reglas según categorías con peor precisión</w:t>
      </w:r>
    </w:p>
    <w:p>
      <w:r>
        <w:br w:type="page"/>
      </w:r>
    </w:p>
    <w:p>
      <w:pPr>
        <w:pStyle w:val="Heading2"/>
        <w:spacing w:after="60" w:before="100"/>
      </w:pPr>
      <w:r>
        <w:rPr>
          <w:rFonts w:ascii="Calibri" w:cs="Calibri" w:eastAsia="Calibri" w:hAnsi="Calibri"/>
          <w:b/>
          <w:bCs/>
          <w:color w:val="1F3A5F"/>
          <w:sz w:val="27"/>
          <w:szCs w:val="27"/>
        </w:rPr>
        <w:t xml:space="preserve">Sprint 9 — CRM y facturación avanzada para proveedores</w:t>
      </w:r>
    </w:p>
    <w:p>
      <w:pPr>
        <w:spacing w:after="140"/>
      </w:pPr>
      <w:r>
        <w:rPr>
          <w:rFonts w:ascii="Calibri" w:cs="Calibri" w:eastAsia="Calibri" w:hAnsi="Calibri"/>
          <w:i/>
          <w:iCs/>
          <w:color w:val="5A5A5A"/>
          <w:sz w:val="19"/>
          <w:szCs w:val="19"/>
        </w:rPr>
        <w:t xml:space="preserve">Semanas 20–21  ·  Fase 2  ·  Épicas: Mejora de Épica I</w:t>
      </w:r>
    </w:p>
    <w:p>
      <w:pPr>
        <w:spacing w:after="140"/>
      </w:pPr>
      <w:r>
        <w:rPr>
          <w:rFonts w:ascii="Calibri" w:cs="Calibri" w:eastAsia="Calibri" w:hAnsi="Calibri"/>
          <w:b w:val="false"/>
          <w:bCs w:val="false"/>
          <w:sz w:val="21"/>
          <w:szCs w:val="21"/>
        </w:rPr>
        <w:t xml:space="preserve">Convertir el panel de negocio en una herramienta real de gestión para proveedores con equipo, no solo un historial.</w:t>
      </w:r>
    </w:p>
    <w:p>
      <w:pPr>
        <w:spacing w:after="80" w:before="160"/>
      </w:pPr>
      <w:r>
        <w:rPr>
          <w:rFonts w:ascii="Calibri" w:cs="Calibri" w:eastAsia="Calibri" w:hAnsi="Calibri"/>
          <w:b/>
          <w:bCs/>
          <w:color w:val="1F3A5F"/>
          <w:sz w:val="22"/>
          <w:szCs w:val="22"/>
        </w:rPr>
        <w:t xml:space="preserve">Criterio de salida del sprint (Definition of Done)</w:t>
      </w:r>
    </w:p>
    <w:p>
      <w:pPr>
        <w:spacing w:after="140"/>
      </w:pPr>
      <w:r>
        <w:rPr>
          <w:rFonts w:ascii="Calibri" w:cs="Calibri" w:eastAsia="Calibri" w:hAnsi="Calibri"/>
          <w:sz w:val="21"/>
          <w:szCs w:val="21"/>
        </w:rPr>
        <w:t xml:space="preserve">Un proveedor con equipo puede invitar a un empleado, asignarle trabajos y generar un comprobante de ingresos exportable.</w:t>
      </w:r>
    </w:p>
    <w:p>
      <w:pPr>
        <w:pStyle w:val="Heading3"/>
        <w:spacing w:after="100" w:before="220"/>
      </w:pPr>
      <w:r>
        <w:t xml:space="preserve">Etapa 1 — Gestión de equipo</w:t>
      </w:r>
    </w:p>
    <w:p>
      <w:pPr>
        <w:spacing w:after="80" w:before="160"/>
      </w:pPr>
      <w:r>
        <w:rPr>
          <w:rFonts w:ascii="Calibri" w:cs="Calibri" w:eastAsia="Calibri" w:hAnsi="Calibri"/>
          <w:b/>
          <w:bCs/>
          <w:color w:val="1F3A5F"/>
          <w:sz w:val="22"/>
          <w:szCs w:val="22"/>
        </w:rPr>
        <w:t xml:space="preserve">Subetapa 1.1 — Roles y permisos</w:t>
      </w:r>
    </w:p>
    <w:p>
      <w:pPr>
        <w:pStyle w:val="ListParagraph"/>
        <w:numPr>
          <w:ilvl w:val="0"/>
          <w:numId w:val="3"/>
        </w:numPr>
        <w:spacing w:after="50"/>
      </w:pPr>
      <w:r>
        <w:rPr>
          <w:rFonts w:ascii="Calibri" w:cs="Calibri" w:eastAsia="Calibri" w:hAnsi="Calibri"/>
          <w:sz w:val="20"/>
          <w:szCs w:val="20"/>
        </w:rPr>
        <w:t xml:space="preserve">Invitación de empleados a la cuenta del proveedor</w:t>
      </w:r>
    </w:p>
    <w:p>
      <w:pPr>
        <w:pStyle w:val="ListParagraph"/>
        <w:numPr>
          <w:ilvl w:val="0"/>
          <w:numId w:val="3"/>
        </w:numPr>
        <w:spacing w:after="50"/>
      </w:pPr>
      <w:r>
        <w:rPr>
          <w:rFonts w:ascii="Calibri" w:cs="Calibri" w:eastAsia="Calibri" w:hAnsi="Calibri"/>
          <w:sz w:val="20"/>
          <w:szCs w:val="20"/>
        </w:rPr>
        <w:t xml:space="preserve">Asignación de trabajos a miembros específicos del equipo</w:t>
      </w:r>
    </w:p>
    <w:p>
      <w:pPr>
        <w:pStyle w:val="Heading3"/>
        <w:spacing w:after="100" w:before="220"/>
      </w:pPr>
      <w:r>
        <w:t xml:space="preserve">Etapa 2 — Facturación</w:t>
      </w:r>
    </w:p>
    <w:p>
      <w:pPr>
        <w:spacing w:after="80" w:before="160"/>
      </w:pPr>
      <w:r>
        <w:rPr>
          <w:rFonts w:ascii="Calibri" w:cs="Calibri" w:eastAsia="Calibri" w:hAnsi="Calibri"/>
          <w:b/>
          <w:bCs/>
          <w:color w:val="1F3A5F"/>
          <w:sz w:val="22"/>
          <w:szCs w:val="22"/>
        </w:rPr>
        <w:t xml:space="preserve">Subetapa 2.1 — Comprobantes</w:t>
      </w:r>
    </w:p>
    <w:p>
      <w:pPr>
        <w:pStyle w:val="ListParagraph"/>
        <w:numPr>
          <w:ilvl w:val="0"/>
          <w:numId w:val="3"/>
        </w:numPr>
        <w:spacing w:after="50"/>
      </w:pPr>
      <w:r>
        <w:rPr>
          <w:rFonts w:ascii="Calibri" w:cs="Calibri" w:eastAsia="Calibri" w:hAnsi="Calibri"/>
          <w:sz w:val="20"/>
          <w:szCs w:val="20"/>
        </w:rPr>
        <w:t xml:space="preserve">Generación de comprobante/factura por transacción</w:t>
      </w:r>
    </w:p>
    <w:p>
      <w:pPr>
        <w:pStyle w:val="ListParagraph"/>
        <w:numPr>
          <w:ilvl w:val="0"/>
          <w:numId w:val="3"/>
        </w:numPr>
        <w:spacing w:after="50"/>
      </w:pPr>
      <w:r>
        <w:rPr>
          <w:rFonts w:ascii="Calibri" w:cs="Calibri" w:eastAsia="Calibri" w:hAnsi="Calibri"/>
          <w:sz w:val="20"/>
          <w:szCs w:val="20"/>
        </w:rPr>
        <w:t xml:space="preserve">Exportación de historial de ingresos en CSV/PDF</w:t>
      </w:r>
    </w:p>
    <w:p>
      <w:pPr>
        <w:spacing w:after="80" w:before="160"/>
      </w:pPr>
      <w:r>
        <w:rPr>
          <w:rFonts w:ascii="Calibri" w:cs="Calibri" w:eastAsia="Calibri" w:hAnsi="Calibri"/>
          <w:b/>
          <w:bCs/>
          <w:color w:val="1F3A5F"/>
          <w:sz w:val="22"/>
          <w:szCs w:val="22"/>
        </w:rPr>
        <w:t xml:space="preserve">Subetapa 2.2 — Reportes fiscales</w:t>
      </w:r>
    </w:p>
    <w:p>
      <w:pPr>
        <w:pStyle w:val="ListParagraph"/>
        <w:numPr>
          <w:ilvl w:val="0"/>
          <w:numId w:val="3"/>
        </w:numPr>
        <w:spacing w:after="50"/>
      </w:pPr>
      <w:r>
        <w:rPr>
          <w:rFonts w:ascii="Calibri" w:cs="Calibri" w:eastAsia="Calibri" w:hAnsi="Calibri"/>
          <w:sz w:val="20"/>
          <w:szCs w:val="20"/>
        </w:rPr>
        <w:t xml:space="preserve">Preparación de datos para 1099-K/NEC (EE. UU.) o CFDI (México) según mercado</w:t>
      </w:r>
    </w:p>
    <w:p>
      <w:r>
        <w:br w:type="page"/>
      </w:r>
    </w:p>
    <w:p>
      <w:pPr>
        <w:pStyle w:val="Heading2"/>
        <w:spacing w:after="60" w:before="100"/>
      </w:pPr>
      <w:r>
        <w:rPr>
          <w:rFonts w:ascii="Calibri" w:cs="Calibri" w:eastAsia="Calibri" w:hAnsi="Calibri"/>
          <w:b/>
          <w:bCs/>
          <w:color w:val="1F3A5F"/>
          <w:sz w:val="27"/>
          <w:szCs w:val="27"/>
        </w:rPr>
        <w:t xml:space="preserve">Sprint 10 — Referidos y expansión de categorías</w:t>
      </w:r>
    </w:p>
    <w:p>
      <w:pPr>
        <w:spacing w:after="140"/>
      </w:pPr>
      <w:r>
        <w:rPr>
          <w:rFonts w:ascii="Calibri" w:cs="Calibri" w:eastAsia="Calibri" w:hAnsi="Calibri"/>
          <w:i/>
          <w:iCs/>
          <w:color w:val="5A5A5A"/>
          <w:sz w:val="19"/>
          <w:szCs w:val="19"/>
        </w:rPr>
        <w:t xml:space="preserve">Semanas 22–23  ·  Fase 2  ·  Épicas: Nueva funcionalidad + expansión de Épica B</w:t>
      </w:r>
    </w:p>
    <w:p>
      <w:pPr>
        <w:spacing w:after="140"/>
      </w:pPr>
      <w:r>
        <w:rPr>
          <w:rFonts w:ascii="Calibri" w:cs="Calibri" w:eastAsia="Calibri" w:hAnsi="Calibri"/>
          <w:b w:val="false"/>
          <w:bCs w:val="false"/>
          <w:sz w:val="21"/>
          <w:szCs w:val="21"/>
        </w:rPr>
        <w:t xml:space="preserve">Activar crecimiento orgánico vía referidos y ampliar el catálogo más allá de las categorías de lanzamiento.</w:t>
      </w:r>
    </w:p>
    <w:p>
      <w:pPr>
        <w:spacing w:after="80" w:before="160"/>
      </w:pPr>
      <w:r>
        <w:rPr>
          <w:rFonts w:ascii="Calibri" w:cs="Calibri" w:eastAsia="Calibri" w:hAnsi="Calibri"/>
          <w:b/>
          <w:bCs/>
          <w:color w:val="1F3A5F"/>
          <w:sz w:val="22"/>
          <w:szCs w:val="22"/>
        </w:rPr>
        <w:t xml:space="preserve">Criterio de salida del sprint (Definition of Done)</w:t>
      </w:r>
    </w:p>
    <w:p>
      <w:pPr>
        <w:spacing w:after="140"/>
      </w:pPr>
      <w:r>
        <w:rPr>
          <w:rFonts w:ascii="Calibri" w:cs="Calibri" w:eastAsia="Calibri" w:hAnsi="Calibri"/>
          <w:sz w:val="21"/>
          <w:szCs w:val="21"/>
        </w:rPr>
        <w:t xml:space="preserve">Un cliente o proveedor puede referir a otro usuario y ambos reciben el crédito correspondiente automáticamente; al menos 3 categorías nuevas están operativas.</w:t>
      </w:r>
    </w:p>
    <w:p>
      <w:pPr>
        <w:pStyle w:val="Heading3"/>
        <w:spacing w:after="100" w:before="220"/>
      </w:pPr>
      <w:r>
        <w:t xml:space="preserve">Etapa 1 — Sistema de referidos</w:t>
      </w:r>
    </w:p>
    <w:p>
      <w:pPr>
        <w:spacing w:after="80" w:before="160"/>
      </w:pPr>
      <w:r>
        <w:rPr>
          <w:rFonts w:ascii="Calibri" w:cs="Calibri" w:eastAsia="Calibri" w:hAnsi="Calibri"/>
          <w:b/>
          <w:bCs/>
          <w:color w:val="1F3A5F"/>
          <w:sz w:val="22"/>
          <w:szCs w:val="22"/>
        </w:rPr>
        <w:t xml:space="preserve">Subetapa 1.1 — Mecánica de referido</w:t>
      </w:r>
    </w:p>
    <w:p>
      <w:pPr>
        <w:pStyle w:val="ListParagraph"/>
        <w:numPr>
          <w:ilvl w:val="0"/>
          <w:numId w:val="3"/>
        </w:numPr>
        <w:spacing w:after="50"/>
      </w:pPr>
      <w:r>
        <w:rPr>
          <w:rFonts w:ascii="Calibri" w:cs="Calibri" w:eastAsia="Calibri" w:hAnsi="Calibri"/>
          <w:sz w:val="20"/>
          <w:szCs w:val="20"/>
        </w:rPr>
        <w:t xml:space="preserve">Generación de código/enlace de referido por usuario</w:t>
      </w:r>
    </w:p>
    <w:p>
      <w:pPr>
        <w:pStyle w:val="ListParagraph"/>
        <w:numPr>
          <w:ilvl w:val="0"/>
          <w:numId w:val="3"/>
        </w:numPr>
        <w:spacing w:after="50"/>
      </w:pPr>
      <w:r>
        <w:rPr>
          <w:rFonts w:ascii="Calibri" w:cs="Calibri" w:eastAsia="Calibri" w:hAnsi="Calibri"/>
          <w:sz w:val="20"/>
          <w:szCs w:val="20"/>
        </w:rPr>
        <w:t xml:space="preserve">Asignación automática de crédito al referente y al referido tras la primera transacción</w:t>
      </w:r>
    </w:p>
    <w:p>
      <w:pPr>
        <w:pStyle w:val="Heading3"/>
        <w:spacing w:after="100" w:before="220"/>
      </w:pPr>
      <w:r>
        <w:t xml:space="preserve">Etapa 2 — Expansión de categorías</w:t>
      </w:r>
    </w:p>
    <w:p>
      <w:pPr>
        <w:spacing w:after="80" w:before="160"/>
      </w:pPr>
      <w:r>
        <w:rPr>
          <w:rFonts w:ascii="Calibri" w:cs="Calibri" w:eastAsia="Calibri" w:hAnsi="Calibri"/>
          <w:b/>
          <w:bCs/>
          <w:color w:val="1F3A5F"/>
          <w:sz w:val="22"/>
          <w:szCs w:val="22"/>
        </w:rPr>
        <w:t xml:space="preserve">Subetapa 2.1 — Nuevas categorías</w:t>
      </w:r>
    </w:p>
    <w:p>
      <w:pPr>
        <w:pStyle w:val="ListParagraph"/>
        <w:numPr>
          <w:ilvl w:val="0"/>
          <w:numId w:val="3"/>
        </w:numPr>
        <w:spacing w:after="50"/>
      </w:pPr>
      <w:r>
        <w:rPr>
          <w:rFonts w:ascii="Calibri" w:cs="Calibri" w:eastAsia="Calibri" w:hAnsi="Calibri"/>
          <w:sz w:val="20"/>
          <w:szCs w:val="20"/>
        </w:rPr>
        <w:t xml:space="preserve">Definición de attributes_schema para las categorías nuevas priorizadas</w:t>
      </w:r>
    </w:p>
    <w:p>
      <w:pPr>
        <w:pStyle w:val="ListParagraph"/>
        <w:numPr>
          <w:ilvl w:val="0"/>
          <w:numId w:val="3"/>
        </w:numPr>
        <w:spacing w:after="50"/>
      </w:pPr>
      <w:r>
        <w:rPr>
          <w:rFonts w:ascii="Calibri" w:cs="Calibri" w:eastAsia="Calibri" w:hAnsi="Calibri"/>
          <w:sz w:val="20"/>
          <w:szCs w:val="20"/>
        </w:rPr>
        <w:t xml:space="preserve">Validación de requisitos de verificación específicos (licencias, seguros) por categoría</w:t>
      </w:r>
    </w:p>
    <w:p>
      <w:r>
        <w:br w:type="page"/>
      </w:r>
    </w:p>
    <w:p>
      <w:pPr>
        <w:pStyle w:val="Heading2"/>
        <w:spacing w:after="60" w:before="100"/>
      </w:pPr>
      <w:r>
        <w:rPr>
          <w:rFonts w:ascii="Calibri" w:cs="Calibri" w:eastAsia="Calibri" w:hAnsi="Calibri"/>
          <w:b/>
          <w:bCs/>
          <w:color w:val="1F3A5F"/>
          <w:sz w:val="27"/>
          <w:szCs w:val="27"/>
        </w:rPr>
        <w:t xml:space="preserve">Sprint 11 — Seguimiento en tiempo real y traducción de chat</w:t>
      </w:r>
    </w:p>
    <w:p>
      <w:pPr>
        <w:spacing w:after="140"/>
      </w:pPr>
      <w:r>
        <w:rPr>
          <w:rFonts w:ascii="Calibri" w:cs="Calibri" w:eastAsia="Calibri" w:hAnsi="Calibri"/>
          <w:i/>
          <w:iCs/>
          <w:color w:val="5A5A5A"/>
          <w:sz w:val="19"/>
          <w:szCs w:val="19"/>
        </w:rPr>
        <w:t xml:space="preserve">Semanas 24–25  ·  Fase 2  ·  Épicas: Mejora de Épicas E y G</w:t>
      </w:r>
    </w:p>
    <w:p>
      <w:pPr>
        <w:spacing w:after="140"/>
      </w:pPr>
      <w:r>
        <w:rPr>
          <w:rFonts w:ascii="Calibri" w:cs="Calibri" w:eastAsia="Calibri" w:hAnsi="Calibri"/>
          <w:b w:val="false"/>
          <w:bCs w:val="false"/>
          <w:sz w:val="21"/>
          <w:szCs w:val="21"/>
        </w:rPr>
        <w:t xml:space="preserve">Mejorar la experiencia del día del servicio (ubicación del proveedor en tiempo real) y reducir la barrera de idioma en el chat.</w:t>
      </w:r>
    </w:p>
    <w:p>
      <w:pPr>
        <w:spacing w:after="80" w:before="160"/>
      </w:pPr>
      <w:r>
        <w:rPr>
          <w:rFonts w:ascii="Calibri" w:cs="Calibri" w:eastAsia="Calibri" w:hAnsi="Calibri"/>
          <w:b/>
          <w:bCs/>
          <w:color w:val="1F3A5F"/>
          <w:sz w:val="22"/>
          <w:szCs w:val="22"/>
        </w:rPr>
        <w:t xml:space="preserve">Criterio de salida del sprint (Definition of Done)</w:t>
      </w:r>
    </w:p>
    <w:p>
      <w:pPr>
        <w:spacing w:after="140"/>
      </w:pPr>
      <w:r>
        <w:rPr>
          <w:rFonts w:ascii="Calibri" w:cs="Calibri" w:eastAsia="Calibri" w:hAnsi="Calibri"/>
          <w:sz w:val="21"/>
          <w:szCs w:val="21"/>
        </w:rPr>
        <w:t xml:space="preserve">El cliente puede ver la ubicación del proveedor en camino el día del servicio, y dos usuarios que escriben en idiomas distintos pueden entenderse sin salir del chat.</w:t>
      </w:r>
    </w:p>
    <w:p>
      <w:pPr>
        <w:pStyle w:val="Heading3"/>
        <w:spacing w:after="100" w:before="220"/>
      </w:pPr>
      <w:r>
        <w:t xml:space="preserve">Etapa 1 — Seguimiento en tiempo real</w:t>
      </w:r>
    </w:p>
    <w:p>
      <w:pPr>
        <w:spacing w:after="80" w:before="160"/>
      </w:pPr>
      <w:r>
        <w:rPr>
          <w:rFonts w:ascii="Calibri" w:cs="Calibri" w:eastAsia="Calibri" w:hAnsi="Calibri"/>
          <w:b/>
          <w:bCs/>
          <w:color w:val="1F3A5F"/>
          <w:sz w:val="22"/>
          <w:szCs w:val="22"/>
        </w:rPr>
        <w:t xml:space="preserve">Subetapa 1.1 — Verificación de llegada/salida</w:t>
      </w:r>
    </w:p>
    <w:p>
      <w:pPr>
        <w:pStyle w:val="ListParagraph"/>
        <w:numPr>
          <w:ilvl w:val="0"/>
          <w:numId w:val="3"/>
        </w:numPr>
        <w:spacing w:after="50"/>
      </w:pPr>
      <w:r>
        <w:rPr>
          <w:rFonts w:ascii="Calibri" w:cs="Calibri" w:eastAsia="Calibri" w:hAnsi="Calibri"/>
          <w:sz w:val="20"/>
          <w:szCs w:val="20"/>
        </w:rPr>
        <w:t xml:space="preserve">Check-in del proveedor al llegar a la ubicación del trabajo</w:t>
      </w:r>
    </w:p>
    <w:p>
      <w:pPr>
        <w:pStyle w:val="ListParagraph"/>
        <w:numPr>
          <w:ilvl w:val="0"/>
          <w:numId w:val="3"/>
        </w:numPr>
        <w:spacing w:after="50"/>
      </w:pPr>
      <w:r>
        <w:rPr>
          <w:rFonts w:ascii="Calibri" w:cs="Calibri" w:eastAsia="Calibri" w:hAnsi="Calibri"/>
          <w:sz w:val="20"/>
          <w:szCs w:val="20"/>
        </w:rPr>
        <w:t xml:space="preserve">Consentimiento explícito del proveedor para compartir ubicación en tiempo real</w:t>
      </w:r>
    </w:p>
    <w:p>
      <w:pPr>
        <w:pStyle w:val="Heading3"/>
        <w:spacing w:after="100" w:before="220"/>
      </w:pPr>
      <w:r>
        <w:t xml:space="preserve">Etapa 2 — Traducción automática</w:t>
      </w:r>
    </w:p>
    <w:p>
      <w:pPr>
        <w:spacing w:after="80" w:before="160"/>
      </w:pPr>
      <w:r>
        <w:rPr>
          <w:rFonts w:ascii="Calibri" w:cs="Calibri" w:eastAsia="Calibri" w:hAnsi="Calibri"/>
          <w:b/>
          <w:bCs/>
          <w:color w:val="1F3A5F"/>
          <w:sz w:val="22"/>
          <w:szCs w:val="22"/>
        </w:rPr>
        <w:t xml:space="preserve">Subetapa 2.1 — Traducción en el chat</w:t>
      </w:r>
    </w:p>
    <w:p>
      <w:pPr>
        <w:pStyle w:val="ListParagraph"/>
        <w:numPr>
          <w:ilvl w:val="0"/>
          <w:numId w:val="3"/>
        </w:numPr>
        <w:spacing w:after="50"/>
      </w:pPr>
      <w:r>
        <w:rPr>
          <w:rFonts w:ascii="Calibri" w:cs="Calibri" w:eastAsia="Calibri" w:hAnsi="Calibri"/>
          <w:sz w:val="20"/>
          <w:szCs w:val="20"/>
        </w:rPr>
        <w:t xml:space="preserve">Detección de idioma del mensaje</w:t>
      </w:r>
    </w:p>
    <w:p>
      <w:pPr>
        <w:pStyle w:val="ListParagraph"/>
        <w:numPr>
          <w:ilvl w:val="0"/>
          <w:numId w:val="3"/>
        </w:numPr>
        <w:spacing w:after="50"/>
      </w:pPr>
      <w:r>
        <w:rPr>
          <w:rFonts w:ascii="Calibri" w:cs="Calibri" w:eastAsia="Calibri" w:hAnsi="Calibri"/>
          <w:sz w:val="20"/>
          <w:szCs w:val="20"/>
        </w:rPr>
        <w:t xml:space="preserve">Traducción automática mostrada junto al mensaje original</w:t>
      </w:r>
    </w:p>
    <w:p>
      <w:r>
        <w:br w:type="page"/>
      </w:r>
    </w:p>
    <w:p>
      <w:pPr>
        <w:pStyle w:val="Heading2"/>
        <w:spacing w:after="60" w:before="100"/>
      </w:pPr>
      <w:r>
        <w:rPr>
          <w:rFonts w:ascii="Calibri" w:cs="Calibri" w:eastAsia="Calibri" w:hAnsi="Calibri"/>
          <w:b/>
          <w:bCs/>
          <w:color w:val="1F3A5F"/>
          <w:sz w:val="27"/>
          <w:szCs w:val="27"/>
        </w:rPr>
        <w:t xml:space="preserve">Sprint 12 — Hardening, performance y preparación de escala</w:t>
      </w:r>
    </w:p>
    <w:p>
      <w:pPr>
        <w:spacing w:after="140"/>
      </w:pPr>
      <w:r>
        <w:rPr>
          <w:rFonts w:ascii="Calibri" w:cs="Calibri" w:eastAsia="Calibri" w:hAnsi="Calibri"/>
          <w:i/>
          <w:iCs/>
          <w:color w:val="5A5A5A"/>
          <w:sz w:val="19"/>
          <w:szCs w:val="19"/>
        </w:rPr>
        <w:t xml:space="preserve">Semanas 26–27  ·  Fase 2  ·  Épicas: Transversal — cierre de Fase 2</w:t>
      </w:r>
    </w:p>
    <w:p>
      <w:pPr>
        <w:spacing w:after="140"/>
      </w:pPr>
      <w:r>
        <w:rPr>
          <w:rFonts w:ascii="Calibri" w:cs="Calibri" w:eastAsia="Calibri" w:hAnsi="Calibri"/>
          <w:b w:val="false"/>
          <w:bCs w:val="false"/>
          <w:sz w:val="21"/>
          <w:szCs w:val="21"/>
        </w:rPr>
        <w:t xml:space="preserve">Dejar el sistema listo para escalar a más zonas/categorías sin acumular deuda técnica crítica.</w:t>
      </w:r>
    </w:p>
    <w:p>
      <w:pPr>
        <w:spacing w:after="80" w:before="160"/>
      </w:pPr>
      <w:r>
        <w:rPr>
          <w:rFonts w:ascii="Calibri" w:cs="Calibri" w:eastAsia="Calibri" w:hAnsi="Calibri"/>
          <w:b/>
          <w:bCs/>
          <w:color w:val="1F3A5F"/>
          <w:sz w:val="22"/>
          <w:szCs w:val="22"/>
        </w:rPr>
        <w:t xml:space="preserve">Criterio de salida del sprint (Definition of Done)</w:t>
      </w:r>
    </w:p>
    <w:p>
      <w:pPr>
        <w:spacing w:after="140"/>
      </w:pPr>
      <w:r>
        <w:rPr>
          <w:rFonts w:ascii="Calibri" w:cs="Calibri" w:eastAsia="Calibri" w:hAnsi="Calibri"/>
          <w:sz w:val="21"/>
          <w:szCs w:val="21"/>
        </w:rPr>
        <w:t xml:space="preserve">El sistema soporta el volumen proyectado para la expansión de Fase 3 en pruebas de carga, y los hallazgos de seguridad críticos/altos están resueltos.</w:t>
      </w:r>
    </w:p>
    <w:p>
      <w:pPr>
        <w:pStyle w:val="Heading3"/>
        <w:spacing w:after="100" w:before="220"/>
      </w:pPr>
      <w:r>
        <w:t xml:space="preserve">Etapa 1 — Performance</w:t>
      </w:r>
    </w:p>
    <w:p>
      <w:pPr>
        <w:spacing w:after="80" w:before="160"/>
      </w:pPr>
      <w:r>
        <w:rPr>
          <w:rFonts w:ascii="Calibri" w:cs="Calibri" w:eastAsia="Calibri" w:hAnsi="Calibri"/>
          <w:b/>
          <w:bCs/>
          <w:color w:val="1F3A5F"/>
          <w:sz w:val="22"/>
          <w:szCs w:val="22"/>
        </w:rPr>
        <w:t xml:space="preserve">Subetapa 1.1 — Optimización de consultas</w:t>
      </w:r>
    </w:p>
    <w:p>
      <w:pPr>
        <w:pStyle w:val="ListParagraph"/>
        <w:numPr>
          <w:ilvl w:val="0"/>
          <w:numId w:val="3"/>
        </w:numPr>
        <w:spacing w:after="50"/>
      </w:pPr>
      <w:r>
        <w:rPr>
          <w:rFonts w:ascii="Calibri" w:cs="Calibri" w:eastAsia="Calibri" w:hAnsi="Calibri"/>
          <w:sz w:val="20"/>
          <w:szCs w:val="20"/>
        </w:rPr>
        <w:t xml:space="preserve">Revisión de índices de MongoDB según patrones de consulta reales</w:t>
      </w:r>
    </w:p>
    <w:p>
      <w:pPr>
        <w:pStyle w:val="ListParagraph"/>
        <w:numPr>
          <w:ilvl w:val="0"/>
          <w:numId w:val="3"/>
        </w:numPr>
        <w:spacing w:after="50"/>
      </w:pPr>
      <w:r>
        <w:rPr>
          <w:rFonts w:ascii="Calibri" w:cs="Calibri" w:eastAsia="Calibri" w:hAnsi="Calibri"/>
          <w:sz w:val="20"/>
          <w:szCs w:val="20"/>
        </w:rPr>
        <w:t xml:space="preserve">Optimización de endpoints con mayor latencia detectados en producción</w:t>
      </w:r>
    </w:p>
    <w:p>
      <w:pPr>
        <w:spacing w:after="80" w:before="160"/>
      </w:pPr>
      <w:r>
        <w:rPr>
          <w:rFonts w:ascii="Calibri" w:cs="Calibri" w:eastAsia="Calibri" w:hAnsi="Calibri"/>
          <w:b/>
          <w:bCs/>
          <w:color w:val="1F3A5F"/>
          <w:sz w:val="22"/>
          <w:szCs w:val="22"/>
        </w:rPr>
        <w:t xml:space="preserve">Subetapa 1.2 — Pruebas de carga</w:t>
      </w:r>
    </w:p>
    <w:p>
      <w:pPr>
        <w:pStyle w:val="ListParagraph"/>
        <w:numPr>
          <w:ilvl w:val="0"/>
          <w:numId w:val="3"/>
        </w:numPr>
        <w:spacing w:after="50"/>
      </w:pPr>
      <w:r>
        <w:rPr>
          <w:rFonts w:ascii="Calibri" w:cs="Calibri" w:eastAsia="Calibri" w:hAnsi="Calibri"/>
          <w:sz w:val="20"/>
          <w:szCs w:val="20"/>
        </w:rPr>
        <w:t xml:space="preserve">Simulación de volumen proyectado para la siguiente fase de expansión</w:t>
      </w:r>
    </w:p>
    <w:p>
      <w:pPr>
        <w:pStyle w:val="Heading3"/>
        <w:spacing w:after="100" w:before="220"/>
      </w:pPr>
      <w:r>
        <w:t xml:space="preserve">Etapa 2 — Seguridad</w:t>
      </w:r>
    </w:p>
    <w:p>
      <w:pPr>
        <w:spacing w:after="80" w:before="160"/>
      </w:pPr>
      <w:r>
        <w:rPr>
          <w:rFonts w:ascii="Calibri" w:cs="Calibri" w:eastAsia="Calibri" w:hAnsi="Calibri"/>
          <w:b/>
          <w:bCs/>
          <w:color w:val="1F3A5F"/>
          <w:sz w:val="22"/>
          <w:szCs w:val="22"/>
        </w:rPr>
        <w:t xml:space="preserve">Subetapa 2.1 — Auditoría</w:t>
      </w:r>
    </w:p>
    <w:p>
      <w:pPr>
        <w:pStyle w:val="ListParagraph"/>
        <w:numPr>
          <w:ilvl w:val="0"/>
          <w:numId w:val="3"/>
        </w:numPr>
        <w:spacing w:after="50"/>
      </w:pPr>
      <w:r>
        <w:rPr>
          <w:rFonts w:ascii="Calibri" w:cs="Calibri" w:eastAsia="Calibri" w:hAnsi="Calibri"/>
          <w:sz w:val="20"/>
          <w:szCs w:val="20"/>
        </w:rPr>
        <w:t xml:space="preserve">Revisión de dependencias vulnerables</w:t>
      </w:r>
    </w:p>
    <w:p>
      <w:pPr>
        <w:pStyle w:val="ListParagraph"/>
        <w:numPr>
          <w:ilvl w:val="0"/>
          <w:numId w:val="3"/>
        </w:numPr>
        <w:spacing w:after="50"/>
      </w:pPr>
      <w:r>
        <w:rPr>
          <w:rFonts w:ascii="Calibri" w:cs="Calibri" w:eastAsia="Calibri" w:hAnsi="Calibri"/>
          <w:sz w:val="20"/>
          <w:szCs w:val="20"/>
        </w:rPr>
        <w:t xml:space="preserve">Revisión de permisos y superficie de exposición de datos sensibles</w:t>
      </w:r>
    </w:p>
    <w:p>
      <w:pPr>
        <w:pStyle w:val="Heading3"/>
        <w:spacing w:after="100" w:before="220"/>
      </w:pPr>
      <w:r>
        <w:t xml:space="preserve">Etapa 3 — Preparación de escala</w:t>
      </w:r>
    </w:p>
    <w:p>
      <w:pPr>
        <w:spacing w:after="80" w:before="160"/>
      </w:pPr>
      <w:r>
        <w:rPr>
          <w:rFonts w:ascii="Calibri" w:cs="Calibri" w:eastAsia="Calibri" w:hAnsi="Calibri"/>
          <w:b/>
          <w:bCs/>
          <w:color w:val="1F3A5F"/>
          <w:sz w:val="22"/>
          <w:szCs w:val="22"/>
        </w:rPr>
        <w:t xml:space="preserve">Subetapa 3.1 — Documentación y decisión de arquitectura</w:t>
      </w:r>
    </w:p>
    <w:p>
      <w:pPr>
        <w:pStyle w:val="ListParagraph"/>
        <w:numPr>
          <w:ilvl w:val="0"/>
          <w:numId w:val="3"/>
        </w:numPr>
        <w:spacing w:after="50"/>
      </w:pPr>
      <w:r>
        <w:rPr>
          <w:rFonts w:ascii="Calibri" w:cs="Calibri" w:eastAsia="Calibri" w:hAnsi="Calibri"/>
          <w:sz w:val="20"/>
          <w:szCs w:val="20"/>
        </w:rPr>
        <w:t xml:space="preserve">Documentar qué módulos deben separarse en servicios independientes si el volumen lo exige</w:t>
      </w:r>
    </w:p>
    <w:p>
      <w:pPr>
        <w:pStyle w:val="ListParagraph"/>
        <w:numPr>
          <w:ilvl w:val="0"/>
          <w:numId w:val="3"/>
        </w:numPr>
        <w:spacing w:after="50"/>
      </w:pPr>
      <w:r>
        <w:rPr>
          <w:rFonts w:ascii="Calibri" w:cs="Calibri" w:eastAsia="Calibri" w:hAnsi="Calibri"/>
          <w:sz w:val="20"/>
          <w:szCs w:val="20"/>
        </w:rPr>
        <w:t xml:space="preserve">Actualizar este plan con las decisiones de Fase 3 según tracción real</w:t>
      </w:r>
    </w:p>
    <w:p>
      <w:r>
        <w:br w:type="page"/>
      </w:r>
    </w:p>
    <w:p>
      <w:pPr>
        <w:pStyle w:val="Heading2"/>
        <w:spacing w:after="150" w:before="300"/>
      </w:pPr>
      <w:r>
        <w:t xml:space="preserve">Fase 3 — Roadmap de escala (post Sprint 12)</w:t>
      </w:r>
    </w:p>
    <w:p>
      <w:pPr>
        <w:spacing w:after="140"/>
      </w:pPr>
      <w:r>
        <w:rPr>
          <w:rFonts w:ascii="Calibri" w:cs="Calibri" w:eastAsia="Calibri" w:hAnsi="Calibri"/>
          <w:sz w:val="21"/>
          <w:szCs w:val="21"/>
        </w:rPr>
        <w:t xml:space="preserve">A partir de aquí el desarrollo deja de planearse por sprint fijo y pasa a planearse por trimestre, condicionado a la tracción real obtenida en Fase 1 y 2. Se incluye como guía direccional, no como compromiso de fecha.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00"/>
      </w:tblGrid>
      <w:tr>
        <w:trPr>
          <w:tblHeader/>
        </w:trPr>
        <w:tc>
          <w:tcPr>
            <w:tcW w:type="dxa" w:w="22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Trimestre orientativo</w:t>
            </w:r>
          </w:p>
        </w:tc>
        <w:tc>
          <w:tcPr>
            <w:tcW w:type="dxa" w:w="29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Iniciativa</w:t>
            </w:r>
          </w:p>
        </w:tc>
        <w:tc>
          <w:tcPr>
            <w:tcW w:type="dxa" w:w="42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Etapas principales</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T1</w:t>
            </w:r>
          </w:p>
        </w:tc>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Financiamiento de trabajos grandes</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Alianza con socio financiero regulado → integración de BNPL en checkout → flujo de aprobación de crédito</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T1–T2</w:t>
            </w:r>
          </w:p>
        </w:tc>
        <w:tc>
          <w:tcPr>
            <w:tcW w:type="dxa" w:w="2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Marketplace de materiales</w:t>
            </w:r>
          </w:p>
        </w:tc>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Catálogo de materiales/herramientas → integración de compra dentro de la app → comisión sobre materiales</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T2</w:t>
            </w:r>
          </w:p>
        </w:tc>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Seguros y garantías extendidas</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Alianza con aseguradora → oferta de seguro opcional en checkout → flujo de reclamación</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T2–T3</w:t>
            </w:r>
          </w:p>
        </w:tc>
        <w:tc>
          <w:tcPr>
            <w:tcW w:type="dxa" w:w="2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Perfiles empresariales avanzados</w:t>
            </w:r>
          </w:p>
        </w:tc>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Gestión de nómina para equipos grandes → reportes financieros para negocios con múltiples proveedores</w:t>
            </w:r>
          </w:p>
        </w:tc>
      </w:tr>
      <w:tr>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T3</w:t>
            </w:r>
          </w:p>
        </w:tc>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Video-llamadas de evaluación previa</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Integración de videollamada para cotización a distancia en categorías que lo permitan</w:t>
            </w:r>
          </w:p>
        </w:tc>
      </w:tr>
      <w:tr>
        <w:tc>
          <w:tcPr>
            <w:tcW w:type="dxa" w:w="2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T3–T4</w:t>
            </w:r>
          </w:p>
        </w:tc>
        <w:tc>
          <w:tcPr>
            <w:tcW w:type="dxa" w:w="29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Expansión internacional</w:t>
            </w:r>
          </w:p>
        </w:tc>
        <w:tc>
          <w:tcPr>
            <w:tcW w:type="dxa" w:w="42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Multi-moneda → multi-idioma a escala → estructura corporativa y cumplimiento fiscal por país</w:t>
            </w:r>
          </w:p>
        </w:tc>
      </w:tr>
    </w:tbl>
    <w:p>
      <w:r>
        <w:br w:type="page"/>
      </w:r>
    </w:p>
    <w:p>
      <w:pPr>
        <w:pStyle w:val="Heading1"/>
        <w:spacing w:after="200" w:before="400"/>
      </w:pPr>
      <w:r>
        <w:t xml:space="preserve">10. Prácticas de ingeniería (aplican desde el primer commit)</w:t>
      </w:r>
    </w:p>
    <w:p>
      <w:pPr>
        <w:pStyle w:val="Heading3"/>
        <w:spacing w:after="100" w:before="220"/>
      </w:pPr>
      <w:r>
        <w:t xml:space="preserve">Control de versiones y ramas</w:t>
      </w:r>
    </w:p>
    <w:p>
      <w:pPr>
        <w:pStyle w:val="ListParagraph"/>
        <w:numPr>
          <w:ilvl w:val="0"/>
          <w:numId w:val="2"/>
        </w:numPr>
        <w:spacing w:after="60"/>
      </w:pPr>
      <w:r>
        <w:rPr>
          <w:rFonts w:ascii="Calibri" w:cs="Calibri" w:eastAsia="Calibri" w:hAnsi="Calibri"/>
          <w:sz w:val="21"/>
          <w:szCs w:val="21"/>
        </w:rPr>
        <w:t xml:space="preserve">main protegida, ramas por feature, PRs obligatorios incluso trabajando solo — deja rastro de decisiones y facilita rollback.</w:t>
      </w:r>
    </w:p>
    <w:p>
      <w:pPr>
        <w:pStyle w:val="ListParagraph"/>
        <w:numPr>
          <w:ilvl w:val="0"/>
          <w:numId w:val="2"/>
        </w:numPr>
        <w:spacing w:after="60"/>
      </w:pPr>
      <w:r>
        <w:rPr>
          <w:rFonts w:ascii="Calibri" w:cs="Calibri" w:eastAsia="Calibri" w:hAnsi="Calibri"/>
          <w:sz w:val="21"/>
          <w:szCs w:val="21"/>
        </w:rPr>
        <w:t xml:space="preserve">Convención de commits clara (Conventional Commits) para generar changelog automático más adelante.</w:t>
      </w:r>
    </w:p>
    <w:p>
      <w:pPr>
        <w:pStyle w:val="Heading3"/>
        <w:spacing w:after="100" w:before="220"/>
      </w:pPr>
      <w:r>
        <w:t xml:space="preserve">Testing</w:t>
      </w:r>
    </w:p>
    <w:p>
      <w:pPr>
        <w:pStyle w:val="ListParagraph"/>
        <w:numPr>
          <w:ilvl w:val="0"/>
          <w:numId w:val="2"/>
        </w:numPr>
        <w:spacing w:after="60"/>
      </w:pPr>
      <w:r>
        <w:rPr>
          <w:rFonts w:ascii="Calibri" w:cs="Calibri" w:eastAsia="Calibri" w:hAnsi="Calibri"/>
          <w:sz w:val="21"/>
          <w:szCs w:val="21"/>
        </w:rPr>
        <w:t xml:space="preserve">Pruebas unitarias obligatorias para billing_engine desde el día uno, sin excepción.</w:t>
      </w:r>
    </w:p>
    <w:p>
      <w:pPr>
        <w:pStyle w:val="ListParagraph"/>
        <w:numPr>
          <w:ilvl w:val="0"/>
          <w:numId w:val="2"/>
        </w:numPr>
        <w:spacing w:after="60"/>
      </w:pPr>
      <w:r>
        <w:rPr>
          <w:rFonts w:ascii="Calibri" w:cs="Calibri" w:eastAsia="Calibri" w:hAnsi="Calibri"/>
          <w:sz w:val="21"/>
          <w:szCs w:val="21"/>
        </w:rPr>
        <w:t xml:space="preserve">Pruebas de integración para el flujo completo: publicar → emparejar → cotizar → pagar → completar → liberar pago.</w:t>
      </w:r>
    </w:p>
    <w:p>
      <w:pPr>
        <w:pStyle w:val="ListParagraph"/>
        <w:numPr>
          <w:ilvl w:val="0"/>
          <w:numId w:val="2"/>
        </w:numPr>
        <w:spacing w:after="60"/>
      </w:pPr>
      <w:r>
        <w:rPr>
          <w:rFonts w:ascii="Calibri" w:cs="Calibri" w:eastAsia="Calibri" w:hAnsi="Calibri"/>
          <w:sz w:val="21"/>
          <w:szCs w:val="21"/>
        </w:rPr>
        <w:t xml:space="preserve">Entorno de pruebas de Stripe/Mercado Pago en modo test antes de cualquier despliegue a producción.</w:t>
      </w:r>
    </w:p>
    <w:p>
      <w:pPr>
        <w:pStyle w:val="Heading3"/>
        <w:spacing w:after="100" w:before="220"/>
      </w:pPr>
      <w:r>
        <w:t xml:space="preserve">Seguridad y cumplimiento</w:t>
      </w:r>
    </w:p>
    <w:p>
      <w:pPr>
        <w:pStyle w:val="ListParagraph"/>
        <w:numPr>
          <w:ilvl w:val="0"/>
          <w:numId w:val="2"/>
        </w:numPr>
        <w:spacing w:after="60"/>
      </w:pPr>
      <w:r>
        <w:rPr>
          <w:rFonts w:ascii="Calibri" w:cs="Calibri" w:eastAsia="Calibri" w:hAnsi="Calibri"/>
          <w:sz w:val="21"/>
          <w:szCs w:val="21"/>
        </w:rPr>
        <w:t xml:space="preserve">KYC/AML del proveedor de pagos activado antes de habilitar payouts reales.</w:t>
      </w:r>
    </w:p>
    <w:p>
      <w:pPr>
        <w:pStyle w:val="ListParagraph"/>
        <w:numPr>
          <w:ilvl w:val="0"/>
          <w:numId w:val="2"/>
        </w:numPr>
        <w:spacing w:after="60"/>
      </w:pPr>
      <w:r>
        <w:rPr>
          <w:rFonts w:ascii="Calibri" w:cs="Calibri" w:eastAsia="Calibri" w:hAnsi="Calibri"/>
          <w:sz w:val="21"/>
          <w:szCs w:val="21"/>
        </w:rPr>
        <w:t xml:space="preserve">Cifrado de datos sensibles en tránsito y reposo; nunca almacenar números de tarjeta (delegado 100% a Stripe/Mercado Pago).</w:t>
      </w:r>
    </w:p>
    <w:p>
      <w:pPr>
        <w:pStyle w:val="ListParagraph"/>
        <w:numPr>
          <w:ilvl w:val="0"/>
          <w:numId w:val="2"/>
        </w:numPr>
        <w:spacing w:after="60"/>
      </w:pPr>
      <w:r>
        <w:rPr>
          <w:rFonts w:ascii="Calibri" w:cs="Calibri" w:eastAsia="Calibri" w:hAnsi="Calibri"/>
          <w:sz w:val="21"/>
          <w:szCs w:val="21"/>
        </w:rPr>
        <w:t xml:space="preserve">Política de retención y borrado de datos alineada con CCPA / LFPDPPP — revisar con abogado antes del lanzamiento, no después.</w:t>
      </w:r>
    </w:p>
    <w:p>
      <w:pPr>
        <w:pStyle w:val="ListParagraph"/>
        <w:numPr>
          <w:ilvl w:val="0"/>
          <w:numId w:val="2"/>
        </w:numPr>
        <w:spacing w:after="60"/>
      </w:pPr>
      <w:r>
        <w:rPr>
          <w:rFonts w:ascii="Calibri" w:cs="Calibri" w:eastAsia="Calibri" w:hAnsi="Calibri"/>
          <w:sz w:val="21"/>
          <w:szCs w:val="21"/>
        </w:rPr>
        <w:t xml:space="preserve">Emisión de formularios fiscales planificada desde el modelo de datos, no como parche posterior.</w:t>
      </w:r>
    </w:p>
    <w:p>
      <w:pPr>
        <w:pStyle w:val="Heading3"/>
        <w:spacing w:after="100" w:before="220"/>
      </w:pPr>
      <w:r>
        <w:t xml:space="preserve">Observabilidad</w:t>
      </w:r>
    </w:p>
    <w:p>
      <w:pPr>
        <w:pStyle w:val="ListParagraph"/>
        <w:numPr>
          <w:ilvl w:val="0"/>
          <w:numId w:val="2"/>
        </w:numPr>
        <w:spacing w:after="60"/>
      </w:pPr>
      <w:r>
        <w:rPr>
          <w:rFonts w:ascii="Calibri" w:cs="Calibri" w:eastAsia="Calibri" w:hAnsi="Calibri"/>
          <w:sz w:val="21"/>
          <w:szCs w:val="21"/>
        </w:rPr>
        <w:t xml:space="preserve">Logs estructurados por transacción (booking_id como correlación) para reconstruir cualquier disputa de pago.</w:t>
      </w:r>
    </w:p>
    <w:p>
      <w:pPr>
        <w:pStyle w:val="ListParagraph"/>
        <w:numPr>
          <w:ilvl w:val="0"/>
          <w:numId w:val="2"/>
        </w:numPr>
        <w:spacing w:after="60"/>
      </w:pPr>
      <w:r>
        <w:rPr>
          <w:rFonts w:ascii="Calibri" w:cs="Calibri" w:eastAsia="Calibri" w:hAnsi="Calibri"/>
          <w:sz w:val="21"/>
          <w:szCs w:val="21"/>
        </w:rPr>
        <w:t xml:space="preserve">Alertas automáticas ante pagos fallidos, webhooks no procesados, o leak_score anómalo en una cuenta.</w:t>
      </w:r>
    </w:p>
    <w:p>
      <w:pPr>
        <w:pStyle w:val="Heading3"/>
        <w:spacing w:after="100" w:before="220"/>
      </w:pPr>
      <w:r>
        <w:t xml:space="preserve">Despliegue</w:t>
      </w:r>
    </w:p>
    <w:p>
      <w:pPr>
        <w:pStyle w:val="ListParagraph"/>
        <w:numPr>
          <w:ilvl w:val="0"/>
          <w:numId w:val="2"/>
        </w:numPr>
        <w:spacing w:after="60"/>
      </w:pPr>
      <w:r>
        <w:rPr>
          <w:rFonts w:ascii="Calibri" w:cs="Calibri" w:eastAsia="Calibri" w:hAnsi="Calibri"/>
          <w:sz w:val="21"/>
          <w:szCs w:val="21"/>
        </w:rPr>
        <w:t xml:space="preserve">CI/CD con pipeline de pruebas obligatorio antes de merge a main.</w:t>
      </w:r>
    </w:p>
    <w:p>
      <w:pPr>
        <w:pStyle w:val="ListParagraph"/>
        <w:numPr>
          <w:ilvl w:val="0"/>
          <w:numId w:val="2"/>
        </w:numPr>
        <w:spacing w:after="60"/>
      </w:pPr>
      <w:r>
        <w:rPr>
          <w:rFonts w:ascii="Calibri" w:cs="Calibri" w:eastAsia="Calibri" w:hAnsi="Calibri"/>
          <w:sz w:val="21"/>
          <w:szCs w:val="21"/>
        </w:rPr>
        <w:t xml:space="preserve">Migraciones de esquema de Mongo versionadas y reversibles, documentadas explícitamente.</w:t>
      </w:r>
    </w:p>
    <w:p>
      <w:pPr>
        <w:pStyle w:val="Heading1"/>
        <w:spacing w:after="200" w:before="400"/>
      </w:pPr>
      <w:r>
        <w:t xml:space="preserve">11. Métricas de éxito (KPIs) por fase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3400"/>
        <w:gridCol w:w="2600"/>
      </w:tblGrid>
      <w:tr>
        <w:trPr>
          <w:tblHeader/>
        </w:trPr>
        <w:tc>
          <w:tcPr>
            <w:tcW w:type="dxa" w:w="33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Métrica</w:t>
            </w:r>
          </w:p>
        </w:tc>
        <w:tc>
          <w:tcPr>
            <w:tcW w:type="dxa" w:w="34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Por qué importa</w:t>
            </w:r>
          </w:p>
        </w:tc>
        <w:tc>
          <w:tcPr>
            <w:tcW w:type="dxa" w:w="2600"/>
            <w:shd w:fill="1F3A5F" w:val="clear"/>
            <w:tcMar>
              <w:top w:type="dxa" w:w="80"/>
              <w:left w:type="dxa" w:w="100"/>
              <w:bottom w:type="dxa" w:w="80"/>
              <w:right w:type="dxa" w:w="100"/>
            </w:tcMar>
            <w:vAlign w:val="center"/>
          </w:tcPr>
          <w:p>
            <w:pPr>
              <w:jc w:val="left"/>
            </w:pPr>
            <w:r>
              <w:rPr>
                <w:rFonts w:ascii="Calibri" w:cs="Calibri" w:eastAsia="Calibri" w:hAnsi="Calibri"/>
                <w:b/>
                <w:bCs/>
                <w:color w:val="FFFFFF"/>
                <w:sz w:val="19"/>
                <w:szCs w:val="19"/>
              </w:rPr>
              <w:t xml:space="preserve">Meta orientativa Fase 1</w:t>
            </w:r>
          </w:p>
        </w:tc>
      </w:tr>
      <w:tr>
        <w:tc>
          <w:tcPr>
            <w:tcW w:type="dxa" w:w="3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 solicitudes con ≥3 cotizaciones en &lt;24h</w:t>
            </w:r>
          </w:p>
        </w:tc>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Salud del matching y de la oferta</w:t>
            </w:r>
          </w:p>
        </w:tc>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&gt;70%</w:t>
            </w:r>
          </w:p>
        </w:tc>
      </w:tr>
      <w:tr>
        <w:tc>
          <w:tcPr>
            <w:tcW w:type="dxa" w:w="3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Tasa de conversión solicitud → booking pagado</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Valida el modelo de comisión sobre transacción</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&gt;20%</w:t>
            </w:r>
          </w:p>
        </w:tc>
      </w:tr>
      <w:tr>
        <w:tc>
          <w:tcPr>
            <w:tcW w:type="dxa" w:w="3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 mensajes con intento de fuga detectado</w:t>
            </w:r>
          </w:p>
        </w:tc>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Salud del sistema anti-fuga y del incentivo económico</w:t>
            </w:r>
          </w:p>
        </w:tc>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Tendencia decreciente mes a mes</w:t>
            </w:r>
          </w:p>
        </w:tc>
      </w:tr>
      <w:tr>
        <w:tc>
          <w:tcPr>
            <w:tcW w:type="dxa" w:w="3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Retención de proveedor a 90 días</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Valida el panel de negocio y la comisión decreciente</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&gt;50%</w:t>
            </w:r>
          </w:p>
        </w:tc>
      </w:tr>
      <w:tr>
        <w:tc>
          <w:tcPr>
            <w:tcW w:type="dxa" w:w="3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NPS / rating promedio cliente y proveedor</w:t>
            </w:r>
          </w:p>
        </w:tc>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Salud general de la experiencia</w:t>
            </w:r>
          </w:p>
        </w:tc>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&gt;4.5/5</w:t>
            </w:r>
          </w:p>
        </w:tc>
      </w:tr>
      <w:tr>
        <w:tc>
          <w:tcPr>
            <w:tcW w:type="dxa" w:w="33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Ratio proveedores activos : solicitudes</w:t>
            </w:r>
          </w:p>
        </w:tc>
        <w:tc>
          <w:tcPr>
            <w:tcW w:type="dxa" w:w="34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Evita desequilibrio de oferta/demanda</w:t>
            </w:r>
          </w:p>
        </w:tc>
        <w:tc>
          <w:tcPr>
            <w:tcW w:type="dxa" w:w="2600"/>
            <w:shd w:fill="FFFFFF" w:val="clear"/>
            <w:tcMar>
              <w:top w:type="dxa" w:w="80"/>
              <w:left w:type="dxa" w:w="100"/>
              <w:bottom w:type="dxa" w:w="80"/>
              <w:right w:type="dxa" w:w="100"/>
            </w:tcMar>
            <w:vAlign w:val="center"/>
          </w:tcPr>
          <w:p>
            <w:pPr>
              <w:jc w:val="left"/>
            </w:pPr>
            <w:r>
              <w:rPr>
                <w:rFonts w:ascii="Calibri" w:cs="Calibri" w:eastAsia="Calibri" w:hAnsi="Calibri"/>
                <w:b w:val="false"/>
                <w:bCs w:val="false"/>
                <w:color w:val="111111"/>
                <w:sz w:val="19"/>
                <w:szCs w:val="19"/>
              </w:rPr>
              <w:t xml:space="preserve">Definido por categoría antes de abrir marketing</w:t>
            </w:r>
          </w:p>
        </w:tc>
      </w:tr>
    </w:tbl>
    <w:p>
      <w:pPr>
        <w:pStyle w:val="Heading1"/>
        <w:spacing w:after="200" w:before="400"/>
      </w:pPr>
      <w:r>
        <w:t xml:space="preserve">12. Riesgos técnicos específicos a vigilar</w:t>
      </w:r>
    </w:p>
    <w:p>
      <w:pPr>
        <w:pStyle w:val="ListParagraph"/>
        <w:numPr>
          <w:ilvl w:val="0"/>
          <w:numId w:val="2"/>
        </w:numPr>
        <w:spacing w:after="60"/>
      </w:pPr>
      <w:r>
        <w:rPr>
          <w:rFonts w:ascii="Calibri" w:cs="Calibri" w:eastAsia="Calibri" w:hAnsi="Calibri"/>
          <w:sz w:val="21"/>
          <w:szCs w:val="21"/>
        </w:rPr>
        <w:t xml:space="preserve">Doble cálculo de comisión entre frontend y backend — mitigar con la fuente única de verdad y pruebas de regresión.</w:t>
      </w:r>
    </w:p>
    <w:p>
      <w:pPr>
        <w:pStyle w:val="ListParagraph"/>
        <w:numPr>
          <w:ilvl w:val="0"/>
          <w:numId w:val="2"/>
        </w:numPr>
        <w:spacing w:after="60"/>
      </w:pPr>
      <w:r>
        <w:rPr>
          <w:rFonts w:ascii="Calibri" w:cs="Calibri" w:eastAsia="Calibri" w:hAnsi="Calibri"/>
          <w:sz w:val="21"/>
          <w:szCs w:val="21"/>
        </w:rPr>
        <w:t xml:space="preserve">Webhooks de Stripe/Mercado Pago perdidos o duplicados — implementar idempotencia por stripe_payment_intent_id desde el primer endpoint de webhook.</w:t>
      </w:r>
    </w:p>
    <w:p>
      <w:pPr>
        <w:pStyle w:val="ListParagraph"/>
        <w:numPr>
          <w:ilvl w:val="0"/>
          <w:numId w:val="2"/>
        </w:numPr>
        <w:spacing w:after="60"/>
      </w:pPr>
      <w:r>
        <w:rPr>
          <w:rFonts w:ascii="Calibri" w:cs="Calibri" w:eastAsia="Calibri" w:hAnsi="Calibri"/>
          <w:sz w:val="21"/>
          <w:szCs w:val="21"/>
        </w:rPr>
        <w:t xml:space="preserve">Falsos positivos del detector de fuga dañando la confianza de proveedores honestos — empezar con umbral conservador y ajustar con datos reales.</w:t>
      </w:r>
    </w:p>
    <w:p>
      <w:pPr>
        <w:pStyle w:val="ListParagraph"/>
        <w:numPr>
          <w:ilvl w:val="0"/>
          <w:numId w:val="2"/>
        </w:numPr>
        <w:spacing w:after="60"/>
      </w:pPr>
      <w:r>
        <w:rPr>
          <w:rFonts w:ascii="Calibri" w:cs="Calibri" w:eastAsia="Calibri" w:hAnsi="Calibri"/>
          <w:sz w:val="21"/>
          <w:szCs w:val="21"/>
        </w:rPr>
        <w:t xml:space="preserve">Escalar el modelo de categorías configurable demasiado tarde — el costo de migrar después de hardcodear es alto; vale la pena pagarlo desde el principio.</w:t>
      </w:r>
    </w:p>
    <w:p>
      <w:pPr>
        <w:pStyle w:val="Heading1"/>
        <w:spacing w:after="200" w:before="400"/>
      </w:pPr>
      <w:r>
        <w:t xml:space="preserve">13. Siguiente paso inmediato</w:t>
      </w:r>
    </w:p>
    <w:p>
      <w:pPr>
        <w:spacing w:after="140"/>
      </w:pPr>
      <w:r>
        <w:rPr>
          <w:rFonts w:ascii="Calibri" w:cs="Calibri" w:eastAsia="Calibri" w:hAnsi="Calibri"/>
          <w:sz w:val="21"/>
          <w:szCs w:val="21"/>
        </w:rPr>
        <w:t xml:space="preserve">Antes de escribir el primer módulo de código (Sprint 0), quedan dos decisiones que bloquean el diseño técnico de pagos:</w:t>
      </w:r>
    </w:p>
    <w:p>
      <w:pPr>
        <w:pStyle w:val="ListParagraph"/>
        <w:numPr>
          <w:ilvl w:val="0"/>
          <w:numId w:val="2"/>
        </w:numPr>
        <w:spacing w:after="60"/>
      </w:pPr>
      <w:r>
        <w:rPr>
          <w:rFonts w:ascii="Calibri" w:cs="Calibri" w:eastAsia="Calibri" w:hAnsi="Calibri"/>
          <w:sz w:val="21"/>
          <w:szCs w:val="21"/>
        </w:rPr>
        <w:t xml:space="preserve">Ciudad y mercado de lanzamiento (EE. UU. vs. México) — determina si Stripe Connect o Mercado Pago es el riel primario y qué esquema de KYC/fiscal aplica.</w:t>
      </w:r>
    </w:p>
    <w:p>
      <w:pPr>
        <w:pStyle w:val="ListParagraph"/>
        <w:numPr>
          <w:ilvl w:val="0"/>
          <w:numId w:val="2"/>
        </w:numPr>
        <w:spacing w:after="60"/>
      </w:pPr>
      <w:r>
        <w:rPr>
          <w:rFonts w:ascii="Calibri" w:cs="Calibri" w:eastAsia="Calibri" w:hAnsi="Calibri"/>
          <w:sz w:val="21"/>
          <w:szCs w:val="21"/>
        </w:rPr>
        <w:t xml:space="preserve">Las 3–5 categorías de lanzamiento — determinan el attributes_schema inicial de categories y si se prioriza precio fijo o cotización personalizada para el MVP.</w:t>
      </w:r>
    </w:p>
    <w:p>
      <w:pPr>
        <w:spacing w:after="140"/>
      </w:pPr>
      <w:r>
        <w:rPr>
          <w:rFonts w:ascii="Calibri" w:cs="Calibri" w:eastAsia="Calibri" w:hAnsi="Calibri"/>
          <w:sz w:val="21"/>
          <w:szCs w:val="21"/>
        </w:rPr>
        <w:t xml:space="preserve">Estas dos decisiones no son técnicas puras; dependen de validación de mercado y deben confirmarse antes de iniciar el Sprint 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bullet"/>
      <w:lvlText w:val="▸"/>
      <w:lvlJc w:val="left"/>
      <w:pPr>
        <w:ind w:left="460" w:hanging="260"/>
      </w:pPr>
      <w:rPr>
        <w:color w:val="44444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6" w:space="4"/>
      </w:pBdr>
      <w:spacing w:after="200" w:before="400"/>
    </w:pPr>
    <w:rPr>
      <w:rFonts w:ascii="Calibri" w:cs="Calibri" w:eastAsia="Calibri" w:hAnsi="Calibri"/>
      <w:b/>
      <w:bCs/>
      <w:color w:val="1F3A5F"/>
      <w:sz w:val="34"/>
      <w:szCs w:val="34"/>
    </w:rPr>
  </w:style>
  <w:style w:type="paragraph" w:styleId="Heading2">
    <w:name w:val="Heading 2"/>
    <w:basedOn w:val="Normal"/>
    <w:next w:val="Normal"/>
    <w:qFormat/>
    <w:pPr>
      <w:spacing w:after="140" w:before="320"/>
    </w:pPr>
    <w:rPr>
      <w:rFonts w:ascii="Calibri" w:cs="Calibri" w:eastAsia="Calibri" w:hAnsi="Calibri"/>
      <w:b/>
      <w:bCs/>
      <w:color w:val="1F3A5F"/>
      <w:sz w:val="27"/>
      <w:szCs w:val="27"/>
    </w:rPr>
  </w:style>
  <w:style w:type="paragraph" w:styleId="Heading3">
    <w:name w:val="Heading 3"/>
    <w:basedOn w:val="Normal"/>
    <w:next w:val="Normal"/>
    <w:qFormat/>
    <w:pPr>
      <w:spacing w:after="100" w:before="220"/>
    </w:pPr>
    <w:rPr>
      <w:rFonts w:ascii="Calibri" w:cs="Calibri" w:eastAsia="Calibri" w:hAnsi="Calibri"/>
      <w:b/>
      <w:bCs/>
      <w:color w:val="B8860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2026-07-12T02:31:13.278Z</dcterms:created>
  <dcterms:modified xsi:type="dcterms:W3CDTF">2026-07-12T02:31:13.291Z</dcterms:modified>
</cp:coreProperties>
</file>

<file path=docProps/custom.xml><?xml version="1.0" encoding="utf-8"?>
<Properties xmlns="http://schemas.openxmlformats.org/officeDocument/2006/custom-properties" xmlns:vt="http://schemas.openxmlformats.org/officeDocument/2006/docPropsVTypes"/>
</file>