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" cy="566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emoji_cir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" cy="566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1633537" cy="2349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name_g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33537" cy="23495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Inter Tight" w:hAnsi="Inter Tight" w:cs="Inter Tight" w:eastAsia="Inter Tight"/>
          <w:b w:val="0"/>
          <w:i w:val="0"/>
          <w:vanish/>
          <w:color w:val="1A1A1A"/>
          <w:sz w:val="36"/>
        </w:rPr>
        <w:t>Efrain Plascencia</w:t>
      </w:r>
    </w:p>
    <w:p>
      <w:pPr>
        <w:spacing w:after="80"/>
        <w:jc w:val="center"/>
      </w:pPr>
      <w:r>
        <w:rPr>
          <w:rFonts w:ascii="JetBrains Mono" w:hAnsi="JetBrains Mono" w:cs="JetBrains Mono" w:eastAsia="JetBrains Mono"/>
          <w:b w:val="0"/>
          <w:i w:val="0"/>
          <w:color w:val="6A6A6A"/>
          <w:sz w:val="15"/>
          <w:spacing w:val="26"/>
        </w:rPr>
        <w:t>AI SOLUTIONS ARCHITECT   ·   APPLIED AI &amp; AGENTIC SYSTEMS   ·   AUTOMOTIVE SOFTWARE</w:t>
      </w:r>
    </w:p>
    <w:p>
      <w:pPr>
        <w:spacing w:after="20"/>
        <w:jc w:val="center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>DALLAS–FORT WORTH, TX   ·   213.***.7937   ·   EFRAIN@FRIN.BOT</w:t>
      </w:r>
    </w:p>
    <w:p>
      <w:pPr>
        <w:spacing w:after="40"/>
        <w:jc w:val="center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>LINKEDIN.COM/IN/EFRAINP   ·   X.COM/EFRAINPLASC   ·   GITHUB.COM/FRIN-BOT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01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PROFESSIONAL SUMMARY</w:t>
      </w:r>
    </w:p>
    <w:p>
      <w:pPr>
        <w:spacing w:after="40" w:line="276" w:lineRule="auto"/>
      </w:pPr>
      <w:r>
        <w:rPr>
          <w:rFonts w:ascii="Inter" w:hAnsi="Inter" w:cs="Inter" w:eastAsia="Inter"/>
          <w:b w:val="0"/>
          <w:i w:val="0"/>
          <w:color w:val="3A3A3A"/>
          <w:sz w:val="18"/>
        </w:rPr>
        <w:t>AI solutions architect turning messy operational problems into shipped AI systems — not demos. At GEMMACON North America, designs and deploys the AI systems OEM engagements run on: agentic pipelines, document automation, and containerized FastAPI services. Fifteen years of connected-vehicle software at Toyota, Mercedes-Benz R&amp;D North America, Hyundai Autoever, and PACCAR.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02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CORE COMPETENCIES</w:t>
      </w:r>
    </w:p>
    <w:p>
      <w:pPr>
        <w:spacing w:after="40" w:line="276" w:lineRule="auto"/>
      </w:pPr>
      <w:r>
        <w:rPr>
          <w:rFonts w:ascii="Inter" w:hAnsi="Inter" w:cs="Inter" w:eastAsia="Inter"/>
          <w:b w:val="0"/>
          <w:i w:val="0"/>
          <w:color w:val="3A3A3A"/>
          <w:sz w:val="18"/>
        </w:rPr>
        <w:t>Agentic systems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LLM / RAG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Python / FastAPI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Forward-deployed engineering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Requirements &amp; scoping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Technical pre-sales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OTA / telematics / SDV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Cross-functional lead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03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PROFESSIONAL EXPERIENCE &amp; EDUCATION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Director of AI Deployment &amp; Solutions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APR 2023 — PRESENT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GEMMACON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Long Beach, CA (Remote from DFW)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Joined as OTA Test Manager; promoted twice in two years to Director of AI Deployment &amp; Solutions — leading NA AI systems, commercial strategy, and technical recruiting across Mercedes-Benz, Porsche, and NVIDIA engagements.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Shipped production AI: an agentic intelligence pipeline with rubric scoring and threshold gating; a containerized FastAPI billing service for NVIDIA; Python pipelines that turn JIRA exports into executive decks and score candidates against job descriptions.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Built the NA engineering team from scratch — 300% headcount growth — and served as primary technical liaison on infotainment, domain-controller, and SDV programs.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Lead Test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DEC 2022 — APR 2023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PACCAR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Lewisville, TX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Led end-to-end validation of a new commercial-vehicle E/E architecture — ECU communication, diagnostics, and backend integration — coordinating Tier-1s and embedded teams to aggressive release milestones.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Senior Test Engineer — Connected Services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MAR 2020 — DEC 2022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Toyota Motor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Plano, TX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Owned end-to-end validation of user-profile, registration, and account-activation flows across app, head unit, and cloud for Toyota connected services — technical escalation and global defect triage with Japan HQ.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End-to-End Quality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MAR 2017 — MAR 2020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Mercedes-Benz R&amp;D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Long Beach, CA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Led end-to-end testing of integrated vehicle systems — head unit, smartphones, digital assistants (Siri, Alexa), wearables, and IoT devices — on premium infotainment and telematics platforms, closing cross-system integration defects for multi-market launches.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Quality Engineer — Telematics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2013 — 2017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Hyundai Autoever Telematics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Fountain Valley, CA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Designed QA processes for Hyundai telematics — DCM, head unit, and backend connectivity — validating hardware–software integrations across embedded firmware, cloud APIs, and mobile clients in a startup-scale environment.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EDUCATION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Bachelor of Science, Computer Science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2008 — 2012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California State University, Long Beach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Long Beach, CA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04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TECHNICAL SKILLS &amp; TOOLS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AI &amp; AGENTIC SYSTEMS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Agentic pipelines, LLM/RAG, scoring rubrics, threshold gating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BUILDING &amp; SHIPPING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Python, FastAPI, Docker, REST, python-pptx, Stripe, OAuth, Vercel, Neon, GitHub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AUTOMOTIVE DOMAINS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DCM, Infotainment, Telematics, Connected Vehicle, ECU, OTA, ADAS, SDV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SYSTEMS &amp; INTEGRATION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Embedded architecture, HIL/vehicle testing, CAN diagnostics, cloud API integration</w:t>
      </w:r>
    </w:p>
    <w:p>
      <w:pPr>
        <w:spacing w:before="120" w:after="0" w:line="264" w:lineRule="auto"/>
        <w:pBdr>
          <w:top w:val="single" w:sz="4" w:space="4" w:color="DDD9D1"/>
        </w:pBdr>
      </w:pPr>
      <w:r>
        <w:rPr>
          <w:rFonts w:ascii="Inter" w:hAnsi="Inter" w:cs="Inter" w:eastAsia="Inter"/>
          <w:b w:val="0"/>
          <w:i w:val="0"/>
          <w:color w:val="3A3A3A"/>
          <w:sz w:val="16"/>
        </w:rPr>
        <w:t>MIT xPRO 2025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5"/>
        </w:rPr>
        <w:t xml:space="preserve">   ·   </w:t>
      </w:r>
      <w:r>
        <w:rPr>
          <w:rFonts w:ascii="Inter" w:hAnsi="Inter" w:cs="Inter" w:eastAsia="Inter"/>
          <w:b w:val="0"/>
          <w:i w:val="0"/>
          <w:color w:val="3A3A3A"/>
          <w:sz w:val="16"/>
        </w:rPr>
        <w:t>MBRDNA guest speaker 2025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5"/>
        </w:rPr>
        <w:t xml:space="preserve">   ·   </w:t>
      </w:r>
      <w:r>
        <w:rPr>
          <w:rFonts w:ascii="Inter" w:hAnsi="Inter" w:cs="Inter" w:eastAsia="Inter"/>
          <w:b w:val="0"/>
          <w:i w:val="0"/>
          <w:color w:val="3A3A3A"/>
          <w:sz w:val="16"/>
        </w:rPr>
        <w:t>English · Spanish</w:t>
      </w:r>
    </w:p>
    <w:sectPr w:rsidR="00FC693F" w:rsidRPr="0006063C" w:rsidSect="00034616">
      <w:footerReference w:type="default" r:id="rId9"/>
      <w:pgSz w:w="12240" w:h="15840"/>
      <w:pgMar w:top="547" w:right="720" w:bottom="1181" w:left="720" w:header="720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drawing>
        <wp:inline xmlns:a="http://schemas.openxmlformats.org/drawingml/2006/main" xmlns:pic="http://schemas.openxmlformats.org/drawingml/2006/picture">
          <wp:extent cx="475488" cy="47548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qr_efrain_m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75488" cy="475488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20" w:after="0"/>
      <w:jc w:val="right"/>
    </w:pPr>
    <w:r>
      <w:rPr>
        <w:rFonts w:ascii="JetBrains Mono" w:hAnsi="JetBrains Mono" w:cs="JetBrains Mono" w:eastAsia="JetBrains Mono"/>
        <w:b w:val="0"/>
        <w:i w:val="0"/>
        <w:color w:val="6A6A6A"/>
        <w:sz w:val="13"/>
        <w:spacing w:val="16"/>
      </w:rPr>
      <w:t>COMPANION SITE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3A3A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