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Departure Mono" w:hAnsi="Departure Mono" w:cs="Departure Mono" w:eastAsia="Departure Mono"/>
          <w:b w:val="0"/>
          <w:i w:val="0"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Departure Mono" w:hAnsi="Departure Mono" w:cs="Departure Mono" w:eastAsia="Departure Mono"/>
          <w:b w:val="0"/>
          <w:i w:val="0"/>
          <w:color w:val="6A6A6A"/>
          <w:sz w:val="15"/>
          <w:spacing w:val="26"/>
        </w:rPr>
        <w:t>AI SOLUTIONS ARCHITECT   ·   APPLIED AI &amp; AGENTIC SYSTEMS   ·   AUTOMOTIVE SOFTWARE</w:t>
      </w:r>
    </w:p>
    <w:p>
      <w:pPr>
        <w:spacing w:after="20"/>
        <w:jc w:val="center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5"/>
          <w:spacing w:val="20"/>
        </w:rPr>
        <w:t>DALLAS–FORT WORTH, TX   ·   213.321.7937   ·   EFRAIN.PLASCENCIA@GMAIL.COM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5"/>
          <w:spacing w:val="20"/>
        </w:rPr>
        <w:t>LINKEDIN.COM/IN/EFRAINP   ·   X.COM/EFRAINPLASC   ·   GITHUB.COM/FRIN-BOT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AI solutions architect turning messy operational problems into shipped AI systems — not demos. At GEMMACON North America, designs and deploys the AI systems OEM engagements run on: agentic pipelines, document automation, and containerized FastAPI services. Fifteen years of connected-vehicle software at Toyota, Mercedes-Benz R&amp;D North America, Hyundai Autoever,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Agentic systems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LLM / RAG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Python / FastAPI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Forward-deployed engineering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Requirements &amp; scoping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Technical pre-sales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OTA / telematics / SDV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·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PACCAR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8"/>
        </w:rPr>
        <w:t xml:space="preserve">—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Departure Mono" w:hAnsi="Departure Mono" w:cs="Departure Mono" w:eastAsia="Departure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Departure Mono" w:hAnsi="Departure Mono" w:cs="Departure Mono" w:eastAsia="Departure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Departure Mono" w:hAnsi="Departure Mono" w:cs="Departure Mono" w:eastAsia="Departure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Departure Mono" w:hAnsi="Departure Mono" w:cs="Departure Mono" w:eastAsia="Departure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Departure Mono" w:hAnsi="Departure Mono" w:cs="Departure Mono" w:eastAsia="Departure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Departure Mono" w:hAnsi="Departure Mono" w:cs="Departure Mono" w:eastAsia="Departure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</w:rPr>
        <w:t>MIT xPRO 2025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5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</w:rPr>
        <w:t>MBRDNA guest speaker 2025</w:t>
      </w:r>
      <w:r>
        <w:rPr>
          <w:rFonts w:ascii="Departure Mono" w:hAnsi="Departure Mono" w:cs="Departure Mono" w:eastAsia="Departure Mono"/>
          <w:b w:val="0"/>
          <w:i w:val="0"/>
          <w:color w:val="A8A5A0"/>
          <w:sz w:val="15"/>
        </w:rPr>
        <w:t xml:space="preserve">   ·   </w:t>
      </w:r>
      <w:r>
        <w:rPr>
          <w:rFonts w:ascii="Departure Mono" w:hAnsi="Departure Mono" w:cs="Departure Mono" w:eastAsia="Departure Mono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drawing>
        <wp:inline xmlns:a="http://schemas.openxmlformats.org/drawingml/2006/main" xmlns:pic="http://schemas.openxmlformats.org/drawingml/2006/picture">
          <wp:extent cx="475488" cy="4754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r_efrain_m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20" w:after="0"/>
      <w:jc w:val="right"/>
    </w:pPr>
    <w:r>
      <w:rPr>
        <w:rFonts w:ascii="Departure Mono" w:hAnsi="Departure Mono" w:cs="Departure Mono" w:eastAsia="Departure Mono"/>
        <w:b w:val="0"/>
        <w:i w:val="0"/>
        <w:color w:val="6A6A6A"/>
        <w:sz w:val="13"/>
        <w:spacing w:val="16"/>
      </w:rPr>
      <w:t>COMPANION SITE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parture Mono" w:hAnsi="Departure Mono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