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" cy="566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" cy="56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Inter Tight" w:hAnsi="Inter Tight" w:cs="Inter Tight" w:eastAsia="Inter Tight"/>
          <w:b w:val="0"/>
          <w:i w:val="0"/>
          <w:color w:val="1A1A1A"/>
          <w:sz w:val="36"/>
        </w:rPr>
        <w:t>Efrain Plascencia</w:t>
      </w:r>
    </w:p>
    <w:p>
      <w:pPr>
        <w:spacing w:after="8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5"/>
          <w:spacing w:val="26"/>
        </w:rPr>
        <w:t>AI SOLUTIONS ARCHITECT   ·   APPLIED AI &amp; AGENTIC SYSTEMS   ·   AUTOMOTIVE SOFTWARE</w:t>
      </w:r>
    </w:p>
    <w:p>
      <w:pPr>
        <w:spacing w:after="2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DALLAS–FORT WORTH, TX   ·   213.321.7937   ·   EFRAIN.PLASCENCIA@GMAIL.COM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5"/>
          <w:spacing w:val="20"/>
        </w:rPr>
        <w:t>LINKEDIN.COM/IN/EFRAINP   ·   X.COM/EFRAINPLASC   ·   GITHUB.COM/FRIN-BOT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SUMMARY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AI solutions architect turning messy operational problems into shipped AI systems — not demos. At GEMMACON North America, designs and deploys the AI systems OEM engagements run on: agentic pipelines, document automation, and containerized FastAPI services. Fifteen years of connected-vehicle software at Toyota, Mercedes-Benz R&amp;D North America, Hyundai Autoever, and PACCAR.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CORE COMPETENCIES</w:t>
      </w:r>
    </w:p>
    <w:p>
      <w:pPr>
        <w:spacing w:after="40" w:line="276" w:lineRule="auto"/>
      </w:pPr>
      <w:r>
        <w:rPr>
          <w:rFonts w:ascii="Inter" w:hAnsi="Inter" w:cs="Inter" w:eastAsia="Inter"/>
          <w:b w:val="0"/>
          <w:i w:val="0"/>
          <w:color w:val="3A3A3A"/>
          <w:sz w:val="18"/>
        </w:rPr>
        <w:t>Agentic systems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LLM / RAG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Python / FastAPI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Forward-deployed engineering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Requirements &amp; scoping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Technical pre-sales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OTA / telematics / SDV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· 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Cross-functional lead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PROFESSIONAL EXPERIENCE &amp; EDUCATION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Director of AI Deployment &amp; Solutions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APR 2023 — PRESENT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 (Remote from DFW)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Joined as OTA Test Manager; promoted twice in two years to Director of AI Deployment &amp; Solutions — leading NA AI systems, commercial strategy, and technical recruiting across Mercedes-Benz, Porsche, and NVIDIA engagements.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Shipped production AI: an agentic intelligence pipeline with rubric scoring and threshold gating; a containerized FastAPI billing service for NVIDIA; Python pipelines that turn JIRA exports into executive decks and score candidates against job descriptions.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Built the NA engineering team from scratch — 300% headcount growth — and served as primary technical liaison on infotainment, domain-controller, and SDV programs.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DEC 2022 — APR 2023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Lewisville,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validation of a new commercial-vehicle E/E architecture — ECU communication, diagnostics, and backend integration — coordinating Tier-1s and embedded teams to aggressive release milestones.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2020 — DEC 2022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Plano, TX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Owned end-to-end validation of user-profile, registration, and account-activation flows across app, head unit, and cloud for Toyota connected services — technical escalation and global defect triage with Japan HQ.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MAR 2017 — MAR 2020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Led end-to-end testing of integrated vehicle systems — head unit, smartphones, digital assistants (Siri, Alexa), wearables, and IoT devices — on premium infotainment and telematics platforms, closing cross-system integration defects for multi-market launches.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2013 — 2017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Fountain Valley, CA</w:t>
      </w:r>
    </w:p>
    <w:p>
      <w:pPr>
        <w:spacing w:before="20" w:after="20" w:line="269" w:lineRule="auto"/>
        <w:ind w:left="259" w:hanging="259"/>
      </w:pPr>
      <w:r>
        <w:rPr>
          <w:rFonts w:ascii="Inter" w:hAnsi="Inter" w:cs="Inter" w:eastAsia="Inter"/>
          <w:b w:val="0"/>
          <w:i w:val="0"/>
          <w:color w:val="154C8C"/>
          <w:sz w:val="18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18"/>
        </w:rPr>
        <w:t>Designed QA processes for Hyundai telematics — DCM, head unit, and backend connectivity — validating hardware–software integrations across embedded firmware, cloud APIs, and mobile clients in a startup-scale environment.</w:t>
      </w:r>
    </w:p>
    <w:p>
      <w:pPr>
        <w:spacing w:before="100" w:after="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5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>2008 — 2012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</w:rPr>
        <w:t>Long Beach, CA</w:t>
      </w:r>
    </w:p>
    <w:p>
      <w:pPr>
        <w:spacing w:before="160" w:after="6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6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6"/>
          <w:spacing w:val="30"/>
        </w:rPr>
        <w:t>TECHNICAL SKILLS &amp; TOOLS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AI &amp; AGENTIC SYSTEMS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Agentic pipelines, LLM/RAG, scoring rubrics, threshold gating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BUILDING &amp; SHIPPING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Python, FastAPI, Docker, REST, python-pptx, Stripe, OAuth, Vercel, Neon, GitHub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AUTOMOTIVE DOMAINS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DCM, Infotainment, Telematics, Connected Vehicle, ECU, OTA, ADAS, SDV</w:t>
      </w:r>
    </w:p>
    <w:p>
      <w:pPr>
        <w:spacing w:before="20" w:after="20" w:line="264" w:lineRule="auto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5"/>
          <w:spacing w:val="20"/>
        </w:rPr>
        <w:t xml:space="preserve">SYSTEMS &amp; INTEGRATION  </w:t>
      </w:r>
      <w:r>
        <w:rPr>
          <w:rFonts w:ascii="Inter" w:hAnsi="Inter" w:cs="Inter" w:eastAsia="Inter"/>
          <w:b w:val="0"/>
          <w:i w:val="0"/>
          <w:color w:val="3A3A3A"/>
          <w:sz w:val="17"/>
        </w:rPr>
        <w:t>Embedded architecture, HIL/vehicle testing, CAN diagnostics, cloud API integration</w:t>
      </w:r>
    </w:p>
    <w:p>
      <w:pPr>
        <w:spacing w:before="120" w:after="0" w:line="264" w:lineRule="auto"/>
        <w:pBdr>
          <w:top w:val="single" w:sz="4" w:space="4" w:color="DDD9D1"/>
        </w:pBdr>
      </w:pPr>
      <w:r>
        <w:rPr>
          <w:rFonts w:ascii="Inter" w:hAnsi="Inter" w:cs="Inter" w:eastAsia="Inter"/>
          <w:b w:val="0"/>
          <w:i w:val="0"/>
          <w:color w:val="3A3A3A"/>
          <w:sz w:val="16"/>
        </w:rPr>
        <w:t>MIT xPRO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MBRDNA guest speaker 2025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5"/>
        </w:rPr>
        <w:t xml:space="preserve">   ·   </w:t>
      </w:r>
      <w:r>
        <w:rPr>
          <w:rFonts w:ascii="Inter" w:hAnsi="Inter" w:cs="Inter" w:eastAsia="Inter"/>
          <w:b w:val="0"/>
          <w:i w:val="0"/>
          <w:color w:val="3A3A3A"/>
          <w:sz w:val="16"/>
        </w:rPr>
        <w:t>English · Spanish</w:t>
      </w:r>
    </w:p>
    <w:sectPr w:rsidR="00FC693F" w:rsidRPr="0006063C" w:rsidSect="00034616">
      <w:footerReference w:type="default" r:id="rId9"/>
      <w:pgSz w:w="12240" w:h="15840"/>
      <w:pgMar w:top="547" w:right="720" w:bottom="1181" w:left="720" w:header="720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drawing>
        <wp:inline xmlns:a="http://schemas.openxmlformats.org/drawingml/2006/main" xmlns:pic="http://schemas.openxmlformats.org/drawingml/2006/picture">
          <wp:extent cx="475488" cy="4754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r_efrain_m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5488" cy="475488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20" w:after="0"/>
      <w:jc w:val="right"/>
    </w:pPr>
    <w:r>
      <w:rPr>
        <w:rFonts w:ascii="JetBrains Mono" w:hAnsi="JetBrains Mono" w:cs="JetBrains Mono" w:eastAsia="JetBrains Mono"/>
        <w:b w:val="0"/>
        <w:i w:val="0"/>
        <w:color w:val="6A6A6A"/>
        <w:sz w:val="13"/>
        <w:spacing w:val="16"/>
      </w:rPr>
      <w:t>COMPANION SITE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