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Simplifying</w:t>
      </w:r>
      <w:r>
        <w:t xml:space="preserve"> </w:t>
      </w:r>
      <w:r>
        <w:t xml:space="preserve">the</w:t>
      </w:r>
      <w:r>
        <w:t xml:space="preserve"> </w:t>
      </w:r>
      <w:r>
        <w:t xml:space="preserve">Estimation</w:t>
      </w:r>
      <w:r>
        <w:t xml:space="preserve"> </w:t>
      </w:r>
      <w:r>
        <w:t xml:space="preserve">of</w:t>
      </w:r>
      <w:r>
        <w:t xml:space="preserve"> </w:t>
      </w:r>
      <w:r>
        <w:t xml:space="preserve">Correlated</w:t>
      </w:r>
      <w:r>
        <w:t xml:space="preserve"> </w:t>
      </w:r>
      <w:r>
        <w:t xml:space="preserve">Random</w:t>
      </w:r>
      <w:r>
        <w:t xml:space="preserve"> </w:t>
      </w:r>
      <w:r>
        <w:t xml:space="preserve">Effects</w:t>
      </w:r>
      <w:r>
        <w:t xml:space="preserve"> </w:t>
      </w:r>
      <w:r>
        <w:t xml:space="preserve">Models</w:t>
      </w:r>
    </w:p>
    <w:p>
      <w:pPr>
        <w:pStyle w:val="Author"/>
      </w:pPr>
      <w:r>
        <w:t xml:space="preserve">Fernando</w:t>
      </w:r>
      <w:r>
        <w:t xml:space="preserve"> </w:t>
      </w:r>
      <w:r>
        <w:t xml:space="preserve">Rios-Avila</w:t>
      </w:r>
    </w:p>
    <w:p>
      <w:pPr>
        <w:pStyle w:val="Date"/>
      </w:pPr>
      <w:r>
        <w:t xml:space="preserve">2024-09-06</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rPr>
          <w:rStyle w:val="VerbatimChar"/>
        </w:rPr>
        <w:t xml:space="preserve">cre</w:t>
      </w:r>
      <w:r>
        <w:t xml:space="preserve"> </w:t>
      </w:r>
      <w:r>
        <w:t xml:space="preserve">command,</w:t>
      </w:r>
      <w:r>
        <w:t xml:space="preserve"> </w:t>
      </w:r>
      <w:r>
        <w:t xml:space="preserve">a</w:t>
      </w:r>
      <w:r>
        <w:t xml:space="preserve"> </w:t>
      </w:r>
      <w:r>
        <w:t xml:space="preserve">prefix</w:t>
      </w:r>
      <w:r>
        <w:t xml:space="preserve"> </w:t>
      </w:r>
      <w:r>
        <w:t xml:space="preserve">type</w:t>
      </w:r>
      <w:r>
        <w:t xml:space="preserve"> </w:t>
      </w:r>
      <w:r>
        <w:t xml:space="preserve">command,</w:t>
      </w:r>
      <w:r>
        <w:t xml:space="preserve"> </w:t>
      </w:r>
      <w:r>
        <w:t xml:space="preserve">that</w:t>
      </w:r>
      <w:r>
        <w:t xml:space="preserve"> </w:t>
      </w:r>
      <w:r>
        <w:t xml:space="preserve">helps</w:t>
      </w:r>
      <w:r>
        <w:t xml:space="preserve"> </w:t>
      </w:r>
      <w:r>
        <w:t xml:space="preserve">in</w:t>
      </w:r>
      <w:r>
        <w:t xml:space="preserve"> </w:t>
      </w:r>
      <w:r>
        <w:t xml:space="preserve">the</w:t>
      </w:r>
      <w:r>
        <w:t xml:space="preserve"> </w:t>
      </w:r>
      <w:r>
        <w:t xml:space="preserve">implementation</w:t>
      </w:r>
      <w:r>
        <w:t xml:space="preserve"> </w:t>
      </w:r>
      <w:r>
        <w:t xml:space="preserve">of</w:t>
      </w:r>
      <w:r>
        <w:t xml:space="preserve"> </w:t>
      </w:r>
      <w:r>
        <w:t xml:space="preserve">Correlated</w:t>
      </w:r>
      <w:r>
        <w:t xml:space="preserve"> </w:t>
      </w:r>
      <w:r>
        <w:t xml:space="preserve">Random</w:t>
      </w:r>
      <w:r>
        <w:t xml:space="preserve"> </w:t>
      </w:r>
      <w:r>
        <w:t xml:space="preserve">Effects</w:t>
      </w:r>
      <w:r>
        <w:t xml:space="preserve"> </w:t>
      </w:r>
      <w:r>
        <w:t xml:space="preserve">(CRE)</w:t>
      </w:r>
      <w:r>
        <w:t xml:space="preserve"> </w:t>
      </w:r>
      <w:r>
        <w:t xml:space="preserve">estimator</w:t>
      </w:r>
      <w:r>
        <w:t xml:space="preserve"> </w:t>
      </w:r>
      <w:r>
        <w:t xml:space="preserve">for</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For</w:t>
      </w:r>
      <w:r>
        <w:t xml:space="preserve"> </w:t>
      </w:r>
      <w:r>
        <w:t xml:space="preserve">the</w:t>
      </w:r>
      <w:r>
        <w:t xml:space="preserve"> </w:t>
      </w:r>
      <w:r>
        <w:t xml:space="preserve">linear</w:t>
      </w:r>
      <w:r>
        <w:t xml:space="preserve"> </w:t>
      </w:r>
      <w:r>
        <w:t xml:space="preserve">case,</w:t>
      </w:r>
      <w:r>
        <w:t xml:space="preserve"> </w:t>
      </w:r>
      <w:r>
        <w:t xml:space="preserve">CRE</w:t>
      </w:r>
      <w:r>
        <w:t xml:space="preserve"> </w:t>
      </w:r>
      <w:r>
        <w:t xml:space="preserve">models</w:t>
      </w:r>
      <w:r>
        <w:t xml:space="preserve"> </w:t>
      </w:r>
      <w:r>
        <w:t xml:space="preserve">offer</w:t>
      </w:r>
      <w:r>
        <w:t xml:space="preserve"> </w:t>
      </w:r>
      <w:r>
        <w:t xml:space="preserve">a</w:t>
      </w:r>
      <w:r>
        <w:t xml:space="preserve"> </w:t>
      </w:r>
      <w:r>
        <w:t xml:space="preserve">simple</w:t>
      </w:r>
      <w:r>
        <w:t xml:space="preserve"> </w:t>
      </w:r>
      <w:r>
        <w:t xml:space="preserve">approach</w:t>
      </w:r>
      <w:r>
        <w:t xml:space="preserve"> </w:t>
      </w:r>
      <w:r>
        <w:t xml:space="preserve">that</w:t>
      </w:r>
      <w:r>
        <w:t xml:space="preserve"> </w:t>
      </w:r>
      <w:r>
        <w:t xml:space="preserve">combines</w:t>
      </w:r>
      <w:r>
        <w:t xml:space="preserve"> </w:t>
      </w:r>
      <w:r>
        <w:t xml:space="preserve">the</w:t>
      </w:r>
      <w:r>
        <w:t xml:space="preserve"> </w:t>
      </w:r>
      <w:r>
        <w:t xml:space="preserve">advantages</w:t>
      </w:r>
      <w:r>
        <w:t xml:space="preserve"> </w:t>
      </w:r>
      <w:r>
        <w:t xml:space="preserve">of</w:t>
      </w:r>
      <w:r>
        <w:t xml:space="preserve"> </w:t>
      </w:r>
      <w:r>
        <w:t xml:space="preserve">both</w:t>
      </w:r>
      <w:r>
        <w:t xml:space="preserve"> </w:t>
      </w:r>
      <w:r>
        <w:t xml:space="preserve">fixed</w:t>
      </w:r>
      <w:r>
        <w:t xml:space="preserve"> </w:t>
      </w:r>
      <w:r>
        <w:t xml:space="preserve">effects</w:t>
      </w:r>
      <w:r>
        <w:t xml:space="preserve"> </w:t>
      </w:r>
      <w:r>
        <w:t xml:space="preserve">and</w:t>
      </w:r>
      <w:r>
        <w:t xml:space="preserve"> </w:t>
      </w:r>
      <w:r>
        <w:t xml:space="preserve">random</w:t>
      </w:r>
      <w:r>
        <w:t xml:space="preserve"> </w:t>
      </w:r>
      <w:r>
        <w:t xml:space="preserve">effects</w:t>
      </w:r>
      <w:r>
        <w:t xml:space="preserve"> </w:t>
      </w:r>
      <w:r>
        <w:t xml:space="preserve">estimators,</w:t>
      </w:r>
      <w:r>
        <w:t xml:space="preserve"> </w:t>
      </w:r>
      <w:r>
        <w:t xml:space="preserve">providing</w:t>
      </w:r>
      <w:r>
        <w:t xml:space="preserve"> </w:t>
      </w:r>
      <w:r>
        <w:t xml:space="preserve">consistent</w:t>
      </w:r>
      <w:r>
        <w:t xml:space="preserve"> </w:t>
      </w:r>
      <w:r>
        <w:t xml:space="preserve">estimates</w:t>
      </w:r>
      <w:r>
        <w:t xml:space="preserve"> </w:t>
      </w:r>
      <w:r>
        <w:t xml:space="preserve">identical</w:t>
      </w:r>
      <w:r>
        <w:t xml:space="preserve"> </w:t>
      </w:r>
      <w:r>
        <w:t xml:space="preserve">to</w:t>
      </w:r>
      <w:r>
        <w:t xml:space="preserve"> </w:t>
      </w:r>
      <w:r>
        <w:t xml:space="preserve">the</w:t>
      </w:r>
      <w:r>
        <w:t xml:space="preserve"> </w:t>
      </w:r>
      <w:r>
        <w:t xml:space="preserve">Fixed</w:t>
      </w:r>
      <w:r>
        <w:t xml:space="preserve"> </w:t>
      </w:r>
      <w:r>
        <w:t xml:space="preserve">Effect</w:t>
      </w:r>
      <w:r>
        <w:t xml:space="preserve"> </w:t>
      </w:r>
      <w:r>
        <w:t xml:space="preserve">estimator,</w:t>
      </w:r>
      <w:r>
        <w:t xml:space="preserve"> </w:t>
      </w:r>
      <w:r>
        <w:t xml:space="preserve">but</w:t>
      </w:r>
      <w:r>
        <w:t xml:space="preserve"> </w:t>
      </w:r>
      <w:r>
        <w:t xml:space="preserve">allowing</w:t>
      </w:r>
      <w:r>
        <w:t xml:space="preserve"> </w:t>
      </w:r>
      <w:r>
        <w:t xml:space="preserve">for</w:t>
      </w:r>
      <w:r>
        <w:t xml:space="preserve"> </w:t>
      </w:r>
      <w:r>
        <w:t xml:space="preserve">the</w:t>
      </w:r>
      <w:r>
        <w:t xml:space="preserve"> </w:t>
      </w:r>
      <w:r>
        <w:t xml:space="preserve">identification</w:t>
      </w:r>
      <w:r>
        <w:t xml:space="preserve"> </w:t>
      </w:r>
      <w:r>
        <w:t xml:space="preserve">of</w:t>
      </w:r>
      <w:r>
        <w:t xml:space="preserve"> </w:t>
      </w:r>
      <w:r>
        <w:t xml:space="preserve">coefficients</w:t>
      </w:r>
      <w:r>
        <w:t xml:space="preserve"> </w:t>
      </w:r>
      <w:r>
        <w:t xml:space="preserve">for</w:t>
      </w:r>
      <w:r>
        <w:t xml:space="preserve"> </w:t>
      </w:r>
      <w:r>
        <w:t xml:space="preserve">time-invariant</w:t>
      </w:r>
      <w:r>
        <w:t xml:space="preserve"> </w:t>
      </w:r>
      <w:r>
        <w:t xml:space="preserve">variables.</w:t>
      </w:r>
      <w:r>
        <w:t xml:space="preserve"> </w:t>
      </w:r>
      <w:r>
        <w:t xml:space="preserve">For</w:t>
      </w:r>
      <w:r>
        <w:t xml:space="preserve"> </w:t>
      </w:r>
      <w:r>
        <w:t xml:space="preserve">the</w:t>
      </w:r>
      <w:r>
        <w:t xml:space="preserve"> </w:t>
      </w:r>
      <w:r>
        <w:t xml:space="preserve">nonlinear</w:t>
      </w:r>
      <w:r>
        <w:t xml:space="preserve"> </w:t>
      </w:r>
      <w:r>
        <w:t xml:space="preserve">case,</w:t>
      </w:r>
      <w:r>
        <w:t xml:space="preserve"> </w:t>
      </w:r>
      <w:r>
        <w:t xml:space="preserve">it</w:t>
      </w:r>
      <w:r>
        <w:t xml:space="preserve"> </w:t>
      </w:r>
      <w:r>
        <w:t xml:space="preserve">provides</w:t>
      </w:r>
      <w:r>
        <w:t xml:space="preserve"> </w:t>
      </w:r>
      <w:r>
        <w:t xml:space="preserve">an</w:t>
      </w:r>
      <w:r>
        <w:t xml:space="preserve"> </w:t>
      </w:r>
      <w:r>
        <w:t xml:space="preserve">alternative</w:t>
      </w:r>
      <w:r>
        <w:t xml:space="preserve"> </w:t>
      </w:r>
      <w:r>
        <w:t xml:space="preserve">to</w:t>
      </w:r>
      <w:r>
        <w:t xml:space="preserve"> </w:t>
      </w:r>
      <w:r>
        <w:t xml:space="preserve">fixed</w:t>
      </w:r>
      <w:r>
        <w:t xml:space="preserve"> </w:t>
      </w:r>
      <w:r>
        <w:t xml:space="preserve">effects</w:t>
      </w:r>
      <w:r>
        <w:t xml:space="preserve"> </w:t>
      </w:r>
      <w:r>
        <w:t xml:space="preserve">estimators</w:t>
      </w:r>
      <w:r>
        <w:t xml:space="preserve"> </w:t>
      </w:r>
      <w:r>
        <w:t xml:space="preserve">that</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implement</w:t>
      </w:r>
      <w:r>
        <w:t xml:space="preserve"> </w:t>
      </w:r>
      <w:r>
        <w:t xml:space="preserve">or</w:t>
      </w:r>
      <w:r>
        <w:t xml:space="preserve"> </w:t>
      </w:r>
      <w:r>
        <w:t xml:space="preserve">simply</w:t>
      </w:r>
      <w:r>
        <w:t xml:space="preserve"> </w:t>
      </w:r>
      <w:r>
        <w:t xml:space="preserve">non-existent.</w:t>
      </w:r>
      <w:r>
        <w:t xml:space="preserve"> </w:t>
      </w:r>
      <w:r>
        <w:t xml:space="preserve">The</w:t>
      </w:r>
      <w:r>
        <w:t xml:space="preserve"> </w:t>
      </w:r>
      <w:r>
        <w:rPr>
          <w:rStyle w:val="VerbatimChar"/>
        </w:rPr>
        <w:t xml:space="preserve">cre</w:t>
      </w:r>
      <w:r>
        <w:t xml:space="preserve"> </w:t>
      </w:r>
      <w:r>
        <w:t xml:space="preserve">command</w:t>
      </w:r>
      <w:r>
        <w:t xml:space="preserve"> </w:t>
      </w:r>
      <w:r>
        <w:t xml:space="preserve">provides</w:t>
      </w:r>
      <w:r>
        <w:t xml:space="preserve"> </w:t>
      </w:r>
      <w:r>
        <w:t xml:space="preserve">a</w:t>
      </w:r>
      <w:r>
        <w:t xml:space="preserve"> </w:t>
      </w:r>
      <w:r>
        <w:t xml:space="preserve">user-friendly</w:t>
      </w:r>
      <w:r>
        <w:t xml:space="preserve"> </w:t>
      </w:r>
      <w:r>
        <w:t xml:space="preserve">approach</w:t>
      </w:r>
      <w:r>
        <w:t xml:space="preserve"> </w:t>
      </w:r>
      <w:r>
        <w:t xml:space="preserve">for</w:t>
      </w:r>
      <w:r>
        <w:t xml:space="preserve"> </w:t>
      </w:r>
      <w:r>
        <w:t xml:space="preserve">estimating</w:t>
      </w:r>
      <w:r>
        <w:t xml:space="preserve"> </w:t>
      </w:r>
      <w:r>
        <w:t xml:space="preserve">these</w:t>
      </w:r>
      <w:r>
        <w:t xml:space="preserve"> </w:t>
      </w:r>
      <w:r>
        <w:t xml:space="preserve">models,</w:t>
      </w:r>
      <w:r>
        <w:t xml:space="preserve"> </w:t>
      </w:r>
      <w:r>
        <w:t xml:space="preserve">supporting</w:t>
      </w:r>
      <w:r>
        <w:t xml:space="preserve"> </w:t>
      </w:r>
      <w:r>
        <w:t xml:space="preserve">both</w:t>
      </w:r>
      <w:r>
        <w:t xml:space="preserve"> </w:t>
      </w:r>
      <w:r>
        <w:t xml:space="preserve">balanced</w:t>
      </w:r>
      <w:r>
        <w:t xml:space="preserve"> </w:t>
      </w:r>
      <w:r>
        <w:t xml:space="preserve">and</w:t>
      </w:r>
      <w:r>
        <w:t xml:space="preserve"> </w:t>
      </w:r>
      <w:r>
        <w:t xml:space="preserve">unbalanced</w:t>
      </w:r>
      <w:r>
        <w:t xml:space="preserve"> </w:t>
      </w:r>
      <w:r>
        <w:t xml:space="preserve">panels,</w:t>
      </w:r>
      <w:r>
        <w:t xml:space="preserve"> </w:t>
      </w:r>
      <w:r>
        <w:t xml:space="preserve">which</w:t>
      </w:r>
      <w:r>
        <w:t xml:space="preserve"> </w:t>
      </w:r>
      <w:r>
        <w:t xml:space="preserve">can</w:t>
      </w:r>
      <w:r>
        <w:t xml:space="preserve"> </w:t>
      </w:r>
      <w:r>
        <w:t xml:space="preserve">be</w:t>
      </w:r>
      <w:r>
        <w:t xml:space="preserve"> </w:t>
      </w:r>
      <w:r>
        <w:t xml:space="preserve">applied</w:t>
      </w:r>
      <w:r>
        <w:t xml:space="preserve"> </w:t>
      </w:r>
      <w:r>
        <w:t xml:space="preserve">to</w:t>
      </w:r>
      <w:r>
        <w:t xml:space="preserve"> </w:t>
      </w:r>
      <w:r>
        <w:t xml:space="preserve">most</w:t>
      </w:r>
      <w:r>
        <w:t xml:space="preserve"> </w:t>
      </w:r>
      <w:r>
        <w:t xml:space="preserve">linear</w:t>
      </w:r>
      <w:r>
        <w:t xml:space="preserve"> </w:t>
      </w:r>
      <w:r>
        <w:t xml:space="preserve">and</w:t>
      </w:r>
      <w:r>
        <w:t xml:space="preserve"> </w:t>
      </w:r>
      <w:r>
        <w:t xml:space="preserve">nonlinear</w:t>
      </w:r>
      <w:r>
        <w:t xml:space="preserve"> </w:t>
      </w:r>
      <w:r>
        <w:t xml:space="preserve">estimators.</w:t>
      </w:r>
    </w:p>
    <w:bookmarkStart w:id="21" w:name="introduction"/>
    <w:p>
      <w:pPr>
        <w:pStyle w:val="Heading1"/>
      </w:pPr>
      <w:r>
        <w:t xml:space="preserve">Introduction</w:t>
      </w:r>
    </w:p>
    <w:p>
      <w:pPr>
        <w:pStyle w:val="FirstParagraph"/>
      </w:pPr>
      <w:r>
        <w:t xml:space="preserve">Panel data analysis has become increasingly important in empirical research in economics and social sciences, allowing researchers to control for unobserved individual heterogeneity that is believed to be fixed across time. The two main approaches that have been used to model relationships using this type of data have been fixed effects (FE) and random effects (RE) models. Each one of them, however, comes with limitations. On the one hand, while fixed effects models can be used to provide consistent estimates, while controlling for time-invariant unobserved factors, they cannot be used to estimate the effects of time-invariant variables, which may be relevant for some research questions. On the other hand, while random effects models allow you to identify effects of time-invariant variables, the estimation relies on the strong assumption that individual-specific effects are uncorrelated with other explanatory variables in the model, which is often violated in practice</w:t>
      </w:r>
      <w:r>
        <w:t xml:space="preserve"> </w:t>
      </w:r>
      <w:r>
        <w:t xml:space="preserve">[@wooldridge2019]</w:t>
      </w:r>
      <w:r>
        <w:t xml:space="preserve">.</w:t>
      </w:r>
    </w:p>
    <w:p>
      <w:pPr>
        <w:pStyle w:val="BodyText"/>
      </w:pPr>
      <w:r>
        <w:t xml:space="preserve">While less commonly used, there is a third option that shares some of the strengths of both FE and RE models: Correlated Random Effects (CRE) models. First introduced by</w:t>
      </w:r>
      <w:r>
        <w:t xml:space="preserve"> </w:t>
      </w:r>
      <w:r>
        <w:t xml:space="preserve">@mundlak1978pooling</w:t>
      </w:r>
      <w:r>
        <w:t xml:space="preserve"> </w:t>
      </w:r>
      <w:r>
        <w:t xml:space="preserve">and further developed by</w:t>
      </w:r>
      <w:r>
        <w:t xml:space="preserve"> </w:t>
      </w:r>
      <w:r>
        <w:t xml:space="preserve">@chamberlain1982multivariate</w:t>
      </w:r>
      <w:r>
        <w:t xml:space="preserve">, CRE proposes a middle ground approach to address the limitations of RE models by explicitly allowing for correlation between the individual-specific effects and the time-varying explanatory variables. By doing so, CRE can estimate the effects of time-invariant variables while also providing consistent estimates for time-variant coefficients that are identical to the FE estimator in linear models. Despite these advantages, CRE models have seen limited use in applied research, partly due to the lack of readily available software implementations.</w:t>
      </w:r>
      <w:r>
        <w:t xml:space="preserve"> </w:t>
      </w:r>
      <w:r>
        <w:rPr>
          <w:rStyle w:val="FootnoteReference"/>
        </w:rPr>
        <w:footnoteReference w:id="20"/>
      </w:r>
    </w:p>
    <w:p>
      <w:pPr>
        <w:pStyle w:val="BodyText"/>
      </w:pPr>
      <w:r>
        <w:t xml:space="preserve">This paper introduces the</w:t>
      </w:r>
      <w:r>
        <w:t xml:space="preserve"> </w:t>
      </w:r>
      <w:r>
        <w:rPr>
          <w:rStyle w:val="VerbatimChar"/>
        </w:rPr>
        <w:t xml:space="preserve">cre</w:t>
      </w:r>
      <w:r>
        <w:t xml:space="preserve"> </w:t>
      </w:r>
      <w:r>
        <w:t xml:space="preserve">command for Stata, which aims to provide a straightforward and flexible tool for estimating CRE models for linear and non-linear models, supporting both balanced and unbalanced panels, as well as multiple fixed effects. This command is a prefix-type command that identifies all explanatory variables in a model, calculates the group means (or mean-like statistics) for each variable, and adds them to the model to provide a</w:t>
      </w:r>
      <w:r>
        <w:t xml:space="preserve"> </w:t>
      </w:r>
      <w:r>
        <w:t xml:space="preserve">@mundlak1978pooling</w:t>
      </w:r>
      <w:r>
        <w:t xml:space="preserve"> </w:t>
      </w:r>
      <w:r>
        <w:t xml:space="preserve">type estimator. Because of this, there are few restrictions on the type of models that can be estimated using this command, making it a versatile tool for applied researchers. Furthermore, because it integrates seamlessly with Stata’s existing estimation commands, all post-estimation commands and diagnostics can be used.</w:t>
      </w:r>
    </w:p>
    <w:p>
      <w:pPr>
        <w:pStyle w:val="BodyText"/>
      </w:pPr>
      <w:r>
        <w:t xml:space="preserve">We begin in</w:t>
      </w:r>
      <w:r>
        <w:t xml:space="preserve"> </w:t>
      </w:r>
      <w:hyperlink w:anchor="sec-2">
        <w:r>
          <w:rPr>
            <w:rStyle w:val="Hyperlink"/>
          </w:rPr>
          <w:t xml:space="preserve">Section 2</w:t>
        </w:r>
      </w:hyperlink>
      <w:r>
        <w:t xml:space="preserve"> </w:t>
      </w:r>
      <w:r>
        <w:t xml:space="preserve">reviewing the theoretical foundations of CRE models and their relationship to FE and RE models, extending our discussion to Multiple fixed effects, and application with non-linear models.</w:t>
      </w:r>
      <w:r>
        <w:t xml:space="preserve"> </w:t>
      </w:r>
      <w:hyperlink w:anchor="sec-3">
        <w:r>
          <w:rPr>
            <w:rStyle w:val="Hyperlink"/>
          </w:rPr>
          <w:t xml:space="preserve">Section 3</w:t>
        </w:r>
      </w:hyperlink>
      <w:r>
        <w:t xml:space="preserve"> </w:t>
      </w:r>
      <w:r>
        <w:t xml:space="preserve">presents the implementation of CRE estimation in Stata, describing the syntax of the command. Finally,</w:t>
      </w:r>
      <w:r>
        <w:t xml:space="preserve"> </w:t>
      </w:r>
      <w:hyperlink w:anchor="sec-4">
        <w:r>
          <w:rPr>
            <w:rStyle w:val="Hyperlink"/>
          </w:rPr>
          <w:t xml:space="preserve">Section 4</w:t>
        </w:r>
      </w:hyperlink>
      <w:r>
        <w:t xml:space="preserve"> </w:t>
      </w:r>
      <w:r>
        <w:t xml:space="preserve">presents a small Monte Carlo simulation to assess the performance of the CRE approach.</w:t>
      </w:r>
      <w:r>
        <w:t xml:space="preserve"> </w:t>
      </w:r>
      <w:hyperlink w:anchor="sec-5">
        <w:r>
          <w:rPr>
            <w:rStyle w:val="Hyperlink"/>
          </w:rPr>
          <w:t xml:space="preserve">Section 5</w:t>
        </w:r>
      </w:hyperlink>
      <w:r>
        <w:t xml:space="preserve"> </w:t>
      </w:r>
      <w:r>
        <w:t xml:space="preserve">concludes.</w:t>
      </w:r>
    </w:p>
    <w:bookmarkEnd w:id="21"/>
    <w:bookmarkStart w:id="35" w:name="sec-2"/>
    <w:p>
      <w:pPr>
        <w:pStyle w:val="Heading1"/>
      </w:pPr>
      <w:r>
        <w:t xml:space="preserve">Theoretical Framework</w:t>
      </w:r>
    </w:p>
    <w:bookmarkStart w:id="26" w:name="X7b9205b46dca15393d14396af4451d8b8045587"/>
    <w:p>
      <w:pPr>
        <w:pStyle w:val="Heading2"/>
      </w:pPr>
      <w:r>
        <w:t xml:space="preserve">Correlated Random Effects Models - 1 Dimension</w:t>
      </w:r>
    </w:p>
    <w:p>
      <w:pPr>
        <w:pStyle w:val="FirstParagraph"/>
      </w:pPr>
      <w:r>
        <w:t xml:space="preserve">The Correlated Random Effects (CRE) is an alternative estimation approach for panel data models that was first introduced by</w:t>
      </w:r>
      <w:r>
        <w:t xml:space="preserve"> </w:t>
      </w:r>
      <w:r>
        <w:t xml:space="preserve">@mundlak1978pooling</w:t>
      </w:r>
      <w:r>
        <w:t xml:space="preserve"> </w:t>
      </w:r>
      <w:r>
        <w:t xml:space="preserve">and further developed by</w:t>
      </w:r>
      <w:r>
        <w:t xml:space="preserve"> </w:t>
      </w:r>
      <w:r>
        <w:t xml:space="preserve">@chamberlain1982multivariate</w:t>
      </w:r>
      <w:r>
        <w:t xml:space="preserve">. In contrast with standard Fixed Effects estimator, CRE allows users to control and identify the effects of time-variant and time-invariant variables. And, in contrast with standard random effects estimator, CRE lifts the assumption that individual-specific effects are uncorrelated with other explanatory variables in the model. As pointed out in</w:t>
      </w:r>
      <w:r>
        <w:t xml:space="preserve"> </w:t>
      </w:r>
      <w:r>
        <w:t xml:space="preserve">@wooldridge2010econometric</w:t>
      </w:r>
      <w:r>
        <w:t xml:space="preserve">, for the case of linear models, the CRE point estimates are identical to the Fixed Effects estimator.</w:t>
      </w:r>
    </w:p>
    <w:p>
      <w:pPr>
        <w:pStyle w:val="BodyText"/>
      </w:pPr>
      <w:r>
        <w:t xml:space="preserve">To understand how CRE models work, let’s consider the following data generating process:</w:t>
      </w:r>
    </w:p>
    <w:p>
      <w:pPr>
        <w:pStyle w:val="BodyText"/>
      </w:pPr>
      <w:bookmarkStart w:id="22" w:name="eq-cre-1"/>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α</m:t>
              </m:r>
            </m:e>
            <m:sub>
              <m:r>
                <m:t>i</m:t>
              </m:r>
            </m:sub>
          </m:sSub>
          <m:r>
            <m:rPr>
              <m:sty m:val="p"/>
            </m:rPr>
            <m:t>+</m:t>
          </m:r>
          <m:sSub>
            <m:e>
              <m:r>
                <m:t>u</m:t>
              </m:r>
            </m:e>
            <m:sub>
              <m:r>
                <m:t>i</m:t>
              </m:r>
              <m:r>
                <m:rPr>
                  <m:sty m:val="p"/>
                </m:rPr>
                <m:t>,</m:t>
              </m:r>
              <m:r>
                <m:t>t</m:t>
              </m:r>
            </m:sub>
          </m:sSub>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rPr>
                <m:sty m:val="p"/>
              </m:rPr>
              <m:t>,</m:t>
            </m:r>
            <m:r>
              <m:t>t</m:t>
            </m:r>
          </m:sub>
        </m:sSub>
      </m:oMath>
      <w:r>
        <w:t xml:space="preserve"> </w:t>
      </w:r>
      <w:r>
        <w:t xml:space="preserve">is the dependent variable for individual</w:t>
      </w:r>
      <w:r>
        <w:t xml:space="preserve"> </w:t>
      </w:r>
      <m:oMath>
        <m:r>
          <m:t>i</m:t>
        </m:r>
      </m:oMath>
      <w:r>
        <w:t xml:space="preserve"> </w:t>
      </w:r>
      <w:r>
        <w:t xml:space="preserve">at time</w:t>
      </w:r>
      <w:r>
        <w:t xml:space="preserve"> </w:t>
      </w:r>
      <m:oMath>
        <m:r>
          <m:t>t</m:t>
        </m:r>
      </m:oMath>
      <w:r>
        <w:t xml:space="preserve">,</w:t>
      </w:r>
      <w:r>
        <w:t xml:space="preserve"> </w:t>
      </w:r>
      <m:oMath>
        <m:sSub>
          <m:e>
            <m:r>
              <m:t>x</m:t>
            </m:r>
          </m:e>
          <m:sub>
            <m:r>
              <m:t>i</m:t>
            </m:r>
            <m:r>
              <m:rPr>
                <m:sty m:val="p"/>
              </m:rPr>
              <m:t>,</m:t>
            </m:r>
            <m:r>
              <m:t>t</m:t>
            </m:r>
          </m:sub>
        </m:sSub>
      </m:oMath>
      <w:r>
        <w:t xml:space="preserve"> </w:t>
      </w:r>
      <w:r>
        <w:t xml:space="preserve">is a vector of time-varying explanatory variables,</w:t>
      </w:r>
      <w:r>
        <w:t xml:space="preserve"> </w:t>
      </w:r>
      <m:oMath>
        <m:sSub>
          <m:e>
            <m:r>
              <m:t>z</m:t>
            </m:r>
          </m:e>
          <m:sub>
            <m:r>
              <m:t>i</m:t>
            </m:r>
          </m:sub>
        </m:sSub>
      </m:oMath>
      <w:r>
        <w:t xml:space="preserve"> </w:t>
      </w:r>
      <w:r>
        <w:t xml:space="preserve">a set of time-invariant factors,</w:t>
      </w:r>
      <w:r>
        <w:t xml:space="preserve"> </w:t>
      </w:r>
      <m:oMath>
        <m:sSub>
          <m:e>
            <m:r>
              <m:t>α</m:t>
            </m:r>
          </m:e>
          <m:sub>
            <m:r>
              <m:t>i</m:t>
            </m:r>
          </m:sub>
        </m:sSub>
      </m:oMath>
      <w:r>
        <w:t xml:space="preserve"> </w:t>
      </w:r>
      <w:r>
        <w:t xml:space="preserve">is the individual-specific effect, and</w:t>
      </w:r>
      <w:r>
        <w:t xml:space="preserve"> </w:t>
      </w:r>
      <m:oMath>
        <m:sSub>
          <m:e>
            <m:r>
              <m:t>u</m:t>
            </m:r>
          </m:e>
          <m:sub>
            <m:r>
              <m:t>i</m:t>
            </m:r>
            <m:r>
              <m:rPr>
                <m:sty m:val="p"/>
              </m:rPr>
              <m:t>,</m:t>
            </m:r>
            <m:r>
              <m:t>t</m:t>
            </m:r>
          </m:sub>
        </m:sSub>
      </m:oMath>
      <w:r>
        <w:t xml:space="preserve"> </w:t>
      </w:r>
      <w:r>
        <w:t xml:space="preserve">is the idiosyncratic error term.</w:t>
      </w:r>
    </w:p>
    <w:p>
      <w:pPr>
        <w:pStyle w:val="BodyText"/>
      </w:pPr>
      <w:r>
        <w:t xml:space="preserve">Under the assumption that</w:t>
      </w:r>
      <w:r>
        <w:t xml:space="preserve"> </w:t>
      </w:r>
      <m:oMath>
        <m:sSub>
          <m:e>
            <m:r>
              <m:t>α</m:t>
            </m:r>
          </m:e>
          <m:sub>
            <m:r>
              <m:t>i</m:t>
            </m:r>
          </m:sub>
        </m:sSub>
      </m:oMath>
      <w:r>
        <w:t xml:space="preserve"> </w:t>
      </w:r>
      <w:r>
        <w:t xml:space="preserve">is uncorrelated with</w:t>
      </w:r>
      <w:r>
        <w:t xml:space="preserve"> </w:t>
      </w:r>
      <m:oMath>
        <m:sSub>
          <m:e>
            <m:r>
              <m:t>x</m:t>
            </m:r>
          </m:e>
          <m:sub>
            <m:r>
              <m:t>i</m:t>
            </m:r>
            <m:r>
              <m:rPr>
                <m:sty m:val="p"/>
              </m:rPr>
              <m:t>,</m:t>
            </m:r>
            <m:r>
              <m:t>t</m:t>
            </m:r>
          </m:sub>
        </m:sSub>
      </m:oMath>
      <w:r>
        <w:t xml:space="preserve">, in addition to the standard assumption of exogeneity of</w:t>
      </w:r>
      <w:r>
        <w:t xml:space="preserve"> </w:t>
      </w:r>
      <m:oMath>
        <m:sSub>
          <m:e>
            <m:r>
              <m:t>u</m:t>
            </m:r>
          </m:e>
          <m:sub>
            <m:r>
              <m:t>i</m:t>
            </m:r>
            <m:r>
              <m:t>t</m:t>
            </m:r>
          </m:sub>
        </m:sSub>
      </m:oMath>
      <w:r>
        <w:t xml:space="preserve">,</w:t>
      </w:r>
      <w:r>
        <w:t xml:space="preserve"> </w:t>
      </w:r>
      <w:hyperlink w:anchor="eq-cre-1">
        <w:r>
          <w:rPr>
            <w:rStyle w:val="Hyperlink"/>
          </w:rPr>
          <w:t xml:space="preserve">Equation 1</w:t>
        </w:r>
      </w:hyperlink>
      <w:r>
        <w:t xml:space="preserve"> </w:t>
      </w:r>
      <w:r>
        <w:t xml:space="preserve">could be consistently estimated using ordinary least squares (OLS), Random effects estimator, or fixed effects estimator.</w:t>
      </w:r>
    </w:p>
    <w:p>
      <w:pPr>
        <w:pStyle w:val="BodyText"/>
      </w:pPr>
      <w:r>
        <w:t xml:space="preserve">In the case of using OLS, standard errors would need to be adjusted to account for the fact that</w:t>
      </w:r>
      <w:r>
        <w:t xml:space="preserve"> </w:t>
      </w:r>
      <m:oMath>
        <m:sSub>
          <m:e>
            <m:r>
              <m:t>α</m:t>
            </m:r>
          </m:e>
          <m:sub>
            <m:r>
              <m:t>i</m:t>
            </m:r>
          </m:sub>
        </m:sSub>
      </m:oMath>
      <w:r>
        <w:t xml:space="preserve"> </w:t>
      </w:r>
      <w:r>
        <w:t xml:space="preserve">is an effect that is clustered within individuals. In the case of Fixed effects, if the panel data is balanced, one could simply demean all the variables with group individual means and estimate the model with the transformed data. This demeaning process would eliminate the individual-specific effect</w:t>
      </w:r>
      <w:r>
        <w:t xml:space="preserve"> </w:t>
      </w:r>
      <m:oMath>
        <m:sSub>
          <m:e>
            <m:r>
              <m:t>α</m:t>
            </m:r>
          </m:e>
          <m:sub>
            <m:r>
              <m:t>i</m:t>
            </m:r>
          </m:sub>
        </m:sSub>
      </m:oMath>
      <w:r>
        <w:t xml:space="preserve"> </w:t>
      </w:r>
      <w:r>
        <w:t xml:space="preserve">from the model, but would also make it impossible to estimate the effects of time-invariant variables. In the case of random effects, one could quasi-demean the data, before estimating the model. This transformation eliminates the within-individual autocorrelation, allowing for the estimation of coefficients of time-invariant variables. However, this approach is not consistent if the assumption that</w:t>
      </w:r>
      <w:r>
        <w:t xml:space="preserve"> </w:t>
      </w:r>
      <m:oMath>
        <m:sSub>
          <m:e>
            <m:r>
              <m:t>α</m:t>
            </m:r>
          </m:e>
          <m:sub>
            <m:r>
              <m:t>i</m:t>
            </m:r>
          </m:sub>
        </m:sSub>
      </m:oMath>
      <w:r>
        <w:t xml:space="preserve"> </w:t>
      </w:r>
      <w:r>
        <w:t xml:space="preserve">is uncorrelated with</w:t>
      </w:r>
      <w:r>
        <w:t xml:space="preserve"> </w:t>
      </w:r>
      <m:oMath>
        <m:sSub>
          <m:e>
            <m:r>
              <m:t>x</m:t>
            </m:r>
          </m:e>
          <m:sub>
            <m:r>
              <m:t>i</m:t>
            </m:r>
            <m:r>
              <m:rPr>
                <m:sty m:val="p"/>
              </m:rPr>
              <m:t>,</m:t>
            </m:r>
            <m:r>
              <m:t>t</m:t>
            </m:r>
          </m:sub>
        </m:sSub>
      </m:oMath>
      <w:r>
        <w:t xml:space="preserve"> </w:t>
      </w:r>
      <w:r>
        <w:t xml:space="preserve">is violated.</w:t>
      </w:r>
    </w:p>
    <w:p>
      <w:pPr>
        <w:pStyle w:val="BodyText"/>
      </w:pPr>
      <w:r>
        <w:t xml:space="preserve">The solution proposed by</w:t>
      </w:r>
      <w:r>
        <w:t xml:space="preserve"> </w:t>
      </w:r>
      <w:r>
        <w:t xml:space="preserve">@mundlak1978pooling</w:t>
      </w:r>
      <w:r>
        <w:t xml:space="preserve"> </w:t>
      </w:r>
      <w:r>
        <w:t xml:space="preserve">and</w:t>
      </w:r>
      <w:r>
        <w:t xml:space="preserve"> </w:t>
      </w:r>
      <w:r>
        <w:t xml:space="preserve">@chamberlain1982multivariate</w:t>
      </w:r>
      <w:r>
        <w:t xml:space="preserve"> </w:t>
      </w:r>
      <w:r>
        <w:t xml:space="preserve">was to explicitly allow for correlation between the individual-specific effects and the time-varying explanatory variables, by assuming that the individual-specific effect can be expressed as a projection of (mean) time-varying variables plus an uncorrelated disturbance. Specifically:</w:t>
      </w:r>
    </w:p>
    <w:p>
      <w:pPr>
        <w:pStyle w:val="BodyText"/>
      </w:pPr>
      <w:bookmarkStart w:id="23" w:name="eq-cre-2"/>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s>
            </m:mPr>
            <m:mr>
              <m:e>
                <m:r>
                  <m:t>M</m:t>
                </m:r>
                <m:r>
                  <m:t>u</m:t>
                </m:r>
                <m:r>
                  <m:t>n</m:t>
                </m:r>
                <m:r>
                  <m:t>d</m:t>
                </m:r>
                <m:r>
                  <m:t>l</m:t>
                </m:r>
                <m:r>
                  <m:t>a</m:t>
                </m:r>
                <m:r>
                  <m:t>k</m:t>
                </m:r>
                <m:r>
                  <m:rPr>
                    <m:sty m:val="p"/>
                  </m:rPr>
                  <m:t>:</m:t>
                </m:r>
              </m:e>
              <m:e/>
              <m:e>
                <m:sSub>
                  <m:e>
                    <m:r>
                      <m:t>α</m:t>
                    </m:r>
                  </m:e>
                  <m:sub>
                    <m:r>
                      <m:t>i</m:t>
                    </m:r>
                  </m:sub>
                </m:sSub>
              </m:e>
              <m:e>
                <m:r>
                  <m:rPr>
                    <m:sty m:val="p"/>
                  </m:rPr>
                  <m:t>=</m:t>
                </m:r>
                <m:sSub>
                  <m:e>
                    <m:r>
                      <m:t>γ</m:t>
                    </m:r>
                  </m:e>
                  <m:sub>
                    <m:r>
                      <m:t>0</m:t>
                    </m:r>
                  </m:sub>
                </m:sSub>
                <m:r>
                  <m:rPr>
                    <m:sty m:val="p"/>
                  </m:rPr>
                  <m:t>+</m:t>
                </m:r>
                <m:sSub>
                  <m:e>
                    <m:acc>
                      <m:accPr>
                        <m:chr m:val="‾"/>
                      </m:accPr>
                      <m:e>
                        <m:r>
                          <m:t>x</m:t>
                        </m:r>
                      </m:e>
                    </m:acc>
                  </m:e>
                  <m:sub>
                    <m:r>
                      <m:t>i</m:t>
                    </m:r>
                  </m:sub>
                </m:sSub>
                <m:r>
                  <m:t>γ</m:t>
                </m:r>
                <m:r>
                  <m:rPr>
                    <m:sty m:val="p"/>
                  </m:rPr>
                  <m:t>+</m:t>
                </m:r>
                <m:sSub>
                  <m:e>
                    <m:r>
                      <m:t>v</m:t>
                    </m:r>
                  </m:e>
                  <m:sub>
                    <m:r>
                      <m:t>i</m:t>
                    </m:r>
                  </m:sub>
                </m:sSub>
              </m:e>
              <m:e/>
            </m:mr>
            <m:mr>
              <m:e>
                <m:r>
                  <m:t>C</m:t>
                </m:r>
                <m:r>
                  <m:t>h</m:t>
                </m:r>
                <m:r>
                  <m:t>a</m:t>
                </m:r>
                <m:r>
                  <m:t>m</m:t>
                </m:r>
                <m:r>
                  <m:t>b</m:t>
                </m:r>
                <m:r>
                  <m:t>e</m:t>
                </m:r>
                <m:r>
                  <m:t>r</m:t>
                </m:r>
                <m:r>
                  <m:t>l</m:t>
                </m:r>
                <m:r>
                  <m:t>a</m:t>
                </m:r>
                <m:r>
                  <m:t>i</m:t>
                </m:r>
                <m:r>
                  <m:t>n</m:t>
                </m:r>
                <m:r>
                  <m:rPr>
                    <m:sty m:val="p"/>
                  </m:rPr>
                  <m:t>:</m:t>
                </m:r>
              </m:e>
              <m:e/>
              <m:e>
                <m:sSub>
                  <m:e>
                    <m:r>
                      <m:t>α</m:t>
                    </m:r>
                  </m:e>
                  <m:sub>
                    <m:r>
                      <m:t>i</m:t>
                    </m:r>
                  </m:sub>
                </m:sSub>
              </m:e>
              <m:e>
                <m:r>
                  <m:rPr>
                    <m:sty m:val="p"/>
                  </m:rPr>
                  <m:t>=</m:t>
                </m:r>
                <m:sSub>
                  <m:e>
                    <m:r>
                      <m:t>γ</m:t>
                    </m:r>
                  </m:e>
                  <m:sub>
                    <m:r>
                      <m:t>0</m:t>
                    </m:r>
                  </m:sub>
                </m:sSub>
                <m:r>
                  <m:rPr>
                    <m:sty m:val="p"/>
                  </m:rPr>
                  <m:t>+</m:t>
                </m:r>
                <m:sSub>
                  <m:e>
                    <m:r>
                      <m:t>x</m:t>
                    </m:r>
                  </m:e>
                  <m:sub>
                    <m:r>
                      <m:t>i</m:t>
                    </m:r>
                    <m:r>
                      <m:rPr>
                        <m:sty m:val="p"/>
                      </m:rPr>
                      <m:t>,</m:t>
                    </m:r>
                    <m:r>
                      <m:t>1</m:t>
                    </m:r>
                  </m:sub>
                </m:sSub>
                <m:sSub>
                  <m:e>
                    <m:r>
                      <m:t>γ</m:t>
                    </m:r>
                  </m:e>
                  <m:sub>
                    <m:r>
                      <m:t>1</m:t>
                    </m:r>
                  </m:sub>
                </m:sSub>
                <m:r>
                  <m:rPr>
                    <m:sty m:val="p"/>
                  </m:rPr>
                  <m:t>+</m:t>
                </m:r>
                <m:sSub>
                  <m:e>
                    <m:r>
                      <m:t>x</m:t>
                    </m:r>
                  </m:e>
                  <m:sub>
                    <m:r>
                      <m:t>i</m:t>
                    </m:r>
                    <m:r>
                      <m:rPr>
                        <m:sty m:val="p"/>
                      </m:rPr>
                      <m:t>,</m:t>
                    </m:r>
                    <m:r>
                      <m:t>2</m:t>
                    </m:r>
                  </m:sub>
                </m:sSub>
                <m:sSub>
                  <m:e>
                    <m:r>
                      <m:t>γ</m:t>
                    </m:r>
                  </m:e>
                  <m:sub>
                    <m:r>
                      <m:t>2</m:t>
                    </m:r>
                  </m:sub>
                </m:sSub>
                <m:r>
                  <m:rPr>
                    <m:sty m:val="p"/>
                  </m:rPr>
                  <m:t>+</m:t>
                </m:r>
                <m:r>
                  <m:rPr>
                    <m:sty m:val="p"/>
                  </m:rPr>
                  <m:t>…</m:t>
                </m:r>
                <m:r>
                  <m:rPr>
                    <m:sty m:val="p"/>
                  </m:rPr>
                  <m:t>+</m:t>
                </m:r>
                <m:sSub>
                  <m:e>
                    <m:r>
                      <m:t>x</m:t>
                    </m:r>
                  </m:e>
                  <m:sub>
                    <m:r>
                      <m:t>i</m:t>
                    </m:r>
                    <m:r>
                      <m:rPr>
                        <m:sty m:val="p"/>
                      </m:rPr>
                      <m:t>,</m:t>
                    </m:r>
                    <m:r>
                      <m:t>T</m:t>
                    </m:r>
                  </m:sub>
                </m:sSub>
                <m:sSub>
                  <m:e>
                    <m:r>
                      <m:t>γ</m:t>
                    </m:r>
                  </m:e>
                  <m:sub>
                    <m:r>
                      <m:t>T</m:t>
                    </m:r>
                  </m:sub>
                </m:sSub>
                <m:r>
                  <m:rPr>
                    <m:sty m:val="p"/>
                  </m:rPr>
                  <m:t>+</m:t>
                </m:r>
                <m:sSub>
                  <m:e>
                    <m:r>
                      <m:t>v</m:t>
                    </m:r>
                  </m:e>
                  <m:sub>
                    <m:r>
                      <m:t>i</m:t>
                    </m:r>
                  </m:sub>
                </m:sSub>
              </m:e>
            </m:mr>
          </m:m>
          <m:r>
            <m:t>  </m:t>
          </m:r>
          <m:d>
            <m:dPr>
              <m:begChr m:val="("/>
              <m:endChr m:val=")"/>
              <m:sepChr m:val=""/>
              <m:grow/>
            </m:dPr>
            <m:e>
              <m:r>
                <m:t>2</m:t>
              </m:r>
            </m:e>
          </m:d>
        </m:oMath>
      </m:oMathPara>
      <w:bookmarkEnd w:id="23"/>
    </w:p>
    <w:p>
      <w:pPr>
        <w:pStyle w:val="FirstParagraph"/>
      </w:pPr>
      <w:r>
        <w:t xml:space="preserve">where</w:t>
      </w:r>
      <w:r>
        <w:t xml:space="preserve"> </w:t>
      </w:r>
      <m:oMath>
        <m:sSub>
          <m:e>
            <m:acc>
              <m:accPr>
                <m:chr m:val="‾"/>
              </m:accPr>
              <m:e>
                <m:r>
                  <m:t>x</m:t>
                </m:r>
              </m:e>
            </m:acc>
          </m:e>
          <m:sub>
            <m:r>
              <m:t>i</m:t>
            </m:r>
          </m:sub>
        </m:sSub>
      </m:oMath>
      <w:r>
        <w:t xml:space="preserve"> </w:t>
      </w:r>
      <w:r>
        <w:t xml:space="preserve">is the individual specific mean of the time-varying variables,</w:t>
      </w:r>
      <w:r>
        <w:t xml:space="preserve"> </w:t>
      </w:r>
      <m:oMath>
        <m:sSub>
          <m:e>
            <m:r>
              <m:t>x</m:t>
            </m:r>
          </m:e>
          <m:sub>
            <m:r>
              <m:t>i</m:t>
            </m:r>
            <m:r>
              <m:rPr>
                <m:sty m:val="p"/>
              </m:rPr>
              <m:t>,</m:t>
            </m:r>
            <m:r>
              <m:t>t</m:t>
            </m:r>
          </m:sub>
        </m:sSub>
      </m:oMath>
      <w:r>
        <w:t xml:space="preserve"> </w:t>
      </w:r>
      <w:r>
        <w:t xml:space="preserve">is the realization of</w:t>
      </w:r>
      <w:r>
        <w:t xml:space="preserve"> </w:t>
      </w:r>
      <m:oMath>
        <m:r>
          <m:t>x</m:t>
        </m:r>
      </m:oMath>
      <w:r>
        <w:t xml:space="preserve"> </w:t>
      </w:r>
      <w:r>
        <w:t xml:space="preserve">for individual</w:t>
      </w:r>
      <w:r>
        <w:t xml:space="preserve"> </w:t>
      </w:r>
      <m:oMath>
        <m:r>
          <m:t>i</m:t>
        </m:r>
      </m:oMath>
      <w:r>
        <w:t xml:space="preserve"> </w:t>
      </w:r>
      <w:r>
        <w:t xml:space="preserve">at time</w:t>
      </w:r>
      <w:r>
        <w:t xml:space="preserve"> </w:t>
      </w:r>
      <m:oMath>
        <m:r>
          <m:t>t</m:t>
        </m:r>
      </m:oMath>
      <w:r>
        <w:t xml:space="preserve">, and</w:t>
      </w:r>
      <w:r>
        <w:t xml:space="preserve"> </w:t>
      </w:r>
      <m:oMath>
        <m:sSub>
          <m:e>
            <m:r>
              <m:t>v</m:t>
            </m:r>
          </m:e>
          <m:sub>
            <m:r>
              <m:t>i</m:t>
            </m:r>
          </m:sub>
        </m:sSub>
      </m:oMath>
      <w:r>
        <w:t xml:space="preserve"> </w:t>
      </w:r>
      <w:r>
        <w:t xml:space="preserve">is an uncorrelated disturbance. The main difference between both approaches was that</w:t>
      </w:r>
      <w:r>
        <w:t xml:space="preserve"> </w:t>
      </w:r>
      <w:r>
        <w:t xml:space="preserve">@chamberlain1982multivariate</w:t>
      </w:r>
      <w:r>
        <w:t xml:space="preserve"> </w:t>
      </w:r>
      <w:r>
        <w:t xml:space="preserve">allowed for a more flexible specification of the correlation between the individual-specific effect and the time-varying variables.</w:t>
      </w:r>
      <w:r>
        <w:t xml:space="preserve"> </w:t>
      </w:r>
      <w:r>
        <w:t xml:space="preserve">@mundlak1978pooling</w:t>
      </w:r>
      <w:r>
        <w:t xml:space="preserve">, on the other hand, assumed that the correlation was constant, only depending on the individual average. If we substitute</w:t>
      </w:r>
      <w:r>
        <w:t xml:space="preserve"> </w:t>
      </w:r>
      <w:hyperlink w:anchor="eq-cre-2">
        <w:r>
          <w:rPr>
            <w:rStyle w:val="Hyperlink"/>
          </w:rPr>
          <w:t xml:space="preserve">Equation 2</w:t>
        </w:r>
      </w:hyperlink>
      <w:r>
        <w:t xml:space="preserve"> </w:t>
      </w:r>
      <w:r>
        <w:t xml:space="preserve">into</w:t>
      </w:r>
      <w:r>
        <w:t xml:space="preserve"> </w:t>
      </w:r>
      <w:hyperlink w:anchor="eq-cre-1">
        <w:r>
          <w:rPr>
            <w:rStyle w:val="Hyperlink"/>
          </w:rPr>
          <w:t xml:space="preserve">Equation 1</w:t>
        </w:r>
      </w:hyperlink>
      <w:r>
        <w:t xml:space="preserve">, the final model can be written as:</w:t>
      </w:r>
    </w:p>
    <w:p>
      <w:pPr>
        <w:pStyle w:val="BodyText"/>
      </w:pPr>
      <w:bookmarkStart w:id="24" w:name="eq-cre-final"/>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γ</m:t>
              </m:r>
            </m:e>
            <m:sub>
              <m:r>
                <m:t>0</m:t>
              </m:r>
            </m:sub>
          </m:sSub>
          <m:r>
            <m:rPr>
              <m:sty m:val="p"/>
            </m:rPr>
            <m:t>+</m:t>
          </m:r>
          <m:r>
            <m:t>f</m:t>
          </m:r>
          <m:d>
            <m:dPr>
              <m:begChr m:val="("/>
              <m:endChr m:val=")"/>
              <m:sepChr m:val=""/>
              <m:grow/>
            </m:dPr>
            <m:e>
              <m:sSub>
                <m:e>
                  <m:r>
                    <m:t>x</m:t>
                  </m:r>
                </m:e>
                <m:sub>
                  <m:r>
                    <m:t>i</m:t>
                  </m:r>
                  <m:r>
                    <m:rPr>
                      <m:sty m:val="p"/>
                    </m:rPr>
                    <m:t>,</m:t>
                  </m:r>
                  <m:r>
                    <m:t>t</m:t>
                  </m:r>
                </m:sub>
              </m:sSub>
            </m:e>
          </m:d>
          <m:r>
            <m:t>Γ</m:t>
          </m:r>
          <m:r>
            <m:rPr>
              <m:sty m:val="p"/>
            </m:rPr>
            <m:t>+</m:t>
          </m:r>
          <m:sSub>
            <m:e>
              <m:r>
                <m:t>v</m:t>
              </m:r>
            </m:e>
            <m:sub>
              <m:r>
                <m:t>i</m:t>
              </m:r>
            </m:sub>
          </m:sSub>
          <m:r>
            <m:rPr>
              <m:sty m:val="p"/>
            </m:rPr>
            <m:t>+</m:t>
          </m:r>
          <m:sSub>
            <m:e>
              <m:r>
                <m:t>u</m:t>
              </m:r>
            </m:e>
            <m:sub>
              <m:r>
                <m:t>i</m:t>
              </m:r>
              <m:r>
                <m:rPr>
                  <m:sty m:val="p"/>
                </m:rPr>
                <m:t>,</m:t>
              </m:r>
              <m:r>
                <m:t>t</m:t>
              </m:r>
            </m:sub>
          </m:sSub>
          <m:r>
            <m:t>  </m:t>
          </m:r>
          <m:d>
            <m:dPr>
              <m:begChr m:val="("/>
              <m:endChr m:val=")"/>
              <m:sepChr m:val=""/>
              <m:grow/>
            </m:dPr>
            <m:e>
              <m:r>
                <m:t>3</m:t>
              </m:r>
            </m:e>
          </m:d>
        </m:oMath>
      </m:oMathPara>
      <w:bookmarkEnd w:id="24"/>
    </w:p>
    <w:p>
      <w:pPr>
        <w:pStyle w:val="FirstParagraph"/>
      </w:pPr>
      <w:r>
        <w:t xml:space="preserve">where</w:t>
      </w:r>
      <w:r>
        <w:t xml:space="preserve"> </w:t>
      </w:r>
      <m:oMath>
        <m:r>
          <m:t>f</m:t>
        </m:r>
        <m:d>
          <m:dPr>
            <m:begChr m:val="("/>
            <m:endChr m:val=")"/>
            <m:sepChr m:val=""/>
            <m:grow/>
          </m:dPr>
          <m:e>
            <m:sSub>
              <m:e>
                <m:r>
                  <m:t>x</m:t>
                </m:r>
              </m:e>
              <m:sub>
                <m:r>
                  <m:t>i</m:t>
                </m:r>
                <m:r>
                  <m:rPr>
                    <m:sty m:val="p"/>
                  </m:rPr>
                  <m:t>,</m:t>
                </m:r>
                <m:r>
                  <m:t>t</m:t>
                </m:r>
              </m:sub>
            </m:sSub>
          </m:e>
        </m:d>
      </m:oMath>
      <w:r>
        <w:t xml:space="preserve"> </w:t>
      </w:r>
      <w:r>
        <w:t xml:space="preserve">can be the full set of time-varying variables or just the average of them. Notice that in this specification,</w:t>
      </w:r>
      <w:r>
        <w:t xml:space="preserve"> </w:t>
      </w:r>
      <m:oMath>
        <m:sSub>
          <m:e>
            <m:r>
              <m:t>β</m:t>
            </m:r>
          </m:e>
          <m:sub>
            <m:r>
              <m:t>0</m:t>
            </m:r>
          </m:sub>
        </m:sSub>
      </m:oMath>
      <w:r>
        <w:t xml:space="preserve"> </w:t>
      </w:r>
      <w:r>
        <w:t xml:space="preserve">and</w:t>
      </w:r>
      <w:r>
        <w:t xml:space="preserve"> </w:t>
      </w:r>
      <m:oMath>
        <m:sSub>
          <m:e>
            <m:r>
              <m:t>γ</m:t>
            </m:r>
          </m:e>
          <m:sub>
            <m:r>
              <m:t>0</m:t>
            </m:r>
          </m:sub>
        </m:sSub>
      </m:oMath>
      <w:r>
        <w:t xml:space="preserve"> </w:t>
      </w:r>
      <w:r>
        <w:t xml:space="preserve">cannot be independently identified, and that the new model now has a compound error</w:t>
      </w:r>
      <w:r>
        <w:t xml:space="preserve"> </w:t>
      </w:r>
      <m:oMath>
        <m:sSub>
          <m:e>
            <m:r>
              <m:t>v</m:t>
            </m:r>
          </m:e>
          <m:sub>
            <m:r>
              <m:t>i</m:t>
            </m:r>
          </m:sub>
        </m:sSub>
        <m:r>
          <m:rPr>
            <m:sty m:val="p"/>
          </m:rPr>
          <m:t>+</m:t>
        </m:r>
        <m:sSub>
          <m:e>
            <m:r>
              <m:t>u</m:t>
            </m:r>
          </m:e>
          <m:sub>
            <m:r>
              <m:t>i</m:t>
            </m:r>
            <m:r>
              <m:rPr>
                <m:sty m:val="p"/>
              </m:rPr>
              <m:t>,</m:t>
            </m:r>
            <m:r>
              <m:t>t</m:t>
            </m:r>
          </m:sub>
        </m:sSub>
        <m:r>
          <m:rPr>
            <m:sty m:val="p"/>
          </m:rPr>
          <m:t>=</m:t>
        </m:r>
        <m:sSub>
          <m:e>
            <m:r>
              <m:t>μ</m:t>
            </m:r>
          </m:e>
          <m:sub>
            <m:r>
              <m:t>i</m:t>
            </m:r>
            <m:r>
              <m:rPr>
                <m:sty m:val="p"/>
              </m:rPr>
              <m:t>,</m:t>
            </m:r>
            <m:r>
              <m:t>t</m:t>
            </m:r>
          </m:sub>
        </m:sSub>
      </m:oMath>
      <w:r>
        <w:t xml:space="preserve">, which is uncorrelated with</w:t>
      </w:r>
      <w:r>
        <w:t xml:space="preserve"> </w:t>
      </w:r>
      <m:oMath>
        <m:sSub>
          <m:e>
            <m:r>
              <m:t>x</m:t>
            </m:r>
          </m:e>
          <m:sub>
            <m:r>
              <m:t>i</m:t>
            </m:r>
            <m:r>
              <m:rPr>
                <m:sty m:val="p"/>
              </m:rPr>
              <m:t>,</m:t>
            </m:r>
            <m:r>
              <m:t>t</m:t>
            </m:r>
          </m:sub>
        </m:sSub>
      </m:oMath>
      <w:r>
        <w:t xml:space="preserve"> </w:t>
      </w:r>
      <w:r>
        <w:t xml:space="preserve">by construction.</w:t>
      </w:r>
    </w:p>
    <w:p>
      <w:pPr>
        <w:pStyle w:val="BodyText"/>
      </w:pPr>
      <w:r>
        <w:t xml:space="preserve">While this model could now be estimated using OLS, to account for the within-individual correlation driven by</w:t>
      </w:r>
      <w:r>
        <w:t xml:space="preserve"> </w:t>
      </w:r>
      <m:oMath>
        <m:sSub>
          <m:e>
            <m:r>
              <m:t>v</m:t>
            </m:r>
          </m:e>
          <m:sub>
            <m:r>
              <m:t>i</m:t>
            </m:r>
          </m:sub>
        </m:sSub>
      </m:oMath>
      <w:r>
        <w:t xml:space="preserve">, the model should be estimated using either random effects estimator, or clustering standard errors at the individual level (see</w:t>
      </w:r>
      <w:r>
        <w:t xml:space="preserve"> </w:t>
      </w:r>
      <w:r>
        <w:t xml:space="preserve">@wooldridge2010econometric</w:t>
      </w:r>
      <w:r>
        <w:t xml:space="preserve"> </w:t>
      </w:r>
      <w:r>
        <w:t xml:space="preserve">for a discussion). Interestingly, both methods provide the same results for time-varying covariates if the panel data is balanced, and all covariates are strictly exogenous.</w:t>
      </w:r>
      <w:r>
        <w:rPr>
          <w:rStyle w:val="FootnoteReference"/>
        </w:rPr>
        <w:footnoteReference w:id="25"/>
      </w:r>
      <w:r>
        <w:t xml:space="preserve"> </w:t>
      </w:r>
      <w:r>
        <w:t xml:space="preserve">However, this identity breaks down in other cases (see</w:t>
      </w:r>
      <w:r>
        <w:t xml:space="preserve"> </w:t>
      </w:r>
      <w:r>
        <w:t xml:space="preserve">@abrevaya2013</w:t>
      </w:r>
      <w:r>
        <w:t xml:space="preserve">).</w:t>
      </w:r>
    </w:p>
    <w:p>
      <w:pPr>
        <w:pStyle w:val="BodyText"/>
      </w:pPr>
      <w:r>
        <w:t xml:space="preserve">While both approaches will produce consistent estimates for the time-varying covariates, the implementation of</w:t>
      </w:r>
      <w:r>
        <w:t xml:space="preserve"> </w:t>
      </w:r>
      <w:r>
        <w:t xml:space="preserve">@chamberlain1982multivariate</w:t>
      </w:r>
      <w:r>
        <w:t xml:space="preserve"> </w:t>
      </w:r>
      <w:r>
        <w:t xml:space="preserve">is more difficult when the panel data is unbalanced (see</w:t>
      </w:r>
      <w:r>
        <w:t xml:space="preserve"> </w:t>
      </w:r>
      <w:r>
        <w:t xml:space="preserve">@abrevaya2013</w:t>
      </w:r>
      <w:r>
        <w:t xml:space="preserve">). On the other hand,</w:t>
      </w:r>
      <w:r>
        <w:t xml:space="preserve"> </w:t>
      </w:r>
      <w:r>
        <w:t xml:space="preserve">@mundlak1978pooling</w:t>
      </w:r>
      <w:r>
        <w:t xml:space="preserve"> </w:t>
      </w:r>
      <w:r>
        <w:t xml:space="preserve">approach is easier to implement with unbalanced panels, because it only requires the calculation of the individual means for the observed data for each individual, as it has been shown by</w:t>
      </w:r>
      <w:r>
        <w:t xml:space="preserve"> </w:t>
      </w:r>
      <w:r>
        <w:t xml:space="preserve">@wooldridge2019</w:t>
      </w:r>
      <w:r>
        <w:t xml:space="preserve">. Furthermore,</w:t>
      </w:r>
      <w:r>
        <w:t xml:space="preserve"> </w:t>
      </w:r>
      <w:r>
        <w:t xml:space="preserve">@mundlak1978pooling</w:t>
      </w:r>
      <w:r>
        <w:t xml:space="preserve"> </w:t>
      </w:r>
      <w:r>
        <w:t xml:space="preserve">only requires adding a few covariates to the model regardless of the number of periods in the panel, compared to an increasing number of covariates in</w:t>
      </w:r>
      <w:r>
        <w:t xml:space="preserve"> </w:t>
      </w:r>
      <w:r>
        <w:t xml:space="preserve">@chamberlain1982multivariate</w:t>
      </w:r>
      <w:r>
        <w:t xml:space="preserve"> </w:t>
      </w:r>
      <w:r>
        <w:t xml:space="preserve">approach.</w:t>
      </w:r>
    </w:p>
    <w:bookmarkEnd w:id="26"/>
    <w:bookmarkStart w:id="32" w:name="Xd282298a20a00a1ae6fc62c6c4833abe323d5f6"/>
    <w:p>
      <w:pPr>
        <w:pStyle w:val="Heading2"/>
      </w:pPr>
      <w:r>
        <w:t xml:space="preserve">Correlated Random Effects Models - Multiple Dimensions</w:t>
      </w:r>
    </w:p>
    <w:p>
      <w:pPr>
        <w:pStyle w:val="FirstParagraph"/>
      </w:pPr>
      <w:r>
        <w:t xml:space="preserve">One potential advantage of CRE-Mundlak estimation that has been less discussed in the literature is that it can be easily extended to accommodate for multiple fixed effects/dimensions. In the standard case of panel data, for example, one may be interested in controlling for both individual and time fixed effects. Among the few papers discussing this extension,</w:t>
      </w:r>
      <w:r>
        <w:t xml:space="preserve"> </w:t>
      </w:r>
      <w:r>
        <w:t xml:space="preserve">@baltagi2023</w:t>
      </w:r>
      <w:r>
        <w:t xml:space="preserve"> </w:t>
      </w:r>
      <w:r>
        <w:t xml:space="preserve">focuses on formalizing the equivalence with two-way fixed effect estimation, while</w:t>
      </w:r>
      <w:r>
        <w:t xml:space="preserve"> </w:t>
      </w:r>
      <w:r>
        <w:t xml:space="preserve">@wooldridge2021</w:t>
      </w:r>
      <w:r>
        <w:t xml:space="preserve"> </w:t>
      </w:r>
      <w:r>
        <w:t xml:space="preserve">have discussed the advantages of CRE-Mundlak estimation for the identification of treatment effects in setups of staggered adoption of treatments. Both authors discuss the CRE-Mundlak approach in the context of two fixed effects, however, the extension to more than two fixed effects is straightforward.</w:t>
      </w:r>
    </w:p>
    <w:p>
      <w:pPr>
        <w:pStyle w:val="BodyText"/>
      </w:pPr>
      <w:r>
        <w:t xml:space="preserve">Consider the following data generating process:</w:t>
      </w:r>
    </w:p>
    <w:p>
      <w:pPr>
        <w:pStyle w:val="BodyText"/>
      </w:pPr>
      <w:bookmarkStart w:id="27" w:name="eq-mcre-1"/>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w</m:t>
              </m:r>
            </m:e>
            <m:sub>
              <m:r>
                <m:t>t</m:t>
              </m:r>
            </m:sub>
          </m:sSub>
          <m:sSub>
            <m:e>
              <m:r>
                <m:t>β</m:t>
              </m:r>
            </m:e>
            <m:sub>
              <m:r>
                <m:t>w</m:t>
              </m:r>
            </m:sub>
          </m:sSub>
          <m:r>
            <m:rPr>
              <m:sty m:val="p"/>
            </m:rPr>
            <m:t>+</m:t>
          </m:r>
          <m:sSub>
            <m:e>
              <m:r>
                <m:t>α</m:t>
              </m:r>
            </m:e>
            <m:sub>
              <m:r>
                <m:t>i</m:t>
              </m:r>
            </m:sub>
          </m:sSub>
          <m:r>
            <m:rPr>
              <m:sty m:val="p"/>
            </m:rPr>
            <m:t>+</m:t>
          </m:r>
          <m:sSub>
            <m:e>
              <m:r>
                <m:t>τ</m:t>
              </m:r>
            </m:e>
            <m:sub>
              <m:r>
                <m:t>t</m:t>
              </m:r>
            </m:sub>
          </m:sSub>
          <m:r>
            <m:rPr>
              <m:sty m:val="p"/>
            </m:rPr>
            <m:t>+</m:t>
          </m:r>
          <m:sSub>
            <m:e>
              <m:r>
                <m:t>u</m:t>
              </m:r>
            </m:e>
            <m:sub>
              <m:r>
                <m:t>i</m:t>
              </m:r>
              <m:r>
                <m:rPr>
                  <m:sty m:val="p"/>
                </m:rPr>
                <m:t>,</m:t>
              </m:r>
              <m:r>
                <m:t>t</m:t>
              </m:r>
            </m:sub>
          </m:sSub>
          <m:r>
            <m:t>  </m:t>
          </m:r>
          <m:d>
            <m:dPr>
              <m:begChr m:val="("/>
              <m:endChr m:val=")"/>
              <m:sepChr m:val=""/>
              <m:grow/>
            </m:dPr>
            <m:e>
              <m:r>
                <m:t>4</m:t>
              </m:r>
            </m:e>
          </m:d>
        </m:oMath>
      </m:oMathPara>
      <w:bookmarkEnd w:id="27"/>
    </w:p>
    <w:p>
      <w:pPr>
        <w:pStyle w:val="FirstParagraph"/>
      </w:pPr>
      <w:r>
        <w:t xml:space="preserve">In addition to the components from</w:t>
      </w:r>
      <w:r>
        <w:t xml:space="preserve"> </w:t>
      </w:r>
      <w:hyperlink w:anchor="eq-cre-1">
        <w:r>
          <w:rPr>
            <w:rStyle w:val="Hyperlink"/>
          </w:rPr>
          <w:t xml:space="preserve">Equation 1</w:t>
        </w:r>
      </w:hyperlink>
      <w:r>
        <w:t xml:space="preserve">,</w:t>
      </w:r>
      <w:r>
        <w:t xml:space="preserve"> </w:t>
      </w:r>
      <w:hyperlink w:anchor="eq-mcre-1">
        <w:r>
          <w:rPr>
            <w:rStyle w:val="Hyperlink"/>
          </w:rPr>
          <w:t xml:space="preserve">Equation 4</w:t>
        </w:r>
      </w:hyperlink>
      <w:r>
        <w:t xml:space="preserve"> </w:t>
      </w:r>
      <w:r>
        <w:t xml:space="preserve">also considers individual-invariant variables</w:t>
      </w:r>
      <w:r>
        <w:t xml:space="preserve"> </w:t>
      </w:r>
      <m:oMath>
        <m:sSub>
          <m:e>
            <m:r>
              <m:t>w</m:t>
            </m:r>
          </m:e>
          <m:sub>
            <m:r>
              <m:t>t</m:t>
            </m:r>
          </m:sub>
        </m:sSub>
      </m:oMath>
      <w:r>
        <w:t xml:space="preserve">, as well as effects that only vary across time, but not individuals</w:t>
      </w:r>
      <w:r>
        <w:t xml:space="preserve"> </w:t>
      </w:r>
      <m:oMath>
        <m:sSub>
          <m:e>
            <m:r>
              <m:t>τ</m:t>
            </m:r>
          </m:e>
          <m:sub>
            <m:r>
              <m:t>t</m:t>
            </m:r>
          </m:sub>
        </m:sSub>
      </m:oMath>
      <w:r>
        <w:t xml:space="preserve">. As before, pool OLS or random effects estimators are only consistent if the individual-specific (</w:t>
      </w:r>
      <m:oMath>
        <m:sSub>
          <m:e>
            <m:r>
              <m:t>α</m:t>
            </m:r>
          </m:e>
          <m:sub>
            <m:r>
              <m:t>i</m:t>
            </m:r>
          </m:sub>
        </m:sSub>
      </m:oMath>
      <w:r>
        <w:t xml:space="preserve">) and time-specific (</w:t>
      </w:r>
      <m:oMath>
        <m:sSub>
          <m:e>
            <m:r>
              <m:t>τ</m:t>
            </m:r>
          </m:e>
          <m:sub>
            <m:r>
              <m:t>i</m:t>
            </m:r>
          </m:sub>
        </m:sSub>
      </m:oMath>
      <w:r>
        <w:t xml:space="preserve">) effects are uncorrelated with the explanatory variables. Without loss of generality let’s assume that all variables have an overall mean of zero.</w:t>
      </w:r>
    </w:p>
    <w:p>
      <w:pPr>
        <w:pStyle w:val="BodyText"/>
      </w:pPr>
      <w:r>
        <w:t xml:space="preserve">Extending the analogy from</w:t>
      </w:r>
      <w:r>
        <w:t xml:space="preserve"> </w:t>
      </w:r>
      <w:hyperlink w:anchor="eq-cre-2">
        <w:r>
          <w:rPr>
            <w:rStyle w:val="Hyperlink"/>
          </w:rPr>
          <w:t xml:space="preserve">Equation 2</w:t>
        </w:r>
      </w:hyperlink>
      <w:r>
        <w:t xml:space="preserve">, we can project the sum of individual-specific and time-specific effect as a function of the individual and time averages of</w:t>
      </w:r>
      <w:r>
        <w:t xml:space="preserve"> </w:t>
      </w:r>
      <m:oMath>
        <m:r>
          <m:t>X</m:t>
        </m:r>
        <m:r>
          <m:rPr>
            <m:sty m:val="p"/>
          </m:rPr>
          <m:t>′</m:t>
        </m:r>
        <m:r>
          <m:t>s</m:t>
        </m:r>
      </m:oMath>
      <w:r>
        <w:t xml:space="preserve">. Other variables are not included because they already are invariant in one of the dimensions:</w:t>
      </w:r>
    </w:p>
    <w:p>
      <w:pPr>
        <w:pStyle w:val="BodyText"/>
      </w:pPr>
      <w:bookmarkStart w:id="28" w:name="eq-mcre-2"/>
      <m:oMathPara>
        <m:oMathParaPr>
          <m:jc m:val="center"/>
        </m:oMathParaPr>
        <m:oMath>
          <m:sSub>
            <m:e>
              <m:r>
                <m:t>α</m:t>
              </m:r>
            </m:e>
            <m:sub>
              <m:r>
                <m:t>i</m:t>
              </m:r>
            </m:sub>
          </m:sSub>
          <m:r>
            <m:rPr>
              <m:sty m:val="p"/>
            </m:rPr>
            <m:t>+</m:t>
          </m:r>
          <m:sSub>
            <m:e>
              <m:r>
                <m:t>α</m:t>
              </m:r>
            </m:e>
            <m:sub>
              <m:r>
                <m:t>t</m:t>
              </m:r>
            </m:sub>
          </m:sSub>
          <m:r>
            <m:rPr>
              <m:sty m:val="p"/>
            </m:rPr>
            <m:t>=</m:t>
          </m:r>
          <m:sSub>
            <m:e>
              <m:r>
                <m:t>γ</m:t>
              </m:r>
            </m:e>
            <m:sub>
              <m:r>
                <m:t>0</m:t>
              </m:r>
            </m:sub>
          </m:sSub>
          <m:r>
            <m:rPr>
              <m:sty m:val="p"/>
            </m:rPr>
            <m:t>+</m:t>
          </m:r>
          <m:sSub>
            <m:e>
              <m:acc>
                <m:accPr>
                  <m:chr m:val="̌"/>
                </m:accPr>
                <m:e>
                  <m:r>
                    <m:t>x</m:t>
                  </m:r>
                </m:e>
              </m:acc>
            </m:e>
            <m:sub>
              <m:r>
                <m:t>i</m:t>
              </m:r>
            </m:sub>
          </m:sSub>
          <m:r>
            <m:t>γ</m:t>
          </m:r>
          <m:r>
            <m:rPr>
              <m:sty m:val="p"/>
            </m:rPr>
            <m:t>+</m:t>
          </m:r>
          <m:sSub>
            <m:e>
              <m:acc>
                <m:accPr>
                  <m:chr m:val="̌"/>
                </m:accPr>
                <m:e>
                  <m:r>
                    <m:t>x</m:t>
                  </m:r>
                </m:e>
              </m:acc>
            </m:e>
            <m:sub>
              <m:r>
                <m:t>t</m:t>
              </m:r>
            </m:sub>
          </m:sSub>
          <m:r>
            <m:t>δ</m:t>
          </m:r>
          <m:r>
            <m:rPr>
              <m:sty m:val="p"/>
            </m:rPr>
            <m:t>+</m:t>
          </m:r>
          <m:sSub>
            <m:e>
              <m:r>
                <m:t>v</m:t>
              </m:r>
            </m:e>
            <m:sub>
              <m:r>
                <m:t>i</m:t>
              </m:r>
              <m:r>
                <m:rPr>
                  <m:sty m:val="p"/>
                </m:rPr>
                <m:t>,</m:t>
              </m:r>
              <m:r>
                <m:t>t</m:t>
              </m:r>
            </m:sub>
          </m:sSub>
          <m:r>
            <m:t>  </m:t>
          </m:r>
          <m:d>
            <m:dPr>
              <m:begChr m:val="("/>
              <m:endChr m:val=")"/>
              <m:sepChr m:val=""/>
              <m:grow/>
            </m:dPr>
            <m:e>
              <m:r>
                <m:t>5</m:t>
              </m:r>
            </m:e>
          </m:d>
        </m:oMath>
      </m:oMathPara>
      <w:bookmarkEnd w:id="28"/>
    </w:p>
    <w:p>
      <w:pPr>
        <w:pStyle w:val="FirstParagraph"/>
      </w:pPr>
      <w:r>
        <w:t xml:space="preserve">Interestingly, if the panel data is balanced,</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can be estimated simply as the individual or period specific average. Furthermore, they would be orthogonal and</w:t>
      </w:r>
      <w:r>
        <w:t xml:space="preserve"> </w:t>
      </w:r>
      <w:hyperlink w:anchor="eq-mcre-2">
        <w:r>
          <w:rPr>
            <w:rStyle w:val="Hyperlink"/>
          </w:rPr>
          <w:t xml:space="preserve">Equation 5</w:t>
        </w:r>
      </w:hyperlink>
      <w:r>
        <w:t xml:space="preserve"> </w:t>
      </w:r>
      <w:r>
        <w:t xml:space="preserve">could be expressed using two equations like</w:t>
      </w:r>
      <w:r>
        <w:t xml:space="preserve"> </w:t>
      </w:r>
      <w:hyperlink w:anchor="eq-cre-2">
        <w:r>
          <w:rPr>
            <w:rStyle w:val="Hyperlink"/>
          </w:rPr>
          <w:t xml:space="preserve">Equation 2</w:t>
        </w:r>
      </w:hyperlink>
      <w:r>
        <w:t xml:space="preserve">, one for each dimension. In either case, the final model would be:</w:t>
      </w:r>
    </w:p>
    <w:p>
      <w:pPr>
        <w:pStyle w:val="BodyText"/>
      </w:pPr>
      <w:bookmarkStart w:id="29" w:name="eq-mcre-final"/>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w</m:t>
              </m:r>
            </m:e>
            <m:sub>
              <m:r>
                <m:t>t</m:t>
              </m:r>
            </m:sub>
          </m:sSub>
          <m:sSub>
            <m:e>
              <m:r>
                <m:t>β</m:t>
              </m:r>
            </m:e>
            <m:sub>
              <m:r>
                <m:t>w</m:t>
              </m:r>
            </m:sub>
          </m:sSub>
          <m:r>
            <m:rPr>
              <m:sty m:val="p"/>
            </m:rPr>
            <m:t>+</m:t>
          </m:r>
          <m:sSub>
            <m:e>
              <m:r>
                <m:t>γ</m:t>
              </m:r>
            </m:e>
            <m:sub>
              <m:r>
                <m:t>0</m:t>
              </m:r>
            </m:sub>
          </m:sSub>
          <m:r>
            <m:rPr>
              <m:sty m:val="p"/>
            </m:rPr>
            <m:t>+</m:t>
          </m:r>
          <m:sSub>
            <m:e>
              <m:acc>
                <m:accPr>
                  <m:chr m:val="̌"/>
                </m:accPr>
                <m:e>
                  <m:r>
                    <m:t>x</m:t>
                  </m:r>
                </m:e>
              </m:acc>
            </m:e>
            <m:sub>
              <m:r>
                <m:t>i</m:t>
              </m:r>
            </m:sub>
          </m:sSub>
          <m:r>
            <m:t>γ</m:t>
          </m:r>
          <m:r>
            <m:rPr>
              <m:sty m:val="p"/>
            </m:rPr>
            <m:t>+</m:t>
          </m:r>
          <m:sSub>
            <m:e>
              <m:acc>
                <m:accPr>
                  <m:chr m:val="̌"/>
                </m:accPr>
                <m:e>
                  <m:r>
                    <m:t>x</m:t>
                  </m:r>
                </m:e>
              </m:acc>
            </m:e>
            <m:sub>
              <m:r>
                <m:t>t</m:t>
              </m:r>
            </m:sub>
          </m:sSub>
          <m:r>
            <m:t>δ</m:t>
          </m:r>
          <m:r>
            <m:rPr>
              <m:sty m:val="p"/>
            </m:rPr>
            <m:t>+</m:t>
          </m:r>
          <m:sSub>
            <m:e>
              <m:r>
                <m:t>v</m:t>
              </m:r>
            </m:e>
            <m:sub>
              <m:r>
                <m:t>i</m:t>
              </m:r>
              <m:r>
                <m:rPr>
                  <m:sty m:val="p"/>
                </m:rPr>
                <m:t>,</m:t>
              </m:r>
              <m:r>
                <m:t>t</m:t>
              </m:r>
            </m:sub>
          </m:sSub>
          <m:r>
            <m:rPr>
              <m:sty m:val="p"/>
            </m:rPr>
            <m:t>+</m:t>
          </m:r>
          <m:sSub>
            <m:e>
              <m:r>
                <m:t>u</m:t>
              </m:r>
            </m:e>
            <m:sub>
              <m:r>
                <m:t>i</m:t>
              </m:r>
              <m:r>
                <m:rPr>
                  <m:sty m:val="p"/>
                </m:rPr>
                <m:t>,</m:t>
              </m:r>
              <m:r>
                <m:t>t</m:t>
              </m:r>
            </m:sub>
          </m:sSub>
          <m:r>
            <m:t>  </m:t>
          </m:r>
          <m:d>
            <m:dPr>
              <m:begChr m:val="("/>
              <m:endChr m:val=")"/>
              <m:sepChr m:val=""/>
              <m:grow/>
            </m:dPr>
            <m:e>
              <m:r>
                <m:t>6</m:t>
              </m:r>
            </m:e>
          </m:d>
        </m:oMath>
      </m:oMathPara>
      <w:bookmarkEnd w:id="29"/>
    </w:p>
    <w:p>
      <w:pPr>
        <w:pStyle w:val="FirstParagraph"/>
      </w:pPr>
      <w:r>
        <w:t xml:space="preserve">where</w:t>
      </w:r>
      <w:r>
        <w:t xml:space="preserve"> </w:t>
      </w:r>
      <m:oMath>
        <m:sSub>
          <m:e>
            <m:r>
              <m:t>v</m:t>
            </m:r>
          </m:e>
          <m:sub>
            <m:r>
              <m:t>i</m:t>
            </m:r>
            <m:r>
              <m:rPr>
                <m:sty m:val="p"/>
              </m:rPr>
              <m:t>,</m:t>
            </m:r>
            <m:r>
              <m:t>t</m:t>
            </m:r>
          </m:sub>
        </m:sSub>
      </m:oMath>
      <w:r>
        <w:t xml:space="preserve"> </w:t>
      </w:r>
      <w:r>
        <w:t xml:space="preserve">is the compound error term (</w:t>
      </w:r>
      <m:oMath>
        <m:sSub>
          <m:e>
            <m:r>
              <m:t>v</m:t>
            </m:r>
          </m:e>
          <m:sub>
            <m:r>
              <m:t>i</m:t>
            </m:r>
          </m:sub>
        </m:sSub>
        <m:r>
          <m:rPr>
            <m:sty m:val="p"/>
          </m:rPr>
          <m:t>+</m:t>
        </m:r>
        <m:sSub>
          <m:e>
            <m:r>
              <m:t>v</m:t>
            </m:r>
          </m:e>
          <m:sub>
            <m:r>
              <m:t>t</m:t>
            </m:r>
          </m:sub>
        </m:sSub>
      </m:oMath>
      <w:r>
        <w:t xml:space="preserve">) that is uncorrelated with</w:t>
      </w:r>
      <w:r>
        <w:t xml:space="preserve"> </w:t>
      </w:r>
      <m:oMath>
        <m:sSub>
          <m:e>
            <m:r>
              <m:t>x</m:t>
            </m:r>
          </m:e>
          <m:sub>
            <m:r>
              <m:t>i</m:t>
            </m:r>
            <m:r>
              <m:rPr>
                <m:sty m:val="p"/>
              </m:rPr>
              <m:t>,</m:t>
            </m:r>
            <m:r>
              <m:t>t</m:t>
            </m:r>
          </m:sub>
        </m:sSub>
      </m:oMath>
      <w:r>
        <w:t xml:space="preserve">, which could be estimated using OLS. However, balanced panel data is not the norm.</w:t>
      </w:r>
    </w:p>
    <w:p>
      <w:pPr>
        <w:pStyle w:val="BodyText"/>
      </w:pPr>
      <w:r>
        <w:t xml:space="preserve">When the panel data is unbalanced,</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cannot be estimated as simple group averages. This is similar to the problem of using the within transformation for the estimation of M-way fixed effects</w:t>
      </w:r>
      <w:r>
        <w:t xml:space="preserve"> </w:t>
      </w:r>
      <w:r>
        <w:t xml:space="preserve">[@rios2015; @correia_2016]</w:t>
      </w:r>
      <w:r>
        <w:t xml:space="preserve">.</w:t>
      </w:r>
      <w:r>
        <w:rPr>
          <w:rStyle w:val="FootnoteReference"/>
        </w:rPr>
        <w:footnoteReference w:id="30"/>
      </w:r>
      <w:r>
        <w:t xml:space="preserve"> </w:t>
      </w:r>
      <w:r>
        <w:t xml:space="preserve">In this case, instead of estimating</w:t>
      </w:r>
      <w:r>
        <w:t xml:space="preserve"> </w:t>
      </w:r>
      <m:oMath>
        <m:acc>
          <m:accPr>
            <m:chr m:val="̌"/>
          </m:accPr>
          <m:e>
            <m:r>
              <m:t>x</m:t>
            </m:r>
          </m:e>
        </m:acc>
      </m:oMath>
      <w:r>
        <w:t xml:space="preserve"> </w:t>
      </w:r>
      <w:r>
        <w:t xml:space="preserve">as individual or group averages, one should estimate them as the solution to the following model:</w:t>
      </w:r>
    </w:p>
    <w:p>
      <w:pPr>
        <w:pStyle w:val="BodyText"/>
      </w:pPr>
      <w:bookmarkStart w:id="31" w:name="eq-mcre-3"/>
      <m:oMathPara>
        <m:oMathParaPr>
          <m:jc m:val="center"/>
        </m:oMathParaPr>
        <m:oMath>
          <m:sSub>
            <m:e>
              <m:r>
                <m:t>x</m:t>
              </m:r>
            </m:e>
            <m:sub>
              <m:r>
                <m:t>i</m:t>
              </m:r>
              <m:r>
                <m:rPr>
                  <m:sty m:val="p"/>
                </m:rPr>
                <m:t>,</m:t>
              </m:r>
              <m:r>
                <m:t>t</m:t>
              </m:r>
            </m:sub>
          </m:sSub>
          <m:r>
            <m:rPr>
              <m:sty m:val="p"/>
            </m:rPr>
            <m:t>=</m:t>
          </m:r>
          <m:sSub>
            <m:e>
              <m:acc>
                <m:accPr>
                  <m:chr m:val="̌"/>
                </m:accPr>
                <m:e>
                  <m:r>
                    <m:t>x</m:t>
                  </m:r>
                </m:e>
              </m:acc>
            </m:e>
            <m:sub>
              <m:r>
                <m:t>i</m:t>
              </m:r>
            </m:sub>
          </m:sSub>
          <m:r>
            <m:rPr>
              <m:sty m:val="p"/>
            </m:rPr>
            <m:t>+</m:t>
          </m:r>
          <m:sSub>
            <m:e>
              <m:acc>
                <m:accPr>
                  <m:chr m:val="̌"/>
                </m:accPr>
                <m:e>
                  <m:r>
                    <m:t>x</m:t>
                  </m:r>
                </m:e>
              </m:acc>
            </m:e>
            <m:sub>
              <m:r>
                <m:t>t</m:t>
              </m:r>
            </m:sub>
          </m:sSub>
          <m:r>
            <m:rPr>
              <m:sty m:val="p"/>
            </m:rPr>
            <m:t>+</m:t>
          </m:r>
          <m:sSub>
            <m:e>
              <m:r>
                <m:t>ϵ</m:t>
              </m:r>
            </m:e>
            <m:sub>
              <m:r>
                <m:t>i</m:t>
              </m:r>
              <m:r>
                <m:rPr>
                  <m:sty m:val="p"/>
                </m:rPr>
                <m:t>,</m:t>
              </m:r>
              <m:r>
                <m:t>t</m:t>
              </m:r>
            </m:sub>
          </m:sSub>
          <m:r>
            <m:t>  </m:t>
          </m:r>
          <m:d>
            <m:dPr>
              <m:begChr m:val="("/>
              <m:endChr m:val=")"/>
              <m:sepChr m:val=""/>
              <m:grow/>
            </m:dPr>
            <m:e>
              <m:r>
                <m:t>7</m:t>
              </m:r>
            </m:e>
          </m:d>
        </m:oMath>
      </m:oMathPara>
      <w:bookmarkEnd w:id="31"/>
    </w:p>
    <w:p>
      <w:pPr>
        <w:pStyle w:val="FirstParagraph"/>
      </w:pPr>
      <w:r>
        <w:t xml:space="preserve">Notice that we assume the constant to be zero, given the zero mean assumption.</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in this model can be estimated using an iterative demeaning, as long as the sample used is the same one as in the original model (</w:t>
      </w:r>
      <w:hyperlink w:anchor="eq-mcre-1">
        <w:r>
          <w:rPr>
            <w:rStyle w:val="Hyperlink"/>
          </w:rPr>
          <w:t xml:space="preserve">Equation 4</w:t>
        </w:r>
      </w:hyperlink>
      <w:r>
        <w:t xml:space="preserve">). In addition, one should only concentrate on variables that show variation in both dimensions. Once these are estimated, the final model can be estimated using</w:t>
      </w:r>
      <w:r>
        <w:t xml:space="preserve"> </w:t>
      </w:r>
      <w:hyperlink w:anchor="eq-mcre-final">
        <w:r>
          <w:rPr>
            <w:rStyle w:val="Hyperlink"/>
          </w:rPr>
          <w:t xml:space="preserve">Equation 6</w:t>
        </w:r>
      </w:hyperlink>
      <w:r>
        <w:t xml:space="preserve">.</w:t>
      </w:r>
    </w:p>
    <w:p>
      <w:pPr>
        <w:pStyle w:val="BodyText"/>
      </w:pPr>
      <w:r>
        <w:t xml:space="preserve">Extending this analogy to three or more dimensions is straightforward. One simply requires to:</w:t>
      </w:r>
    </w:p>
    <w:p>
      <w:pPr>
        <w:pStyle w:val="Compact"/>
        <w:numPr>
          <w:ilvl w:val="0"/>
          <w:numId w:val="1001"/>
        </w:numPr>
      </w:pPr>
      <w:r>
        <w:t xml:space="preserve">Define the sample that is common to all dimensions.</w:t>
      </w:r>
    </w:p>
    <w:p>
      <w:pPr>
        <w:pStyle w:val="Compact"/>
        <w:numPr>
          <w:ilvl w:val="0"/>
          <w:numId w:val="1001"/>
        </w:numPr>
      </w:pPr>
      <w:r>
        <w:t xml:space="preserve">Estimate the group pseudo-averages for each dimension, and for all variables that show variation in all dimensions.</w:t>
      </w:r>
    </w:p>
    <w:p>
      <w:pPr>
        <w:pStyle w:val="Compact"/>
        <w:numPr>
          <w:ilvl w:val="0"/>
          <w:numId w:val="1001"/>
        </w:numPr>
      </w:pPr>
      <w:r>
        <w:t xml:space="preserve">Include the new variables in the main model, and estimate that model using OLS.</w:t>
      </w:r>
    </w:p>
    <w:bookmarkEnd w:id="32"/>
    <w:bookmarkStart w:id="34" w:name="nonlinear-models-and-cre"/>
    <w:p>
      <w:pPr>
        <w:pStyle w:val="Heading2"/>
      </w:pPr>
      <w:r>
        <w:t xml:space="preserve">Nonlinear Models and CRE</w:t>
      </w:r>
    </w:p>
    <w:p>
      <w:pPr>
        <w:pStyle w:val="FirstParagraph"/>
      </w:pPr>
      <w:r>
        <w:t xml:space="preserve">While the CRE approach has some advantages over FE and RE in linear models, including the option for a robust test to choose between RE and FE models, unless one is interested in the effects of time-invariant variables, the incentives to use CRE over FE are minimal in the framework of linear models. However, as discussed in</w:t>
      </w:r>
      <w:r>
        <w:t xml:space="preserve"> </w:t>
      </w:r>
      <w:r>
        <w:t xml:space="preserve">@wooldridge2019</w:t>
      </w:r>
      <w:r>
        <w:t xml:space="preserve"> </w:t>
      </w:r>
      <w:r>
        <w:t xml:space="preserve">and</w:t>
      </w:r>
      <w:r>
        <w:t xml:space="preserve"> </w:t>
      </w:r>
      <w:r>
        <w:t xml:space="preserve">@wooldridge2023</w:t>
      </w:r>
      <w:r>
        <w:t xml:space="preserve">, CRE can be particularly important to provide an alternative to fixed effect estimation in non-linear models, where the simple inclusion of dummies is not possible due to the incidental parameter problem, and a fixed effect estimator is not available. In fact,</w:t>
      </w:r>
      <w:r>
        <w:t xml:space="preserve"> </w:t>
      </w:r>
      <w:r>
        <w:t xml:space="preserve">@wooldridge2010econometric</w:t>
      </w:r>
      <w:r>
        <w:t xml:space="preserve"> </w:t>
      </w:r>
      <w:r>
        <w:t xml:space="preserve">shows that the CRE approach applies to commonly used models, such as probit, tobit, and count models, among others.</w:t>
      </w:r>
    </w:p>
    <w:p>
      <w:pPr>
        <w:pStyle w:val="BodyText"/>
      </w:pPr>
      <w:r>
        <w:t xml:space="preserve">Consider a data generating process for a non-linear model, where the latent linear index is given by:</w:t>
      </w:r>
    </w:p>
    <w:p>
      <w:pPr>
        <w:pStyle w:val="BodyText"/>
      </w:pPr>
      <w:bookmarkStart w:id="33" w:name="eq-nl-1"/>
      <w:r>
        <w:t xml:space="preserve">$$y^*_{i,t} = \beta_0 + x_{i,t}\beta_x + z_{i}\beta_z + \alpha_i \\
 \qquad(8)$$</w:t>
      </w:r>
      <w:bookmarkEnd w:id="33"/>
    </w:p>
    <w:p>
      <w:pPr>
        <w:pStyle w:val="FirstParagraph"/>
      </w:pPr>
      <w:r>
        <w:t xml:space="preserve">In this case,</w:t>
      </w:r>
      <w:r>
        <w:t xml:space="preserve"> </w:t>
      </w:r>
      <m:oMath>
        <m:sSup>
          <m:e>
            <m:r>
              <m:t>y</m:t>
            </m:r>
          </m:e>
          <m:sup>
            <m:r>
              <m:rPr>
                <m:sty m:val="p"/>
              </m:rPr>
              <m:t>*</m:t>
            </m:r>
          </m:sup>
        </m:sSup>
      </m:oMath>
      <w:r>
        <w:t xml:space="preserve"> </w:t>
      </w:r>
      <w:r>
        <w:t xml:space="preserve">is the expected latent variable that depends on time varying and time invariant variables, as well as an individual-specific effect. The observed variable</w:t>
      </w:r>
      <w:r>
        <w:t xml:space="preserve"> </w:t>
      </w:r>
      <m:oMath>
        <m:sSub>
          <m:e>
            <m:r>
              <m:t>y</m:t>
            </m:r>
          </m:e>
          <m:sub>
            <m:r>
              <m:t>i</m:t>
            </m:r>
            <m:r>
              <m:rPr>
                <m:sty m:val="p"/>
              </m:rPr>
              <m:t>,</m:t>
            </m:r>
            <m:r>
              <m:t>t</m:t>
            </m:r>
          </m:sub>
        </m:sSub>
      </m:oMath>
      <w:r>
        <w:t xml:space="preserve"> </w:t>
      </w:r>
      <w:r>
        <w:t xml:space="preserve">can then be generated as a random draw from a distribution that depends on</w:t>
      </w:r>
      <w:r>
        <w:t xml:space="preserve"> </w:t>
      </w:r>
      <m:oMath>
        <m:sSubSup>
          <m:e>
            <m:r>
              <m:t>y</m:t>
            </m:r>
          </m:e>
          <m:sub>
            <m:r>
              <m:t>i</m:t>
            </m:r>
            <m:r>
              <m:rPr>
                <m:sty m:val="p"/>
              </m:rPr>
              <m:t>,</m:t>
            </m:r>
            <m:r>
              <m:t>t</m:t>
            </m:r>
          </m:sub>
          <m:sup>
            <m:r>
              <m:rPr>
                <m:sty m:val="p"/>
              </m:rPr>
              <m:t>*</m:t>
            </m:r>
          </m:sup>
        </m:sSubSup>
      </m:oMath>
      <w:r>
        <w:t xml:space="preserve">. For example: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rPr>
                    <m:nor/>
                    <m:sty m:val="p"/>
                  </m:rPr>
                  <m:t>probit: </m:t>
                </m:r>
              </m:e>
              <m:e/>
              <m:e>
                <m:sSub>
                  <m:e>
                    <m:r>
                      <m:t>y</m:t>
                    </m:r>
                  </m:e>
                  <m:sub>
                    <m:r>
                      <m:t>i</m:t>
                    </m:r>
                    <m:r>
                      <m:rPr>
                        <m:sty m:val="p"/>
                      </m:rPr>
                      <m:t>,</m:t>
                    </m:r>
                    <m:r>
                      <m:t>t</m:t>
                    </m:r>
                  </m:sub>
                </m:sSub>
              </m:e>
              <m:e>
                <m:r>
                  <m:rPr>
                    <m:sty m:val="p"/>
                  </m:rPr>
                  <m:t>=</m:t>
                </m:r>
                <m:r>
                  <m:t>1</m:t>
                </m:r>
                <m:r>
                  <m:rPr>
                    <m:sty m:val="p"/>
                  </m:rPr>
                  <m:t>{</m:t>
                </m:r>
                <m:sSubSup>
                  <m:e>
                    <m:r>
                      <m:t>y</m:t>
                    </m:r>
                  </m:e>
                  <m:sub>
                    <m:r>
                      <m:t>i</m:t>
                    </m:r>
                    <m:r>
                      <m:rPr>
                        <m:sty m:val="p"/>
                      </m:rPr>
                      <m:t>,</m:t>
                    </m:r>
                    <m:r>
                      <m:t>t</m:t>
                    </m:r>
                  </m:sub>
                  <m:sup>
                    <m:r>
                      <m:rPr>
                        <m:sty m:val="p"/>
                      </m:rPr>
                      <m:t>*</m:t>
                    </m:r>
                  </m:sup>
                </m:sSubSup>
                <m:r>
                  <m:rPr>
                    <m:sty m:val="p"/>
                  </m:rPr>
                  <m:t>+</m:t>
                </m:r>
                <m:sSub>
                  <m:e>
                    <m:r>
                      <m:t>u</m:t>
                    </m:r>
                  </m:e>
                  <m:sub>
                    <m:r>
                      <m:t>i</m:t>
                    </m:r>
                    <m:r>
                      <m:rPr>
                        <m:sty m:val="p"/>
                      </m:rPr>
                      <m:t>,</m:t>
                    </m:r>
                    <m:r>
                      <m:t>t</m:t>
                    </m:r>
                  </m:sub>
                </m:sSub>
                <m:r>
                  <m:rPr>
                    <m:sty m:val="p"/>
                  </m:rPr>
                  <m:t>&gt;</m:t>
                </m:r>
                <m:r>
                  <m:t>0</m:t>
                </m:r>
                <m:r>
                  <m:rPr>
                    <m:sty m:val="p"/>
                  </m:rPr>
                  <m:t>}</m:t>
                </m:r>
                <m:r>
                  <m:rPr>
                    <m:nor/>
                    <m:sty m:val="p"/>
                  </m:rPr>
                  <m:t> with </m:t>
                </m:r>
                <m:sSub>
                  <m:e>
                    <m:r>
                      <m:t>u</m:t>
                    </m:r>
                  </m:e>
                  <m:sub>
                    <m:r>
                      <m:t>i</m:t>
                    </m:r>
                    <m:r>
                      <m:rPr>
                        <m:sty m:val="p"/>
                      </m:rPr>
                      <m:t>,</m:t>
                    </m:r>
                    <m:r>
                      <m:t>t</m:t>
                    </m:r>
                  </m:sub>
                </m:sSub>
                <m:r>
                  <m:rPr>
                    <m:sty m:val="p"/>
                  </m:rPr>
                  <m:t>∼</m:t>
                </m:r>
                <m:r>
                  <m:t>N</m:t>
                </m:r>
                <m:d>
                  <m:dPr>
                    <m:begChr m:val="("/>
                    <m:endChr m:val=")"/>
                    <m:sepChr m:val=""/>
                    <m:grow/>
                  </m:dPr>
                  <m:e>
                    <m:r>
                      <m:t>0</m:t>
                    </m:r>
                    <m:r>
                      <m:rPr>
                        <m:sty m:val="p"/>
                      </m:rPr>
                      <m:t>,</m:t>
                    </m:r>
                    <m:r>
                      <m:t>1</m:t>
                    </m:r>
                  </m:e>
                </m:d>
              </m:e>
            </m:mr>
            <m:mr>
              <m:e>
                <m:r>
                  <m:rPr>
                    <m:nor/>
                    <m:sty m:val="p"/>
                  </m:rPr>
                  <m:t>poisson: </m:t>
                </m:r>
              </m:e>
              <m:e/>
              <m:e>
                <m:sSub>
                  <m:e>
                    <m:r>
                      <m:t>y</m:t>
                    </m:r>
                  </m:e>
                  <m:sub>
                    <m:r>
                      <m:t>i</m:t>
                    </m:r>
                    <m:r>
                      <m:rPr>
                        <m:sty m:val="p"/>
                      </m:rPr>
                      <m:t>,</m:t>
                    </m:r>
                    <m:r>
                      <m:t>t</m:t>
                    </m:r>
                  </m:sub>
                </m:sSub>
              </m:e>
              <m:e>
                <m:r>
                  <m:rPr>
                    <m:sty m:val="p"/>
                  </m:rPr>
                  <m:t>∼</m:t>
                </m:r>
                <m:r>
                  <m:t>p</m:t>
                </m:r>
                <m:r>
                  <m:t>o</m:t>
                </m:r>
                <m:r>
                  <m:t>i</m:t>
                </m:r>
                <m:r>
                  <m:t>s</m:t>
                </m:r>
                <m:r>
                  <m:t>s</m:t>
                </m:r>
                <m:r>
                  <m:t>o</m:t>
                </m:r>
                <m:r>
                  <m:t>n</m:t>
                </m:r>
                <m:d>
                  <m:dPr>
                    <m:begChr m:val="("/>
                    <m:endChr m:val=")"/>
                    <m:sepChr m:val=""/>
                    <m:grow/>
                  </m:dPr>
                  <m:e>
                    <m:r>
                      <m:t>e</m:t>
                    </m:r>
                    <m:r>
                      <m:t>x</m:t>
                    </m:r>
                    <m:r>
                      <m:t>p</m:t>
                    </m:r>
                    <m:d>
                      <m:dPr>
                        <m:begChr m:val="("/>
                        <m:endChr m:val=")"/>
                        <m:sepChr m:val=""/>
                        <m:grow/>
                      </m:dPr>
                      <m:e>
                        <m:sSubSup>
                          <m:e>
                            <m:r>
                              <m:t>y</m:t>
                            </m:r>
                          </m:e>
                          <m:sub>
                            <m:r>
                              <m:t>i</m:t>
                            </m:r>
                            <m:r>
                              <m:rPr>
                                <m:sty m:val="p"/>
                              </m:rPr>
                              <m:t>,</m:t>
                            </m:r>
                            <m:r>
                              <m:t>t</m:t>
                            </m:r>
                          </m:sub>
                          <m:sup>
                            <m:r>
                              <m:rPr>
                                <m:sty m:val="p"/>
                              </m:rPr>
                              <m:t>*</m:t>
                            </m:r>
                          </m:sup>
                        </m:sSubSup>
                      </m:e>
                    </m:d>
                  </m:e>
                </m:d>
              </m:e>
            </m:mr>
            <m:mr>
              <m:e>
                <m:r>
                  <m:rPr>
                    <m:nor/>
                    <m:sty m:val="p"/>
                  </m:rPr>
                  <m:t>tobit: </m:t>
                </m:r>
              </m:e>
              <m:e/>
              <m:e>
                <m:sSub>
                  <m:e>
                    <m:r>
                      <m:t>y</m:t>
                    </m:r>
                  </m:e>
                  <m:sub>
                    <m:r>
                      <m:t>i</m:t>
                    </m:r>
                    <m:r>
                      <m:rPr>
                        <m:sty m:val="p"/>
                      </m:rPr>
                      <m:t>,</m:t>
                    </m:r>
                    <m:r>
                      <m:t>t</m:t>
                    </m:r>
                  </m:sub>
                </m:sSub>
              </m:e>
              <m:e>
                <m:r>
                  <m:rPr>
                    <m:sty m:val="p"/>
                  </m:rPr>
                  <m:t>=</m:t>
                </m:r>
                <m:r>
                  <m:t>m</m:t>
                </m:r>
                <m:r>
                  <m:t>a</m:t>
                </m:r>
                <m:r>
                  <m:t>x</m:t>
                </m:r>
                <m:d>
                  <m:dPr>
                    <m:begChr m:val="("/>
                    <m:endChr m:val=")"/>
                    <m:sepChr m:val=""/>
                    <m:grow/>
                  </m:dPr>
                  <m:e>
                    <m:r>
                      <m:t>0</m:t>
                    </m:r>
                    <m:r>
                      <m:rPr>
                        <m:sty m:val="p"/>
                      </m:rPr>
                      <m:t>,</m:t>
                    </m:r>
                    <m:sSubSup>
                      <m:e>
                        <m:r>
                          <m:t>y</m:t>
                        </m:r>
                      </m:e>
                      <m:sub>
                        <m:r>
                          <m:t>i</m:t>
                        </m:r>
                        <m:r>
                          <m:rPr>
                            <m:sty m:val="p"/>
                          </m:rPr>
                          <m:t>,</m:t>
                        </m:r>
                        <m:r>
                          <m:t>t</m:t>
                        </m:r>
                      </m:sub>
                      <m:sup>
                        <m:r>
                          <m:rPr>
                            <m:sty m:val="p"/>
                          </m:rPr>
                          <m:t>*</m:t>
                        </m:r>
                      </m:sup>
                    </m:sSubSup>
                    <m:r>
                      <m:rPr>
                        <m:sty m:val="p"/>
                      </m:rPr>
                      <m:t>+</m:t>
                    </m:r>
                    <m:sSub>
                      <m:e>
                        <m:r>
                          <m:t>u</m:t>
                        </m:r>
                      </m:e>
                      <m:sub>
                        <m:r>
                          <m:t>i</m:t>
                        </m:r>
                        <m:r>
                          <m:rPr>
                            <m:sty m:val="p"/>
                          </m:rPr>
                          <m:t>,</m:t>
                        </m:r>
                        <m:r>
                          <m:t>t</m:t>
                        </m:r>
                      </m:sub>
                    </m:sSub>
                  </m:e>
                </m:d>
                <m:r>
                  <m:rPr>
                    <m:nor/>
                    <m:sty m:val="p"/>
                  </m:rPr>
                  <m:t> with </m:t>
                </m:r>
                <m:sSub>
                  <m:e>
                    <m:r>
                      <m:t>u</m:t>
                    </m:r>
                  </m:e>
                  <m:sub>
                    <m:r>
                      <m:t>i</m:t>
                    </m:r>
                    <m:r>
                      <m:rPr>
                        <m:sty m:val="p"/>
                      </m:rPr>
                      <m:t>,</m:t>
                    </m:r>
                    <m:r>
                      <m:t>t</m:t>
                    </m:r>
                  </m:sub>
                </m:sSub>
                <m:r>
                  <m:rPr>
                    <m:sty m:val="p"/>
                  </m:rPr>
                  <m:t>∼</m:t>
                </m:r>
                <m:r>
                  <m:t>N</m:t>
                </m:r>
                <m:d>
                  <m:dPr>
                    <m:begChr m:val="("/>
                    <m:endChr m:val=")"/>
                    <m:sepChr m:val=""/>
                    <m:grow/>
                  </m:dPr>
                  <m:e>
                    <m:r>
                      <m:t>0</m:t>
                    </m:r>
                    <m:r>
                      <m:rPr>
                        <m:sty m:val="p"/>
                      </m:rPr>
                      <m:t>,</m:t>
                    </m:r>
                    <m:r>
                      <m:t>σ</m:t>
                    </m:r>
                  </m:e>
                </m:d>
              </m:e>
            </m:mr>
            <m:mr>
              <m:e>
                <m:r>
                  <m:t>e</m:t>
                </m:r>
                <m:r>
                  <m:t>t</m:t>
                </m:r>
                <m:r>
                  <m:t>c</m:t>
                </m:r>
              </m:e>
            </m:mr>
          </m:m>
        </m:oMath>
      </m:oMathPara>
    </w:p>
    <w:p>
      <w:pPr>
        <w:pStyle w:val="FirstParagraph"/>
      </w:pPr>
      <w:r>
        <w:t xml:space="preserve">In all these cases, there is an explicit individual fixed component</w:t>
      </w:r>
      <w:r>
        <w:t xml:space="preserve"> </w:t>
      </w:r>
      <m:oMath>
        <m:sSub>
          <m:e>
            <m:r>
              <m:t>α</m:t>
            </m:r>
          </m:e>
          <m:sub>
            <m:r>
              <m:t>i</m:t>
            </m:r>
          </m:sub>
        </m:sSub>
      </m:oMath>
      <w:r>
        <w:t xml:space="preserve">, which may cause a bias on estimated coefficients if not accounted for. Furthermore, while estimating models with explicit fixed effects is possible for some models, like the poisson or logit, explicit fixed effects estimators are not available for probit or tobit models, among others, and simply including dummies for individual fixed effects does not yield consistent estimates due to the incidental parameter problem.</w:t>
      </w:r>
    </w:p>
    <w:p>
      <w:pPr>
        <w:pStyle w:val="BodyText"/>
      </w:pPr>
      <w:r>
        <w:t xml:space="preserve">@wooldridge2019</w:t>
      </w:r>
      <w:r>
        <w:t xml:space="preserve"> </w:t>
      </w:r>
      <w:r>
        <w:t xml:space="preserve">and</w:t>
      </w:r>
      <w:r>
        <w:t xml:space="preserve"> </w:t>
      </w:r>
      <w:r>
        <w:t xml:space="preserve">@wooldridge2010econometric</w:t>
      </w:r>
      <w:r>
        <w:t xml:space="preserve"> </w:t>
      </w:r>
      <w:r>
        <w:t xml:space="preserve">show that the CRE approach can be used to estimate these models consistently, by following the same logic as in the linear case. That is, estimate the group specific means for the time-varying variables and include them in the model specification, before the estimation of the non-linear model. The linear model could be directly estimated using pooled cross-section, and clustering standard errors at the panel level. In fact, this approach has been used in</w:t>
      </w:r>
      <w:r>
        <w:t xml:space="preserve"> </w:t>
      </w:r>
      <w:r>
        <w:t xml:space="preserve">@wooldridge2023</w:t>
      </w:r>
      <w:r>
        <w:t xml:space="preserve"> </w:t>
      </w:r>
      <w:r>
        <w:t xml:space="preserve">to estimate treatment effects of staggered adoption of treatments in non-linear models, albeit concentrating on a single dimension (panel).</w:t>
      </w:r>
    </w:p>
    <w:p>
      <w:pPr>
        <w:pStyle w:val="BodyText"/>
      </w:pPr>
      <w:r>
        <w:t xml:space="preserve">In this framework,</w:t>
      </w:r>
      <w:r>
        <w:t xml:space="preserve"> </w:t>
      </w:r>
      <w:r>
        <w:rPr>
          <w:rStyle w:val="VerbatimChar"/>
        </w:rPr>
        <w:t xml:space="preserve">cre</w:t>
      </w:r>
      <w:r>
        <w:t xml:space="preserve"> </w:t>
      </w:r>
      <w:r>
        <w:t xml:space="preserve">has the additional advantage over other methods. Because one has explicit access to all the variables in the model, including the constructed variables, the estimation of partial effects can be done directly using available post-estimation commands such as</w:t>
      </w:r>
      <w:r>
        <w:t xml:space="preserve"> </w:t>
      </w:r>
      <w:r>
        <w:rPr>
          <w:rStyle w:val="VerbatimChar"/>
        </w:rPr>
        <w:t xml:space="preserve">margins</w:t>
      </w:r>
      <w:r>
        <w:t xml:space="preserve">. There are no other changes in the estimation process, and the strategy is easily extended to multiple fixed effects, as discussed in the previous section. Furthermore, as discussed in</w:t>
      </w:r>
      <w:r>
        <w:t xml:space="preserve"> </w:t>
      </w:r>
      <w:r>
        <w:t xml:space="preserve">@wooldridge2019</w:t>
      </w:r>
      <w:r>
        <w:t xml:space="preserve">, one can consider even more flexible specifications by allowing for interactions between the group-specific means and other variables in the model, including time dummy variables.</w:t>
      </w:r>
    </w:p>
    <w:bookmarkEnd w:id="34"/>
    <w:bookmarkEnd w:id="35"/>
    <w:bookmarkStart w:id="36" w:name="sec-3"/>
    <w:p>
      <w:pPr>
        <w:pStyle w:val="Heading1"/>
      </w:pPr>
      <w:r>
        <w:rPr>
          <w:rStyle w:val="VerbatimChar"/>
        </w:rPr>
        <w:t xml:space="preserve">cre</w:t>
      </w:r>
      <w:r>
        <w:t xml:space="preserve"> </w:t>
      </w:r>
      <w:r>
        <w:t xml:space="preserve">Command: Implementation in Stata</w:t>
      </w:r>
    </w:p>
    <w:p>
      <w:pPr>
        <w:pStyle w:val="FirstParagraph"/>
      </w:pPr>
      <w:r>
        <w:t xml:space="preserve">The</w:t>
      </w:r>
      <w:r>
        <w:t xml:space="preserve"> </w:t>
      </w:r>
      <w:r>
        <w:rPr>
          <w:rStyle w:val="VerbatimChar"/>
        </w:rPr>
        <w:t xml:space="preserve">cre</w:t>
      </w:r>
      <w:r>
        <w:t xml:space="preserve"> </w:t>
      </w:r>
      <w:r>
        <w:t xml:space="preserve">command is a prefix command that estimates the CRE model for most linear and non-linear models in Stata. The syntax of the command is as follows:</w:t>
      </w:r>
    </w:p>
    <w:p>
      <w:pPr>
        <w:pStyle w:val="BodyText"/>
      </w:pPr>
      <w:r>
        <w:rPr>
          <w:rStyle w:val="VerbatimChar"/>
        </w:rPr>
        <w:t xml:space="preserve">cre, abs(varlist) [options]: [estimation command] [variables] [if in] [weights], [options]</w:t>
      </w:r>
    </w:p>
    <w:p>
      <w:pPr>
        <w:pStyle w:val="BodyText"/>
      </w:pPr>
      <w:r>
        <w:t xml:space="preserve">Where</w:t>
      </w:r>
      <w:r>
        <w:t xml:space="preserve"> </w:t>
      </w:r>
      <w:r>
        <w:rPr>
          <w:rStyle w:val="VerbatimChar"/>
        </w:rPr>
        <w:t xml:space="preserve">estimation command</w:t>
      </w:r>
      <w:r>
        <w:t xml:space="preserve"> </w:t>
      </w:r>
      <w:r>
        <w:t xml:space="preserve">is the command that will be used to estimate the model. In this case, the</w:t>
      </w:r>
      <w:r>
        <w:t xml:space="preserve"> </w:t>
      </w:r>
      <w:r>
        <w:rPr>
          <w:rStyle w:val="VerbatimChar"/>
        </w:rPr>
        <w:t xml:space="preserve">cre</w:t>
      </w:r>
      <w:r>
        <w:t xml:space="preserve"> </w:t>
      </w:r>
      <w:r>
        <w:t xml:space="preserve">command will identify all the dependent variables in the model, along with other sample restrictions, and calculate conditional group means based on the groups defined by the</w:t>
      </w:r>
      <w:r>
        <w:t xml:space="preserve"> </w:t>
      </w:r>
      <w:r>
        <w:rPr>
          <w:rStyle w:val="VerbatimChar"/>
        </w:rPr>
        <w:t xml:space="preserve">abs(varlist)</w:t>
      </w:r>
      <w:r>
        <w:t xml:space="preserve">. The group means are then added to the model before estimation. The</w:t>
      </w:r>
      <w:r>
        <w:t xml:space="preserve"> </w:t>
      </w:r>
      <w:r>
        <w:rPr>
          <w:rStyle w:val="VerbatimChar"/>
        </w:rPr>
        <w:t xml:space="preserve">cre</w:t>
      </w:r>
      <w:r>
        <w:t xml:space="preserve"> </w:t>
      </w:r>
      <w:r>
        <w:t xml:space="preserve">command supports both balanced and unbalanced panels, as well as multiple fixed effects relying on</w:t>
      </w:r>
      <w:r>
        <w:t xml:space="preserve"> </w:t>
      </w:r>
      <w:r>
        <w:rPr>
          <w:rStyle w:val="VerbatimChar"/>
        </w:rPr>
        <w:t xml:space="preserve">reghdfe</w:t>
      </w:r>
      <w:r>
        <w:t xml:space="preserve"> </w:t>
      </w:r>
      <w:r>
        <w:t xml:space="preserve">for the estimation of the pseudo conditional means.</w:t>
      </w:r>
    </w:p>
    <w:p>
      <w:pPr>
        <w:pStyle w:val="BodyText"/>
      </w:pPr>
      <w:r>
        <w:t xml:space="preserve">A detailed list of other options include:</w:t>
      </w:r>
    </w:p>
    <w:p>
      <w:pPr>
        <w:pStyle w:val="Compact"/>
        <w:numPr>
          <w:ilvl w:val="0"/>
          <w:numId w:val="1002"/>
        </w:numPr>
      </w:pPr>
      <w:r>
        <w:rPr>
          <w:rStyle w:val="VerbatimChar"/>
        </w:rPr>
        <w:t xml:space="preserve">abs(varlist)</w:t>
      </w:r>
      <w:r>
        <w:t xml:space="preserve">: a list of variables that define the groups for which the conditional means will be calculated. This can be a single variable or a combination of variables.</w:t>
      </w:r>
    </w:p>
    <w:p>
      <w:pPr>
        <w:pStyle w:val="Compact"/>
        <w:numPr>
          <w:ilvl w:val="0"/>
          <w:numId w:val="1002"/>
        </w:numPr>
      </w:pPr>
      <w:r>
        <w:rPr>
          <w:rStyle w:val="VerbatimChar"/>
        </w:rPr>
        <w:t xml:space="preserve">drop</w:t>
      </w:r>
      <w:r>
        <w:t xml:space="preserve">: if specified, the command will drop the group means variables from the dataset after estimation.</w:t>
      </w:r>
    </w:p>
    <w:p>
      <w:pPr>
        <w:pStyle w:val="Compact"/>
        <w:numPr>
          <w:ilvl w:val="0"/>
          <w:numId w:val="1002"/>
        </w:numPr>
      </w:pPr>
      <w:r>
        <w:rPr>
          <w:rStyle w:val="VerbatimChar"/>
        </w:rPr>
        <w:t xml:space="preserve">dropsingletons</w:t>
      </w:r>
      <w:r>
        <w:t xml:space="preserve">: if specified, the command will drop observations that have a single observation in any given group. Note that</w:t>
      </w:r>
      <w:r>
        <w:t xml:space="preserve"> </w:t>
      </w:r>
      <w:r>
        <w:rPr>
          <w:rStyle w:val="VerbatimChar"/>
        </w:rPr>
        <w:t xml:space="preserve">reghdfe</w:t>
      </w:r>
      <w:r>
        <w:t xml:space="preserve"> </w:t>
      </w:r>
      <w:r>
        <w:t xml:space="preserve">default is to drop these observations, rather than keep them as in this case.</w:t>
      </w:r>
    </w:p>
    <w:p>
      <w:pPr>
        <w:pStyle w:val="Compact"/>
        <w:numPr>
          <w:ilvl w:val="0"/>
          <w:numId w:val="1002"/>
        </w:numPr>
      </w:pPr>
      <w:r>
        <w:rPr>
          <w:rStyle w:val="VerbatimChar"/>
        </w:rPr>
        <w:t xml:space="preserve">prefix</w:t>
      </w:r>
      <w:r>
        <w:t xml:space="preserve">: provides a prefix to be used to name the group means variables. The default uses</w:t>
      </w:r>
      <w:r>
        <w:t xml:space="preserve"> </w:t>
      </w:r>
      <w:r>
        <w:t xml:space="preserve">“</w:t>
      </w:r>
      <w:r>
        <w:rPr>
          <w:rStyle w:val="VerbatimChar"/>
        </w:rPr>
        <w:t xml:space="preserve">m</w:t>
      </w:r>
      <w:r>
        <w:t xml:space="preserve">”</w:t>
      </w:r>
      <w:r>
        <w:t xml:space="preserve"> </w:t>
      </w:r>
      <w:r>
        <w:t xml:space="preserve">as a prefix. For every variable that has variation across all groups defined in</w:t>
      </w:r>
      <w:r>
        <w:t xml:space="preserve"> </w:t>
      </w:r>
      <w:r>
        <w:rPr>
          <w:rStyle w:val="VerbatimChar"/>
        </w:rPr>
        <w:t xml:space="preserve">abs(varlist)</w:t>
      </w:r>
      <w:r>
        <w:t xml:space="preserve">, the command will create a new variable with the prefix followed by the variable name.</w:t>
      </w:r>
      <w:r>
        <w:t xml:space="preserve"> </w:t>
      </w:r>
      <w:r>
        <w:rPr>
          <w:rStyle w:val="VerbatimChar"/>
        </w:rPr>
        <w:t xml:space="preserve">m1_x</w:t>
      </w:r>
      <w:r>
        <w:t xml:space="preserve">,</w:t>
      </w:r>
      <w:r>
        <w:t xml:space="preserve"> </w:t>
      </w:r>
      <w:r>
        <w:rPr>
          <w:rStyle w:val="VerbatimChar"/>
        </w:rPr>
        <w:t xml:space="preserve">m2_x</w:t>
      </w:r>
      <w:r>
        <w:t xml:space="preserve">, etc, corresponding to the group means for variable</w:t>
      </w:r>
      <w:r>
        <w:t xml:space="preserve"> </w:t>
      </w:r>
      <w:r>
        <w:rPr>
          <w:rStyle w:val="VerbatimChar"/>
        </w:rPr>
        <w:t xml:space="preserve">x</w:t>
      </w:r>
      <w:r>
        <w:t xml:space="preserve"> </w:t>
      </w:r>
      <w:r>
        <w:t xml:space="preserve">for the first, second, etc group defined in</w:t>
      </w:r>
      <w:r>
        <w:t xml:space="preserve"> </w:t>
      </w:r>
      <w:r>
        <w:rPr>
          <w:rStyle w:val="VerbatimChar"/>
        </w:rPr>
        <w:t xml:space="preserve">abs(varlist)</w:t>
      </w:r>
      <w:r>
        <w:t xml:space="preserve">. Note that when trying to estimate means for interaction terms, the command will attempt to name the new variable using Stata guidelines for variable names. If the variable name is too long, the command will create a generic name</w:t>
      </w:r>
      <w:r>
        <w:t xml:space="preserve"> </w:t>
      </w:r>
      <w:r>
        <w:rPr>
          <w:rStyle w:val="VerbatimChar"/>
        </w:rPr>
        <w:t xml:space="preserve">_v#</w:t>
      </w:r>
      <w:r>
        <w:t xml:space="preserve">.</w:t>
      </w:r>
    </w:p>
    <w:p>
      <w:pPr>
        <w:pStyle w:val="Compact"/>
        <w:numPr>
          <w:ilvl w:val="0"/>
          <w:numId w:val="1002"/>
        </w:numPr>
      </w:pPr>
      <w:r>
        <w:rPr>
          <w:rStyle w:val="VerbatimChar"/>
        </w:rPr>
        <w:t xml:space="preserve">hdfe(options)</w:t>
      </w:r>
      <w:r>
        <w:t xml:space="preserve">: options to be passed to</w:t>
      </w:r>
      <w:r>
        <w:t xml:space="preserve"> </w:t>
      </w:r>
      <w:r>
        <w:rPr>
          <w:rStyle w:val="VerbatimChar"/>
        </w:rPr>
        <w:t xml:space="preserve">reghdfe</w:t>
      </w:r>
      <w:r>
        <w:t xml:space="preserve"> </w:t>
      </w:r>
      <w:r>
        <w:t xml:space="preserve">command. This can be used to make better use of alternative speed-up options in</w:t>
      </w:r>
      <w:r>
        <w:t xml:space="preserve"> </w:t>
      </w:r>
      <w:r>
        <w:rPr>
          <w:rStyle w:val="VerbatimChar"/>
        </w:rPr>
        <w:t xml:space="preserve">reghdfe</w:t>
      </w:r>
      <w:r>
        <w:t xml:space="preserve">.</w:t>
      </w:r>
    </w:p>
    <w:p>
      <w:pPr>
        <w:pStyle w:val="FirstParagraph"/>
      </w:pPr>
      <w:r>
        <w:t xml:space="preserve">In addition to the standard information left by the estimation command, the</w:t>
      </w:r>
      <w:r>
        <w:t xml:space="preserve"> </w:t>
      </w:r>
      <w:r>
        <w:rPr>
          <w:rStyle w:val="VerbatimChar"/>
        </w:rPr>
        <w:t xml:space="preserve">cre</w:t>
      </w:r>
      <w:r>
        <w:t xml:space="preserve"> </w:t>
      </w:r>
      <w:r>
        <w:t xml:space="preserve">will add the list of group mean variables created for the estimation in</w:t>
      </w:r>
      <w:r>
        <w:t xml:space="preserve"> </w:t>
      </w:r>
      <w:r>
        <w:rPr>
          <w:rStyle w:val="VerbatimChar"/>
        </w:rPr>
        <w:t xml:space="preserve">e(m_list)</w:t>
      </w:r>
      <w:r>
        <w:t xml:space="preserve">.</w:t>
      </w:r>
    </w:p>
    <w:p>
      <w:pPr>
        <w:pStyle w:val="BodyText"/>
      </w:pPr>
      <w:r>
        <w:t xml:space="preserve">The command has been tested for most 1 and 2 word commands, and after</w:t>
      </w:r>
      <w:r>
        <w:t xml:space="preserve"> </w:t>
      </w:r>
      <w:r>
        <w:rPr>
          <w:rStyle w:val="VerbatimChar"/>
        </w:rPr>
        <w:t xml:space="preserve">ivreg</w:t>
      </w:r>
      <w:r>
        <w:t xml:space="preserve"> </w:t>
      </w:r>
      <w:r>
        <w:t xml:space="preserve">and</w:t>
      </w:r>
      <w:r>
        <w:t xml:space="preserve"> </w:t>
      </w:r>
      <w:r>
        <w:rPr>
          <w:rStyle w:val="VerbatimChar"/>
        </w:rPr>
        <w:t xml:space="preserve">ivregress</w:t>
      </w:r>
      <w:r>
        <w:t xml:space="preserve"> </w:t>
      </w:r>
      <w:r>
        <w:t xml:space="preserve">commands. However, for unsupported commands, an alternative approach would be to use</w:t>
      </w:r>
      <w:r>
        <w:t xml:space="preserve"> </w:t>
      </w:r>
      <w:r>
        <w:rPr>
          <w:rStyle w:val="VerbatimChar"/>
        </w:rPr>
        <w:t xml:space="preserve">cre</w:t>
      </w:r>
      <w:r>
        <w:t xml:space="preserve"> </w:t>
      </w:r>
      <w:r>
        <w:t xml:space="preserve">for a fully specified model, and then use the command of interest including the group means variables manually in the model.</w:t>
      </w:r>
    </w:p>
    <w:bookmarkEnd w:id="36"/>
    <w:bookmarkStart w:id="42" w:name="sec-4"/>
    <w:p>
      <w:pPr>
        <w:pStyle w:val="Heading1"/>
      </w:pPr>
      <w:r>
        <w:t xml:space="preserve">Monte Carlo Simulations</w:t>
      </w:r>
    </w:p>
    <w:p>
      <w:pPr>
        <w:pStyle w:val="FirstParagraph"/>
      </w:pPr>
      <w:r>
        <w:t xml:space="preserve">To assess the performance of the</w:t>
      </w:r>
      <w:r>
        <w:t xml:space="preserve"> </w:t>
      </w:r>
      <w:r>
        <w:rPr>
          <w:rStyle w:val="VerbatimChar"/>
        </w:rPr>
        <w:t xml:space="preserve">cre</w:t>
      </w:r>
      <w:r>
        <w:t xml:space="preserve"> </w:t>
      </w:r>
      <w:r>
        <w:t xml:space="preserve">command, we conducted a Monte Carlo simulation study. Instead of focusing on a model with a single fixed effect, we considered a case with two unobserved fixed effects, which allows for a structure of unbalanced panels. Without loss of generality, we also consider a model with 2 explanatory variables that are correlated with the unobserved fixed effects, but are otherwise exogenous. Finally, we consider that the expected latent variable is a linear function of the explanatory variables and fixed effects. The data generating process is as follows:</w:t>
      </w:r>
    </w:p>
    <w:p>
      <w:pPr>
        <w:pStyle w:val="SourceCode"/>
      </w:pPr>
      <w:r>
        <w:rPr>
          <w:rStyle w:val="VerbatimChar"/>
        </w:rPr>
        <w:t xml:space="preserve">set obs 1000</w:t>
      </w:r>
      <w:r>
        <w:br/>
      </w:r>
      <w:r>
        <w:rPr>
          <w:rStyle w:val="VerbatimChar"/>
        </w:rPr>
        <w:t xml:space="preserve">// Generates indicators for the two fixed effects</w:t>
      </w:r>
      <w:r>
        <w:br/>
      </w:r>
      <w:r>
        <w:rPr>
          <w:rStyle w:val="VerbatimChar"/>
        </w:rPr>
        <w:t xml:space="preserve">gen id1 = runiformint(1,100)</w:t>
      </w:r>
      <w:r>
        <w:br/>
      </w:r>
      <w:r>
        <w:rPr>
          <w:rStyle w:val="VerbatimChar"/>
        </w:rPr>
        <w:t xml:space="preserve">gen id2 = runiformint(1,100)</w:t>
      </w:r>
      <w:r>
        <w:br/>
      </w:r>
      <w:r>
        <w:rPr>
          <w:rStyle w:val="VerbatimChar"/>
        </w:rPr>
        <w:t xml:space="preserve">// fixed effects are assumed follow a uniform distribution</w:t>
      </w:r>
      <w:r>
        <w:br/>
      </w:r>
      <w:r>
        <w:rPr>
          <w:rStyle w:val="VerbatimChar"/>
        </w:rPr>
        <w:t xml:space="preserve">gen c1 = runiform(-.5,.5)</w:t>
      </w:r>
      <w:r>
        <w:br/>
      </w:r>
      <w:r>
        <w:rPr>
          <w:rStyle w:val="VerbatimChar"/>
        </w:rPr>
        <w:t xml:space="preserve">gen c2 = runiform(-.5,.5)</w:t>
      </w:r>
      <w:r>
        <w:br/>
      </w:r>
      <w:r>
        <w:rPr>
          <w:rStyle w:val="VerbatimChar"/>
        </w:rPr>
        <w:t xml:space="preserve">bysort id1:replace c1 = c1[1]</w:t>
      </w:r>
      <w:r>
        <w:br/>
      </w:r>
      <w:r>
        <w:rPr>
          <w:rStyle w:val="VerbatimChar"/>
        </w:rPr>
        <w:t xml:space="preserve">bysort id2:replace c2 = c2[1] </w:t>
      </w:r>
      <w:r>
        <w:br/>
      </w:r>
      <w:r>
        <w:rPr>
          <w:rStyle w:val="VerbatimChar"/>
        </w:rPr>
        <w:t xml:space="preserve">// explanatory variables are correlated with the fixed effects, </w:t>
      </w:r>
      <w:r>
        <w:br/>
      </w:r>
      <w:r>
        <w:rPr>
          <w:rStyle w:val="VerbatimChar"/>
        </w:rPr>
        <w:t xml:space="preserve">// thus correlated with each other</w:t>
      </w:r>
      <w:r>
        <w:br/>
      </w:r>
      <w:r>
        <w:rPr>
          <w:rStyle w:val="VerbatimChar"/>
        </w:rPr>
        <w:t xml:space="preserve">gen x1 = runiform(-1,1)+invnormal(c1+.5)+invnormal(c2+.5)</w:t>
      </w:r>
      <w:r>
        <w:br/>
      </w:r>
      <w:r>
        <w:rPr>
          <w:rStyle w:val="VerbatimChar"/>
        </w:rPr>
        <w:t xml:space="preserve">gen x2 = runiform(-1,1)-invnormal(c1+.5)-invnormal(c2+.5)</w:t>
      </w:r>
      <w:r>
        <w:br/>
      </w:r>
      <w:r>
        <w:rPr>
          <w:rStyle w:val="VerbatimChar"/>
        </w:rPr>
        <w:t xml:space="preserve">// and the expected latent ey_star is a linear combination x1, x2, c1, and c2</w:t>
      </w:r>
      <w:r>
        <w:br/>
      </w:r>
      <w:r>
        <w:rPr>
          <w:rStyle w:val="VerbatimChar"/>
        </w:rPr>
        <w:t xml:space="preserve">gen y_star = 1 + x1 + x2 + c1 + c2</w:t>
      </w:r>
    </w:p>
    <w:p>
      <w:pPr>
        <w:pStyle w:val="FirstParagraph"/>
      </w:pPr>
      <w:r>
        <w:t xml:space="preserve">Since the equivalence between FE and CRE has been shown for linear models, we focus on the performance of the</w:t>
      </w:r>
      <w:r>
        <w:t xml:space="preserve"> </w:t>
      </w:r>
      <w:r>
        <w:rPr>
          <w:rStyle w:val="VerbatimChar"/>
        </w:rPr>
        <w:t xml:space="preserve">cre</w:t>
      </w:r>
      <w:r>
        <w:t xml:space="preserve"> </w:t>
      </w:r>
      <w:r>
        <w:t xml:space="preserve">in the context of non-linear models. For this, we consider 4 different models: probit, fractional regression probit, tobit, and poisson.</w:t>
      </w:r>
    </w:p>
    <w:p>
      <w:pPr>
        <w:pStyle w:val="BodyText"/>
      </w:pPr>
      <w:r>
        <w:t xml:space="preserve">For each one, the data generating process is as follows:</w:t>
      </w:r>
    </w:p>
    <w:p>
      <w:pPr>
        <w:pStyle w:val="SourceCode"/>
      </w:pPr>
      <w:r>
        <w:rPr>
          <w:rStyle w:val="VerbatimChar"/>
        </w:rPr>
        <w:t xml:space="preserve">// probit</w:t>
      </w:r>
      <w:r>
        <w:br/>
      </w:r>
      <w:r>
        <w:rPr>
          <w:rStyle w:val="VerbatimChar"/>
        </w:rPr>
        <w:t xml:space="preserve">gen y_probit = 1*(y_star-1+rnormal()&gt;0)</w:t>
      </w:r>
      <w:r>
        <w:br/>
      </w:r>
      <w:r>
        <w:rPr>
          <w:rStyle w:val="VerbatimChar"/>
        </w:rPr>
        <w:t xml:space="preserve">// fractional probit</w:t>
      </w:r>
      <w:r>
        <w:br/>
      </w:r>
      <w:r>
        <w:rPr>
          <w:rStyle w:val="VerbatimChar"/>
        </w:rPr>
        <w:t xml:space="preserve">gen y_fprobit = normal(y_star-1+rnormal())</w:t>
      </w:r>
      <w:r>
        <w:br/>
      </w:r>
      <w:r>
        <w:rPr>
          <w:rStyle w:val="VerbatimChar"/>
        </w:rPr>
        <w:t xml:space="preserve">// tobit</w:t>
      </w:r>
      <w:r>
        <w:br/>
      </w:r>
      <w:r>
        <w:rPr>
          <w:rStyle w:val="VerbatimChar"/>
        </w:rPr>
        <w:t xml:space="preserve">gen y_tobit = max( y_star + rnormal(),0)</w:t>
      </w:r>
      <w:r>
        <w:br/>
      </w:r>
      <w:r>
        <w:rPr>
          <w:rStyle w:val="VerbatimChar"/>
        </w:rPr>
        <w:t xml:space="preserve">// poisson</w:t>
      </w:r>
      <w:r>
        <w:br/>
      </w:r>
      <w:r>
        <w:rPr>
          <w:rStyle w:val="VerbatimChar"/>
        </w:rPr>
        <w:t xml:space="preserve">gen y_poisson = rpoisson(exp(y_star))</w:t>
      </w:r>
    </w:p>
    <w:p>
      <w:pPr>
        <w:pStyle w:val="FirstParagraph"/>
      </w:pPr>
      <w:r>
        <w:t xml:space="preserve">We then estimate the models under three assumptions: one where the fixed effects are observed including</w:t>
      </w:r>
      <w:r>
        <w:t xml:space="preserve"> </w:t>
      </w:r>
      <w:r>
        <w:rPr>
          <w:rStyle w:val="VerbatimChar"/>
        </w:rPr>
        <w:t xml:space="preserve">c1</w:t>
      </w:r>
      <w:r>
        <w:t xml:space="preserve"> </w:t>
      </w:r>
      <w:r>
        <w:t xml:space="preserve">and</w:t>
      </w:r>
      <w:r>
        <w:t xml:space="preserve"> </w:t>
      </w:r>
      <w:r>
        <w:rPr>
          <w:rStyle w:val="VerbatimChar"/>
        </w:rPr>
        <w:t xml:space="preserve">c2</w:t>
      </w:r>
      <w:r>
        <w:t xml:space="preserve"> </w:t>
      </w:r>
      <w:r>
        <w:t xml:space="preserve">in the specification (benchmark), one where they are not considered, and one where we use the CRE approach using the</w:t>
      </w:r>
      <w:r>
        <w:t xml:space="preserve"> </w:t>
      </w:r>
      <w:r>
        <w:rPr>
          <w:rStyle w:val="VerbatimChar"/>
        </w:rPr>
        <w:t xml:space="preserve">cre</w:t>
      </w:r>
      <w:r>
        <w:t xml:space="preserve"> </w:t>
      </w:r>
      <w:r>
        <w:t xml:space="preserve">command. This exercise is repeated 1000 times, and the results are compared in terms of the distributions of the marginal effects for the probit and fractional probit model, and coefficients for the tobit and poisson models, under the three scenarios. We use</w:t>
      </w:r>
      <w:r>
        <w:t xml:space="preserve"> </w:t>
      </w:r>
      <w:r>
        <w:rPr>
          <w:rStyle w:val="VerbatimChar"/>
        </w:rPr>
        <w:t xml:space="preserve">parallel</w:t>
      </w:r>
      <w:r>
        <w:t xml:space="preserve">[@vegayon2019]</w:t>
      </w:r>
      <w:r>
        <w:t xml:space="preserve"> </w:t>
      </w:r>
      <w:r>
        <w:t xml:space="preserve">to speed up the process.</w:t>
      </w:r>
    </w:p>
    <w:p>
      <w:pPr>
        <w:pStyle w:val="BodyText"/>
      </w:pPr>
      <w:r>
        <w:t xml:space="preserve">The results of the simulation are presented in</w:t>
      </w:r>
      <w:r>
        <w:t xml:space="preserve"> </w:t>
      </w:r>
      <w:hyperlink w:anchor="fig-cre">
        <w:r>
          <w:rPr>
            <w:rStyle w:val="Hyperlink"/>
          </w:rPr>
          <w:t xml:space="preserve">Figure 1</w:t>
        </w:r>
      </w:hyperlink>
      <w:r>
        <w:t xml:space="preserve"> </w:t>
      </w:r>
      <w:r>
        <w:t xml:space="preserve">and</w:t>
      </w:r>
      <w:r>
        <w:t xml:space="preserve"> </w:t>
      </w:r>
      <w:hyperlink w:anchor="tbl-cre">
        <w:r>
          <w:rPr>
            <w:rStyle w:val="Hyperlink"/>
          </w:rPr>
          <w:t xml:space="preserve">Table 1</w:t>
        </w:r>
      </w:hyperlink>
      <w:r>
        <w:t xml:space="preserve">. The figure presents the densities of the estimated coefficients across all simulations, whereas the table provides a brief summary of the bias and mean absolute error (MAE) of the estimated coefficients.</w:t>
      </w:r>
    </w:p>
    <w:tbl>
      <w:tblPr>
        <w:tblStyle w:val="Table"/>
        <w:tblW w:type="pct" w:w="5000"/>
        <w:tblLayout w:type="fixed"/>
        <w:tblLook w:firstRow="0" w:lastRow="0" w:firstColumn="0" w:lastColumn="0" w:noHBand="0" w:noVBand="0" w:val="0000"/>
      </w:tblPr>
      <w:tblGrid>
        <w:gridCol w:w="7920"/>
      </w:tblGrid>
      <w:tr>
        <w:tc>
          <w:tcPr/>
          <w:bookmarkStart w:id="40" w:name="fig-cre"/>
          <w:p>
            <w:pPr>
              <w:pStyle w:val="Compact"/>
              <w:jc w:val="center"/>
            </w:pPr>
            <w:r>
              <w:drawing>
                <wp:inline>
                  <wp:extent cx="5334000" cy="3883152"/>
                  <wp:effectExtent b="0" l="0" r="0" t="0"/>
                  <wp:docPr descr="" title="" id="38" name="Picture"/>
                  <a:graphic>
                    <a:graphicData uri="http://schemas.openxmlformats.org/drawingml/2006/picture">
                      <pic:pic>
                        <pic:nvPicPr>
                          <pic:cNvPr descr="simulation/fig1.png" id="39" name="Picture"/>
                          <pic:cNvPicPr>
                            <a:picLocks noChangeArrowheads="1" noChangeAspect="1"/>
                          </pic:cNvPicPr>
                        </pic:nvPicPr>
                        <pic:blipFill>
                          <a:blip r:embed="rId37"/>
                          <a:stretch>
                            <a:fillRect/>
                          </a:stretch>
                        </pic:blipFill>
                        <pic:spPr bwMode="auto">
                          <a:xfrm>
                            <a:off x="0" y="0"/>
                            <a:ext cx="5334000" cy="38831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Estimated marginal effects/Coefficient densities for non-linear models</w:t>
            </w:r>
          </w:p>
          <w:bookmarkEnd w:id="40"/>
        </w:tc>
      </w:tr>
    </w:tbl>
    <w:p>
      <w:pPr>
        <w:pStyle w:val="BodyText"/>
      </w:pPr>
      <w:r>
        <w:t xml:space="preserve">As expected, controlling for the unobserved effects, the unfeasible estimator provides what we would consider to be the benchmark/true estimates of coefficients/marginal effects given the sample and data generating process. For</w:t>
      </w:r>
      <w:r>
        <w:t xml:space="preserve"> </w:t>
      </w:r>
      <w:hyperlink w:anchor="tbl-cre">
        <w:r>
          <w:rPr>
            <w:rStyle w:val="Hyperlink"/>
          </w:rPr>
          <w:t xml:space="preserve">Table 1</w:t>
        </w:r>
      </w:hyperlink>
      <w:r>
        <w:t xml:space="preserve">, we use the average coefficients/marginal effects of the unfeasible estimator to represent the true point estimate, and use those to construct the bias and mean absolute error for the other estimators.</w:t>
      </w:r>
    </w:p>
    <w:p>
      <w:pPr>
        <w:pStyle w:val="BodyText"/>
      </w:pPr>
      <w:r>
        <w:t xml:space="preserve">Because the individual effects are constructed to be correlated with the explanatory variables, the estimated coefficients are biased when they are ignored, and coefficients are estimated using pooled estimators. The magnitude of the bias is approximately 12-13% with respect to the point estimate of the coefficient or marginal effect.</w:t>
      </w:r>
    </w:p>
    <w:p>
      <w:pPr>
        <w:pStyle w:val="BodyText"/>
      </w:pPr>
      <w:r>
        <w:t xml:space="preserve">On the other hand, the CRE approach seems to provide consistent estimates for the coefficients/marginal effects, with a distribution that is centered around the true point estimate, with slightly higher variance than the benchmark. Based on the results from</w:t>
      </w:r>
      <w:r>
        <w:t xml:space="preserve"> </w:t>
      </w:r>
      <w:hyperlink w:anchor="tbl-cre">
        <w:r>
          <w:rPr>
            <w:rStyle w:val="Hyperlink"/>
          </w:rPr>
          <w:t xml:space="preserve">Table 1</w:t>
        </w:r>
      </w:hyperlink>
      <w:r>
        <w:t xml:space="preserve">, the bias of the CRE approach is negligible, with a MAE that is about 20% to 30% larger than the benchmark.</w:t>
      </w:r>
    </w:p>
    <w:tbl>
      <w:tblPr>
        <w:tblStyle w:val="Table"/>
        <w:tblW w:type="pct" w:w="5000"/>
        <w:tblLayout w:type="fixed"/>
        <w:tblLook w:firstRow="0" w:lastRow="0" w:firstColumn="0" w:lastColumn="0" w:noHBand="0" w:noVBand="0" w:val="0000"/>
      </w:tblPr>
      <w:tblGrid>
        <w:gridCol w:w="7920"/>
      </w:tblGrid>
      <w:tr>
        <w:tc>
          <w:tcPr/>
          <w:bookmarkStart w:id="41" w:name="tbl-cre"/>
          <w:p>
            <w:pPr>
              <w:jc w:val="center"/>
            </w:pPr>
            <w:pPr>
              <w:jc w:val="start"/>
              <w:spacing w:before="200"/>
              <w:pStyle w:val="ImageCaption"/>
            </w:pPr>
            <w:r>
              <w:t xml:space="preserve">Table 1: Bias and MAE for the estimated marginal effects/Coefficients for non-linear models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jc w:val="center"/>
                  </w:pPr>
                  <w:r>
                    <w:t xml:space="preserve">Probit</w:t>
                  </w:r>
                </w:p>
              </w:tc>
              <w:tc>
                <w:tcPr/>
                <w:p>
                  <w:pPr>
                    <w:pStyle w:val="Compact"/>
                    <w:jc w:val="center"/>
                    <w:jc w:val="center"/>
                  </w:pPr>
                  <w:r>
                    <w:t xml:space="preserve">FProbit</w:t>
                  </w:r>
                </w:p>
              </w:tc>
              <w:tc>
                <w:tcPr/>
                <w:p>
                  <w:pPr>
                    <w:pStyle w:val="Compact"/>
                    <w:jc w:val="center"/>
                    <w:jc w:val="center"/>
                  </w:pPr>
                  <w:r>
                    <w:t xml:space="preserve">Tobit</w:t>
                  </w:r>
                </w:p>
              </w:tc>
              <w:tc>
                <w:tcPr/>
                <w:p>
                  <w:pPr>
                    <w:pStyle w:val="Compact"/>
                    <w:jc w:val="center"/>
                    <w:jc w:val="center"/>
                  </w:pPr>
                  <w:r>
                    <w:t xml:space="preserve">Poisson</w:t>
                  </w:r>
                </w:p>
              </w:tc>
            </w:tr>
            <w:tr>
              <w:tc>
                <w:tcPr/>
                <w:p>
                  <w:pPr>
                    <w:pStyle w:val="Compact"/>
                    <w:jc w:val="left"/>
                    <w:jc w:val="center"/>
                  </w:pPr>
                  <w:r>
                    <w:t xml:space="preserve">True:Bias</w:t>
                  </w:r>
                </w:p>
              </w:tc>
              <w:tc>
                <w:tcPr/>
                <w:p>
                  <w:pPr>
                    <w:pStyle w:val="Compact"/>
                    <w:jc w:val="center"/>
                    <w:jc w:val="center"/>
                  </w:pPr>
                  <w:r>
                    <w:t xml:space="preserve">-0.000</w:t>
                  </w:r>
                </w:p>
              </w:tc>
              <w:tc>
                <w:tcPr/>
                <w:p>
                  <w:pPr>
                    <w:pStyle w:val="Compact"/>
                    <w:jc w:val="center"/>
                    <w:jc w:val="center"/>
                  </w:pPr>
                  <w:r>
                    <w:t xml:space="preserve">-0.000</w:t>
                  </w:r>
                </w:p>
              </w:tc>
              <w:tc>
                <w:tcPr/>
                <w:p>
                  <w:pPr>
                    <w:pStyle w:val="Compact"/>
                    <w:jc w:val="center"/>
                    <w:jc w:val="center"/>
                  </w:pPr>
                  <w:r>
                    <w:t xml:space="preserve">-0.000</w:t>
                  </w:r>
                </w:p>
              </w:tc>
              <w:tc>
                <w:tcPr/>
                <w:p>
                  <w:pPr>
                    <w:pStyle w:val="Compact"/>
                    <w:jc w:val="center"/>
                    <w:jc w:val="center"/>
                  </w:pPr>
                  <w:r>
                    <w:t xml:space="preserve">-0.000</w:t>
                  </w:r>
                </w:p>
              </w:tc>
            </w:tr>
            <w:tr>
              <w:tc>
                <w:tcPr/>
                <w:p>
                  <w:pPr>
                    <w:pStyle w:val="Compact"/>
                    <w:jc w:val="left"/>
                    <w:jc w:val="center"/>
                  </w:pPr>
                  <w:r>
                    <w:t xml:space="preserve">True:MAE</w:t>
                  </w:r>
                </w:p>
              </w:tc>
              <w:tc>
                <w:tcPr/>
                <w:p>
                  <w:pPr>
                    <w:pStyle w:val="Compact"/>
                    <w:jc w:val="center"/>
                    <w:jc w:val="center"/>
                  </w:pPr>
                  <w:r>
                    <w:t xml:space="preserve">0.014</w:t>
                  </w:r>
                </w:p>
              </w:tc>
              <w:tc>
                <w:tcPr/>
                <w:p>
                  <w:pPr>
                    <w:pStyle w:val="Compact"/>
                    <w:jc w:val="center"/>
                    <w:jc w:val="center"/>
                  </w:pPr>
                  <w:r>
                    <w:t xml:space="preserve">0.031</w:t>
                  </w:r>
                </w:p>
              </w:tc>
              <w:tc>
                <w:tcPr/>
                <w:p>
                  <w:pPr>
                    <w:pStyle w:val="Compact"/>
                    <w:jc w:val="center"/>
                    <w:jc w:val="center"/>
                  </w:pPr>
                  <w:r>
                    <w:t xml:space="preserve">0.043</w:t>
                  </w:r>
                </w:p>
              </w:tc>
              <w:tc>
                <w:tcPr/>
                <w:p>
                  <w:pPr>
                    <w:pStyle w:val="Compact"/>
                    <w:jc w:val="center"/>
                    <w:jc w:val="center"/>
                  </w:pPr>
                  <w:r>
                    <w:t xml:space="preserve">0.022</w:t>
                  </w:r>
                </w:p>
              </w:tc>
            </w:tr>
            <w:tr>
              <w:tc>
                <w:tcPr/>
                <w:p>
                  <w:pPr>
                    <w:pStyle w:val="Compact"/>
                    <w:jc w:val="left"/>
                    <w:jc w:val="center"/>
                  </w:pPr>
                  <w:r>
                    <w:t xml:space="preserve">Pool:Bias</w:t>
                  </w:r>
                </w:p>
              </w:tc>
              <w:tc>
                <w:tcPr/>
                <w:p>
                  <w:pPr>
                    <w:pStyle w:val="Compact"/>
                    <w:jc w:val="center"/>
                    <w:jc w:val="center"/>
                  </w:pPr>
                  <w:r>
                    <w:t xml:space="preserve">0.037</w:t>
                  </w:r>
                </w:p>
              </w:tc>
              <w:tc>
                <w:tcPr/>
                <w:p>
                  <w:pPr>
                    <w:pStyle w:val="Compact"/>
                    <w:jc w:val="center"/>
                    <w:jc w:val="center"/>
                  </w:pPr>
                  <w:r>
                    <w:t xml:space="preserve">0.087</w:t>
                  </w:r>
                </w:p>
              </w:tc>
              <w:tc>
                <w:tcPr/>
                <w:p>
                  <w:pPr>
                    <w:pStyle w:val="Compact"/>
                    <w:jc w:val="center"/>
                    <w:jc w:val="center"/>
                  </w:pPr>
                  <w:r>
                    <w:t xml:space="preserve">0.130</w:t>
                  </w:r>
                </w:p>
              </w:tc>
              <w:tc>
                <w:tcPr/>
                <w:p>
                  <w:pPr>
                    <w:pStyle w:val="Compact"/>
                    <w:jc w:val="center"/>
                    <w:jc w:val="center"/>
                  </w:pPr>
                  <w:r>
                    <w:t xml:space="preserve">0.134</w:t>
                  </w:r>
                </w:p>
              </w:tc>
            </w:tr>
            <w:tr>
              <w:tc>
                <w:tcPr/>
                <w:p>
                  <w:pPr>
                    <w:pStyle w:val="Compact"/>
                    <w:jc w:val="left"/>
                    <w:jc w:val="center"/>
                  </w:pPr>
                  <w:r>
                    <w:t xml:space="preserve">Pool:MAE</w:t>
                  </w:r>
                </w:p>
              </w:tc>
              <w:tc>
                <w:tcPr/>
                <w:p>
                  <w:pPr>
                    <w:pStyle w:val="Compact"/>
                    <w:jc w:val="center"/>
                    <w:jc w:val="center"/>
                  </w:pPr>
                  <w:r>
                    <w:t xml:space="preserve">0.037</w:t>
                  </w:r>
                </w:p>
              </w:tc>
              <w:tc>
                <w:tcPr/>
                <w:p>
                  <w:pPr>
                    <w:pStyle w:val="Compact"/>
                    <w:jc w:val="center"/>
                    <w:jc w:val="center"/>
                  </w:pPr>
                  <w:r>
                    <w:t xml:space="preserve">0.087</w:t>
                  </w:r>
                </w:p>
              </w:tc>
              <w:tc>
                <w:tcPr/>
                <w:p>
                  <w:pPr>
                    <w:pStyle w:val="Compact"/>
                    <w:jc w:val="center"/>
                    <w:jc w:val="center"/>
                  </w:pPr>
                  <w:r>
                    <w:t xml:space="preserve">0.130</w:t>
                  </w:r>
                </w:p>
              </w:tc>
              <w:tc>
                <w:tcPr/>
                <w:p>
                  <w:pPr>
                    <w:pStyle w:val="Compact"/>
                    <w:jc w:val="center"/>
                    <w:jc w:val="center"/>
                  </w:pPr>
                  <w:r>
                    <w:t xml:space="preserve">0.134</w:t>
                  </w:r>
                </w:p>
              </w:tc>
            </w:tr>
            <w:tr>
              <w:tc>
                <w:tcPr/>
                <w:p>
                  <w:pPr>
                    <w:pStyle w:val="Compact"/>
                    <w:jc w:val="left"/>
                    <w:jc w:val="center"/>
                  </w:pPr>
                  <w:r>
                    <w:t xml:space="preserve">CRE:Bias</w:t>
                  </w:r>
                </w:p>
              </w:tc>
              <w:tc>
                <w:tcPr/>
                <w:p>
                  <w:pPr>
                    <w:pStyle w:val="Compact"/>
                    <w:jc w:val="center"/>
                    <w:jc w:val="center"/>
                  </w:pPr>
                  <w:r>
                    <w:t xml:space="preserve">-0.001</w:t>
                  </w:r>
                </w:p>
              </w:tc>
              <w:tc>
                <w:tcPr/>
                <w:p>
                  <w:pPr>
                    <w:pStyle w:val="Compact"/>
                    <w:jc w:val="center"/>
                    <w:jc w:val="center"/>
                  </w:pPr>
                  <w:r>
                    <w:t xml:space="preserve">-0.002</w:t>
                  </w:r>
                </w:p>
              </w:tc>
              <w:tc>
                <w:tcPr/>
                <w:p>
                  <w:pPr>
                    <w:pStyle w:val="Compact"/>
                    <w:jc w:val="center"/>
                    <w:jc w:val="center"/>
                  </w:pPr>
                  <w:r>
                    <w:t xml:space="preserve">-0.001</w:t>
                  </w:r>
                </w:p>
              </w:tc>
              <w:tc>
                <w:tcPr/>
                <w:p>
                  <w:pPr>
                    <w:pStyle w:val="Compact"/>
                    <w:jc w:val="center"/>
                    <w:jc w:val="center"/>
                  </w:pPr>
                  <w:r>
                    <w:t xml:space="preserve">0.005</w:t>
                  </w:r>
                </w:p>
              </w:tc>
            </w:tr>
            <w:tr>
              <w:tc>
                <w:tcPr/>
                <w:p>
                  <w:pPr>
                    <w:pStyle w:val="Compact"/>
                    <w:jc w:val="left"/>
                    <w:jc w:val="center"/>
                  </w:pPr>
                  <w:r>
                    <w:t xml:space="preserve">CRE:MAE</w:t>
                  </w:r>
                </w:p>
              </w:tc>
              <w:tc>
                <w:tcPr/>
                <w:p>
                  <w:pPr>
                    <w:pStyle w:val="Compact"/>
                    <w:jc w:val="center"/>
                    <w:jc w:val="center"/>
                  </w:pPr>
                  <w:r>
                    <w:t xml:space="preserve">0.018</w:t>
                  </w:r>
                </w:p>
              </w:tc>
              <w:tc>
                <w:tcPr/>
                <w:p>
                  <w:pPr>
                    <w:pStyle w:val="Compact"/>
                    <w:jc w:val="center"/>
                    <w:jc w:val="center"/>
                  </w:pPr>
                  <w:r>
                    <w:t xml:space="preserve">0.037</w:t>
                  </w:r>
                </w:p>
              </w:tc>
              <w:tc>
                <w:tcPr/>
                <w:p>
                  <w:pPr>
                    <w:pStyle w:val="Compact"/>
                    <w:jc w:val="center"/>
                    <w:jc w:val="center"/>
                  </w:pPr>
                  <w:r>
                    <w:t xml:space="preserve">0.052</w:t>
                  </w:r>
                </w:p>
              </w:tc>
              <w:tc>
                <w:tcPr/>
                <w:p>
                  <w:pPr>
                    <w:pStyle w:val="Compact"/>
                    <w:jc w:val="center"/>
                    <w:jc w:val="center"/>
                  </w:pPr>
                  <w:r>
                    <w:t xml:space="preserve">0.027</w:t>
                  </w:r>
                </w:p>
              </w:tc>
            </w:tr>
            <w:tr>
              <w:tc>
                <w:tcPr/>
                <w:p>
                  <w:pPr>
                    <w:pStyle w:val="Compact"/>
                    <w:jc w:val="left"/>
                    <w:jc w:val="center"/>
                  </w:pPr>
                  <w:r>
                    <w:rPr>
                      <w:i/>
                      <w:iCs/>
                    </w:rPr>
                    <w:t xml:space="preserve">N</w:t>
                  </w:r>
                </w:p>
              </w:tc>
              <w:tc>
                <w:tcPr/>
                <w:p>
                  <w:pPr>
                    <w:pStyle w:val="Compact"/>
                    <w:jc w:val="center"/>
                    <w:jc w:val="center"/>
                  </w:pPr>
                  <w:r>
                    <w:t xml:space="preserve">10000</w:t>
                  </w:r>
                </w:p>
              </w:tc>
              <w:tc>
                <w:tcPr/>
                <w:p>
                  <w:pPr>
                    <w:pStyle w:val="Compact"/>
                    <w:jc w:val="center"/>
                    <w:jc w:val="center"/>
                  </w:pPr>
                  <w:r>
                    <w:t xml:space="preserve">10000</w:t>
                  </w:r>
                </w:p>
              </w:tc>
              <w:tc>
                <w:tcPr/>
                <w:p>
                  <w:pPr>
                    <w:pStyle w:val="Compact"/>
                    <w:jc w:val="center"/>
                    <w:jc w:val="center"/>
                  </w:pPr>
                  <w:r>
                    <w:t xml:space="preserve">10000</w:t>
                  </w:r>
                </w:p>
              </w:tc>
              <w:tc>
                <w:tcPr/>
                <w:p>
                  <w:pPr>
                    <w:pStyle w:val="Compact"/>
                    <w:jc w:val="center"/>
                    <w:jc w:val="center"/>
                  </w:pPr>
                  <w:r>
                    <w:t xml:space="preserve">10000</w:t>
                  </w:r>
                </w:p>
              </w:tc>
            </w:tr>
          </w:tbl>
          <w:bookmarkEnd w:id="41"/>
          <w:p/>
        </w:tc>
      </w:tr>
    </w:tbl>
    <w:bookmarkEnd w:id="42"/>
    <w:bookmarkStart w:id="43" w:name="sec-5"/>
    <w:p>
      <w:pPr>
        <w:pStyle w:val="Heading1"/>
      </w:pPr>
      <w:r>
        <w:t xml:space="preserve">Conclusion</w:t>
      </w:r>
    </w:p>
    <w:p>
      <w:pPr>
        <w:pStyle w:val="FirstParagraph"/>
      </w:pPr>
      <w:r>
        <w:t xml:space="preserve">This paper introduces the</w:t>
      </w:r>
      <w:r>
        <w:t xml:space="preserve"> </w:t>
      </w:r>
      <w:r>
        <w:rPr>
          <w:rStyle w:val="VerbatimChar"/>
        </w:rPr>
        <w:t xml:space="preserve">cre</w:t>
      </w:r>
      <w:r>
        <w:t xml:space="preserve"> </w:t>
      </w:r>
      <w:r>
        <w:t xml:space="preserve">command, a prefix-type command that facilitates the implementation of Correlated Random Effects (CRE) models with a wide range of official and user-written Stata estimation commands. The CRE approach offers a middle ground between fixed effects and random effects models, addressing some of their limitations, particularly in the context of nonlinear model estimation.</w:t>
      </w:r>
    </w:p>
    <w:p>
      <w:pPr>
        <w:pStyle w:val="BodyText"/>
      </w:pPr>
      <w:r>
        <w:t xml:space="preserve">As previously discussed in the literature, our Monte Carlo simulations show that the CRE approach, implemented through the</w:t>
      </w:r>
      <w:r>
        <w:t xml:space="preserve"> </w:t>
      </w:r>
      <w:r>
        <w:rPr>
          <w:rStyle w:val="VerbatimChar"/>
        </w:rPr>
        <w:t xml:space="preserve">cre</w:t>
      </w:r>
      <w:r>
        <w:t xml:space="preserve"> </w:t>
      </w:r>
      <w:r>
        <w:t xml:space="preserve">command, consistently estimates coefficients and marginal effects, performing comparably to the unfeasible estimators that directly control for unobserved factors. The simulations reveal negligible bias, with an increase in the variance of the estimates, which is consistent with theoretical expectations.</w:t>
      </w:r>
    </w:p>
    <w:p>
      <w:pPr>
        <w:pStyle w:val="BodyText"/>
      </w:pPr>
      <w:r>
        <w:t xml:space="preserve">The</w:t>
      </w:r>
      <w:r>
        <w:t xml:space="preserve"> </w:t>
      </w:r>
      <w:r>
        <w:rPr>
          <w:rStyle w:val="VerbatimChar"/>
        </w:rPr>
        <w:t xml:space="preserve">cre</w:t>
      </w:r>
      <w:r>
        <w:t xml:space="preserve"> </w:t>
      </w:r>
      <w:r>
        <w:t xml:space="preserve">command addresses a significant gap in Stata’s econometric toolkit, providing a user-friendly implementation of CRE models. This tool may prove valuable for researchers working with panel data or nested data structures, where standard fixed effects approaches may be challenging or nonexistent, and random effects assumptions are not appropriate.</w:t>
      </w:r>
    </w:p>
    <w:bookmarkEnd w:id="43"/>
    <w:bookmarkStart w:id="44" w:name="acknowledgments"/>
    <w:p>
      <w:pPr>
        <w:pStyle w:val="Heading1"/>
      </w:pPr>
      <w:r>
        <w:t xml:space="preserve">Acknowledgments</w:t>
      </w:r>
    </w:p>
    <w:p>
      <w:pPr>
        <w:pStyle w:val="FirstParagraph"/>
      </w:pPr>
      <w:r>
        <w:t xml:space="preserve">Thanks to Aashima Sinha for her help in the preparation and comments for this paper, and Enrique Pinzon for his encouragement on pushing this project forward.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StataNow released an option for the estimation of CRE models as part of the panel data estimators on June 25, 2024. There are also the community-contributed commands</w:t>
      </w:r>
      <w:r>
        <w:t xml:space="preserve"> </w:t>
      </w:r>
      <w:r>
        <w:rPr>
          <w:rStyle w:val="VerbatimChar"/>
        </w:rPr>
        <w:t xml:space="preserve">xthybrid</w:t>
      </w:r>
      <w:r>
        <w:t xml:space="preserve">[@schunck2017]</w:t>
      </w:r>
      <w:r>
        <w:t xml:space="preserve"> </w:t>
      </w:r>
      <w:r>
        <w:t xml:space="preserve">and</w:t>
      </w:r>
      <w:r>
        <w:t xml:space="preserve"> </w:t>
      </w:r>
      <w:r>
        <w:rPr>
          <w:rStyle w:val="VerbatimChar"/>
        </w:rPr>
        <w:t xml:space="preserve">mundlak</w:t>
      </w:r>
      <w:r>
        <w:t xml:space="preserve">[@perales2013]</w:t>
      </w:r>
    </w:p>
  </w:footnote>
  <w:footnote w:id="25">
    <w:p>
      <w:pPr>
        <w:pStyle w:val="FootnoteText"/>
      </w:pPr>
      <w:r>
        <w:rPr>
          <w:rStyle w:val="FootnoteReference"/>
        </w:rPr>
        <w:footnoteRef/>
      </w:r>
      <w:r>
        <w:t xml:space="preserve"> </w:t>
      </w:r>
      <w:r>
        <w:t xml:space="preserve">For time-invariant covariates, the RE estimator will be identical to</w:t>
      </w:r>
      <w:r>
        <w:t xml:space="preserve"> </w:t>
      </w:r>
      <w:r>
        <w:t xml:space="preserve">@chamberlain1982multivariate</w:t>
      </w:r>
      <w:r>
        <w:t xml:space="preserve"> </w:t>
      </w:r>
      <w:r>
        <w:t xml:space="preserve">approach only</w:t>
      </w:r>
    </w:p>
  </w:footnote>
  <w:footnote w:id="30">
    <w:p>
      <w:pPr>
        <w:pStyle w:val="FootnoteText"/>
      </w:pPr>
      <w:r>
        <w:rPr>
          <w:rStyle w:val="FootnoteReference"/>
        </w:rPr>
        <w:footnoteRef/>
      </w:r>
      <w:r>
        <w:t xml:space="preserve"> </w:t>
      </w:r>
      <w:r>
        <w:t xml:space="preserve">As described in</w:t>
      </w:r>
      <w:r>
        <w:t xml:space="preserve"> </w:t>
      </w:r>
      <w:r>
        <w:t xml:space="preserve">@rios2015</w:t>
      </w:r>
      <w:r>
        <w:t xml:space="preserve">, it is possible to implement a within-transformation using an iterative demeaning process until convergence. More recently, StataNow 18.5 also released a command that allows for the estimation of M-way fixed effects using a similar (yet more efficient) approach.</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Simplifying the Estimation of Correlated Random Effects Models</dc:title>
  <dc:creator>Fernando Rios-Avila</dc:creator>
  <cp:keywords/>
  <dcterms:created xsi:type="dcterms:W3CDTF">2024-09-06T17:45:16Z</dcterms:created>
  <dcterms:modified xsi:type="dcterms:W3CDTF">2024-09-06T17:45:16Z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outauthors">
    <vt:lpwstr>Fernando Rios-Avila is a research scholar at the Levy Economics Institute of Bard College under the Distribution of Income and Wealth program. His research interests include applied econometrics, labor economics, and poverty and inequality. He has contributed many commands to Statistical Software Components and written articles for the Stata Journal.</vt:lpwstr>
  </property>
  <property fmtid="{D5CDD505-2E9C-101B-9397-08002B2CF9AE}" pid="3" name="abstract">
    <vt:lpwstr>This paper introduces the cre command, a prefix type command, that helps in the implementation of Correlated Random Effects (CRE) estimator for linear and nonlinear models. For the linear case, CRE models offer a simple approach that combines the advantages of both fixed effects and random effects estimators, providing consistent estimates identical to the Fixed Effect estimator, but allowing for the identification of coefficients for time-invariant variables. For the nonlinear case, it provides an alternative to fixed effects estimators that may be difficult to implement or simply non-existent. The cre command provides a user-friendly approach for estimating these models, supporting both balanced and unbalanced panels, which can be applied to most linear and nonlinear estimators.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date">
    <vt:lpwstr>2024-09-06</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tata">
    <vt:lpwstr/>
  </property>
  <property fmtid="{D5CDD505-2E9C-101B-9397-08002B2CF9AE}" pid="16" name="toc-title">
    <vt:lpwstr>Table of contents</vt:lpwstr>
  </property>
</Properties>
</file>