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DID:</w:t>
      </w:r>
      <w:r>
        <w:t xml:space="preserve"> </w:t>
      </w:r>
      <w:r>
        <w:t xml:space="preserve">The</w:t>
      </w:r>
      <w:r>
        <w:t xml:space="preserve"> </w:t>
      </w:r>
      <w:r>
        <w:t xml:space="preserve">Revolution</w:t>
      </w:r>
    </w:p>
    <w:p>
      <w:pPr>
        <w:pStyle w:val="Subtitle"/>
      </w:pPr>
      <w:r>
        <w:t xml:space="preserve">How</w:t>
      </w:r>
      <w:r>
        <w:t xml:space="preserve"> </w:t>
      </w:r>
      <w:r>
        <w:t xml:space="preserve">to</w:t>
      </w:r>
      <w:r>
        <w:t xml:space="preserve"> </w:t>
      </w:r>
      <w:r>
        <w:t xml:space="preserve">right</w:t>
      </w:r>
      <w:r>
        <w:t xml:space="preserve"> </w:t>
      </w:r>
      <w:r>
        <w:t xml:space="preserve">the</w:t>
      </w:r>
      <w:r>
        <w:t xml:space="preserve"> </w:t>
      </w:r>
      <w:r>
        <w:t xml:space="preserve">wrongs</w:t>
      </w:r>
    </w:p>
    <w:bookmarkStart w:id="20" w:name="introduction"/>
    <w:p>
      <w:pPr>
        <w:pStyle w:val="Heading2"/>
      </w:pPr>
      <w:r>
        <w:t xml:space="preserve">Introduction</w:t>
      </w:r>
    </w:p>
    <w:p>
      <w:pPr>
        <w:pStyle w:val="FirstParagraph"/>
      </w:pPr>
      <w:r>
        <w:t xml:space="preserve">If you have been keeping up with the advancements and revolution in Difference-in-Differences (DID), you may be aware of the issues associated with using the simple Two-Way Fixed Effects (TWFE) method for identifying treatment effects. If you haven’t, you can refer to my previous post titled</w:t>
      </w:r>
      <w:r>
        <w:t xml:space="preserve"> </w:t>
      </w:r>
      <w:r>
        <w:rPr>
          <w:bCs/>
          <w:b/>
        </w:rPr>
        <w:t xml:space="preserve">DID: The fall</w:t>
      </w:r>
      <w:r>
        <w:t xml:space="preserve"> </w:t>
      </w:r>
      <w:r>
        <w:t xml:space="preserve">where I have explained the problem.</w:t>
      </w:r>
    </w:p>
    <w:p>
      <w:pPr>
        <w:pStyle w:val="BodyText"/>
      </w:pPr>
      <w:r>
        <w:t xml:space="preserve">The issue can be summarized as follows:</w:t>
      </w:r>
    </w:p>
    <w:p>
      <w:pPr>
        <w:pStyle w:val="BodyText"/>
      </w:pPr>
      <w:r>
        <w:t xml:space="preserve">When multiple periods and groups are available, and the treatment has been implemented over several periods, the standard TWFE method is unlikely to identify the average treatment effects. This is because it tends to use inadequate controls, gives negative weights to treated units, and generally suffers from contamination that leads to biased estimates.</w:t>
      </w:r>
    </w:p>
    <w:p>
      <w:pPr>
        <w:pStyle w:val="BodyText"/>
      </w:pPr>
      <w:r>
        <w:t xml:space="preserve">As far as I know, the following model can only estimate average treatment effects if treatment effects remain constant over time:</w:t>
      </w:r>
    </w:p>
    <w:p>
      <w:pPr>
        <w:pStyle w:val="BodyText"/>
      </w:pPr>
      <m:oMathPara>
        <m:oMathParaPr>
          <m:jc m:val="center"/>
        </m:oMathParaPr>
        <m:oMath>
          <m:sSub>
            <m:e>
              <m:r>
                <m:t>y</m:t>
              </m:r>
            </m:e>
            <m:sub>
              <m:r>
                <m:t>i</m:t>
              </m:r>
              <m:r>
                <m:t>t</m:t>
              </m:r>
            </m:sub>
          </m:sSub>
          <m:r>
            <m:rPr>
              <m:sty m:val="p"/>
            </m:rPr>
            <m:t>=</m:t>
          </m:r>
          <m:sSub>
            <m:e>
              <m:r>
                <m:t>a</m:t>
              </m:r>
            </m:e>
            <m:sub>
              <m:r>
                <m:t>i</m:t>
              </m:r>
            </m:sub>
          </m:sSub>
          <m:r>
            <m:rPr>
              <m:sty m:val="p"/>
            </m:rPr>
            <m:t>+</m:t>
          </m:r>
          <m:sSub>
            <m:e>
              <m:r>
                <m:t>a</m:t>
              </m:r>
            </m:e>
            <m:sub>
              <m:r>
                <m:t>t</m:t>
              </m:r>
            </m:sub>
          </m:sSub>
          <m:r>
            <m:rPr>
              <m:sty m:val="p"/>
            </m:rPr>
            <m:t>+</m:t>
          </m:r>
          <m:r>
            <m:t>δ</m:t>
          </m:r>
          <m:sSub>
            <m:e>
              <m:r>
                <m:t>D</m:t>
              </m:r>
            </m:e>
            <m:sub>
              <m:r>
                <m:t>i</m:t>
              </m:r>
              <m:r>
                <m:t>t</m:t>
              </m:r>
            </m:sub>
          </m:sSub>
          <m:r>
            <m:rPr>
              <m:sty m:val="p"/>
            </m:rPr>
            <m:t>+</m:t>
          </m:r>
          <m:sSub>
            <m:e>
              <m:r>
                <m:t>e</m:t>
              </m:r>
            </m:e>
            <m:sub>
              <m:r>
                <m:t>i</m:t>
              </m:r>
              <m:r>
                <m:t>t</m:t>
              </m:r>
            </m:sub>
          </m:sSub>
        </m:oMath>
      </m:oMathPara>
    </w:p>
    <w:p>
      <w:pPr>
        <w:pStyle w:val="FirstParagraph"/>
      </w:pPr>
      <w:r>
        <w:t xml:space="preserve">where</w:t>
      </w:r>
      <w:r>
        <w:t xml:space="preserve"> </w:t>
      </w:r>
      <m:oMath>
        <m:sSub>
          <m:e>
            <m:r>
              <m:t>D</m:t>
            </m:r>
          </m:e>
          <m:sub>
            <m:r>
              <m:t>i</m:t>
            </m:r>
            <m:r>
              <m:t>t</m:t>
            </m:r>
          </m:sub>
        </m:sSub>
        <m:r>
          <m:rPr>
            <m:sty m:val="p"/>
          </m:rPr>
          <m:t>=</m:t>
        </m:r>
        <m:r>
          <m:t>1</m:t>
        </m:r>
      </m:oMath>
      <w:r>
        <w:t xml:space="preserve"> </w:t>
      </w:r>
      <w:r>
        <w:t xml:space="preserve">if a unit is effectively treated,</w:t>
      </w:r>
      <w:r>
        <w:t xml:space="preserve"> </w:t>
      </w:r>
      <m:oMath>
        <m:sSub>
          <m:e>
            <m:r>
              <m:t>a</m:t>
            </m:r>
          </m:e>
          <m:sub>
            <m:r>
              <m:t>i</m:t>
            </m:r>
          </m:sub>
        </m:sSub>
      </m:oMath>
      <w:r>
        <w:t xml:space="preserve"> </w:t>
      </w:r>
      <w:r>
        <w:t xml:space="preserve">represents the unit fixed effects, and</w:t>
      </w:r>
      <w:r>
        <w:t xml:space="preserve"> </w:t>
      </w:r>
      <m:oMath>
        <m:sSub>
          <m:e>
            <m:r>
              <m:t>a</m:t>
            </m:r>
          </m:e>
          <m:sub>
            <m:r>
              <m:t>t</m:t>
            </m:r>
          </m:sub>
        </m:sSub>
      </m:oMath>
      <w:r>
        <w:t xml:space="preserve"> </w:t>
      </w:r>
      <w:r>
        <w:t xml:space="preserve">time fixed effects.</w:t>
      </w:r>
    </w:p>
    <w:bookmarkEnd w:id="20"/>
    <w:bookmarkStart w:id="30" w:name="solutions"/>
    <w:p>
      <w:pPr>
        <w:pStyle w:val="Heading2"/>
      </w:pPr>
      <w:r>
        <w:t xml:space="preserve">Solutions</w:t>
      </w:r>
    </w:p>
    <w:p>
      <w:pPr>
        <w:pStyle w:val="FirstParagraph"/>
      </w:pPr>
      <w:r>
        <w:t xml:space="preserve">Despite the challenges previously discussed, there is still hope for the successful implementation of DID. Numerous scholars have proposed various strategies that specifically address the issues at hand, as hinted in</w:t>
      </w:r>
      <w:r>
        <w:t xml:space="preserve"> </w:t>
      </w:r>
      <w:r>
        <w:rPr>
          <w:bCs/>
          <w:b/>
        </w:rPr>
        <w:t xml:space="preserve">DID: the Fall.</w:t>
      </w:r>
    </w:p>
    <w:p>
      <w:pPr>
        <w:pStyle w:val="BodyText"/>
      </w:pPr>
      <w:r>
        <w:t xml:space="preserve">In this context, I will provide a brief overview of three such solutions, two of which I am actively involved in, and one that is relatively straightforward to comprehend and articulate.</w:t>
      </w:r>
    </w:p>
    <w:bookmarkStart w:id="21" w:name="setup"/>
    <w:p>
      <w:pPr>
        <w:pStyle w:val="Heading3"/>
      </w:pPr>
      <w:r>
        <w:t xml:space="preserve">Setup</w:t>
      </w:r>
    </w:p>
    <w:p>
      <w:pPr>
        <w:pStyle w:val="FirstParagraph"/>
      </w:pPr>
      <w:r>
        <w:t xml:space="preserve">Let us establish some fundamental nomenclature before we delve into the solution. This terminology will help understand and implement the solutions we will cover next.</w:t>
      </w:r>
    </w:p>
    <w:p>
      <w:pPr>
        <w:pStyle w:val="BodyText"/>
      </w:pPr>
      <w:r>
        <w:t xml:space="preserve">Before we start discussing the solution, lets stablish some basic nomenclature that may help us understand and implement the solutions we will be discussing later on.</w:t>
      </w:r>
    </w:p>
    <w:p>
      <w:pPr>
        <w:numPr>
          <w:ilvl w:val="0"/>
          <w:numId w:val="1001"/>
        </w:numPr>
      </w:pPr>
      <w:r>
        <w:t xml:space="preserve">For simplicity, we will focus on the case of balanced panel data. All units</w:t>
      </w:r>
      <w:r>
        <w:t xml:space="preserve"> </w:t>
      </w:r>
      <m:oMath>
        <m:r>
          <m:t>i</m:t>
        </m:r>
      </m:oMath>
      <w:r>
        <w:t xml:space="preserve"> </w:t>
      </w:r>
      <w:r>
        <w:t xml:space="preserve">will be observed for</w:t>
      </w:r>
      <w:r>
        <w:t xml:space="preserve"> </w:t>
      </w:r>
      <m:oMath>
        <m:r>
          <m:t>T</m:t>
        </m:r>
      </m:oMath>
      <w:r>
        <w:t xml:space="preserve"> </w:t>
      </w:r>
      <w:r>
        <w:t xml:space="preserve">periods, from</w:t>
      </w:r>
      <w:r>
        <w:t xml:space="preserve"> </w:t>
      </w:r>
      <m:oMath>
        <m:r>
          <m:t>t</m:t>
        </m:r>
        <m:r>
          <m:rPr>
            <m:sty m:val="p"/>
          </m:rPr>
          <m:t>=</m:t>
        </m:r>
        <m:r>
          <m:t>1</m:t>
        </m:r>
      </m:oMath>
      <w:r>
        <w:t xml:space="preserve"> </w:t>
      </w:r>
      <w:r>
        <w:t xml:space="preserve">to</w:t>
      </w:r>
      <w:r>
        <w:t xml:space="preserve"> </w:t>
      </w:r>
      <m:oMath>
        <m:r>
          <m:t>t</m:t>
        </m:r>
        <m:r>
          <m:rPr>
            <m:sty m:val="p"/>
          </m:rPr>
          <m:t>=</m:t>
        </m:r>
        <m:r>
          <m:t>T</m:t>
        </m:r>
      </m:oMath>
      <w:r>
        <w:t xml:space="preserve">.</w:t>
      </w:r>
    </w:p>
    <w:p>
      <w:pPr>
        <w:numPr>
          <w:ilvl w:val="0"/>
          <w:numId w:val="1001"/>
        </w:numPr>
      </w:pPr>
      <w:r>
        <w:t xml:space="preserve">At any given time, individual outcomes are defined as follows:</w:t>
      </w:r>
    </w:p>
    <w:p>
      <w:pPr>
        <w:pStyle w:val="BodyText"/>
      </w:pPr>
      <m:oMathPara>
        <m:oMathParaPr>
          <m:jc m:val="center"/>
        </m:oMathParaPr>
        <m:oMath>
          <m:sSub>
            <m:e>
              <m:r>
                <m:t>y</m:t>
              </m:r>
            </m:e>
            <m:sub>
              <m:r>
                <m:t>i</m:t>
              </m:r>
              <m:r>
                <m:t>t</m:t>
              </m:r>
            </m:sub>
          </m:sSub>
          <m:r>
            <m:rPr>
              <m:sty m:val="p"/>
            </m:rPr>
            <m:t>=</m:t>
          </m:r>
          <m:sSub>
            <m:e>
              <m:r>
                <m:t>a</m:t>
              </m:r>
            </m:e>
            <m:sub>
              <m:r>
                <m:t>i</m:t>
              </m:r>
            </m:sub>
          </m:sSub>
          <m:r>
            <m:rPr>
              <m:sty m:val="p"/>
            </m:rPr>
            <m:t>+</m:t>
          </m:r>
          <m:sSub>
            <m:e>
              <m:r>
                <m:t>a</m:t>
              </m:r>
            </m:e>
            <m:sub>
              <m:r>
                <m:t>t</m:t>
              </m:r>
            </m:sub>
          </m:sSub>
          <m:r>
            <m:rPr>
              <m:sty m:val="p"/>
            </m:rPr>
            <m:t>+</m:t>
          </m:r>
          <m:sSub>
            <m:e>
              <m:r>
                <m:t>δ</m:t>
              </m:r>
            </m:e>
            <m:sub>
              <m:r>
                <m:t>i</m:t>
              </m:r>
              <m:r>
                <m:t>t</m:t>
              </m:r>
            </m:sub>
          </m:sSub>
          <m:r>
            <m:rPr>
              <m:sty m:val="p"/>
            </m:rPr>
            <m:t>*</m:t>
          </m:r>
          <m:sSub>
            <m:e>
              <m:r>
                <m:t>D</m:t>
              </m:r>
            </m:e>
            <m:sub>
              <m:r>
                <m:t>i</m:t>
              </m:r>
              <m:r>
                <m:t>t</m:t>
              </m:r>
            </m:sub>
          </m:sSub>
          <m:r>
            <m:rPr>
              <m:sty m:val="p"/>
            </m:rPr>
            <m:t>+</m:t>
          </m:r>
          <m:sSub>
            <m:e>
              <m:r>
                <m:t>e</m:t>
              </m:r>
            </m:e>
            <m:sub>
              <m:r>
                <m:t>i</m:t>
              </m:r>
              <m:r>
                <m:t>t</m:t>
              </m:r>
            </m:sub>
          </m:sSub>
        </m:oMath>
      </m:oMathPara>
    </w:p>
    <w:p>
      <w:pPr>
        <w:pStyle w:val="FirstParagraph"/>
      </w:pPr>
      <w:r>
        <w:t xml:space="preserve">where</w:t>
      </w:r>
      <w:r>
        <w:t xml:space="preserve"> </w:t>
      </w:r>
      <m:oMath>
        <m:sSub>
          <m:e>
            <m:r>
              <m:t>a</m:t>
            </m:r>
          </m:e>
          <m:sub>
            <m:r>
              <m:t>i</m:t>
            </m:r>
          </m:sub>
        </m:sSub>
      </m:oMath>
      <w:r>
        <w:t xml:space="preserve"> </w:t>
      </w:r>
      <w:r>
        <w:t xml:space="preserve">is the individual fixed effect,</w:t>
      </w:r>
      <w:r>
        <w:t xml:space="preserve"> </w:t>
      </w:r>
      <m:oMath>
        <m:sSub>
          <m:e>
            <m:r>
              <m:t>a</m:t>
            </m:r>
          </m:e>
          <m:sub>
            <m:r>
              <m:t>t</m:t>
            </m:r>
          </m:sub>
        </m:sSub>
      </m:oMath>
      <w:r>
        <w:t xml:space="preserve"> </w:t>
      </w:r>
      <w:r>
        <w:t xml:space="preserve">is a time fixed effect, and</w:t>
      </w:r>
      <w:r>
        <w:t xml:space="preserve"> </w:t>
      </w:r>
      <m:oMath>
        <m:sSub>
          <m:e>
            <m:r>
              <m:t>e</m:t>
            </m:r>
          </m:e>
          <m:sub>
            <m:r>
              <m:t>i</m:t>
            </m:r>
            <m:r>
              <m:t>t</m:t>
            </m:r>
          </m:sub>
        </m:sSub>
      </m:oMath>
      <w:r>
        <w:t xml:space="preserve"> </w:t>
      </w:r>
      <w:r>
        <w:t xml:space="preserve">is an individual level iid error.</w:t>
      </w:r>
      <w:r>
        <w:t xml:space="preserve"> </w:t>
      </w:r>
      <m:oMath>
        <m:sSub>
          <m:e>
            <m:r>
              <m:t>D</m:t>
            </m:r>
          </m:e>
          <m:sub>
            <m:r>
              <m:t>i</m:t>
            </m:r>
            <m:r>
              <m:t>t</m:t>
            </m:r>
          </m:sub>
        </m:sSub>
      </m:oMath>
      <w:r>
        <w:t xml:space="preserve"> </w:t>
      </w:r>
      <w:r>
        <w:t xml:space="preserve">is a dummy variable that takes the value of 1 after a unit is treated.</w:t>
      </w:r>
    </w:p>
    <w:p>
      <w:pPr>
        <w:pStyle w:val="BodyText"/>
      </w:pPr>
      <w:r>
        <w:t xml:space="preserve">Notice that here, the treatment effect fully heterogeneous.</w:t>
      </w:r>
    </w:p>
    <w:p>
      <w:pPr>
        <w:numPr>
          <w:ilvl w:val="0"/>
          <w:numId w:val="1002"/>
        </w:numPr>
      </w:pPr>
      <w:r>
        <w:t xml:space="preserve">Once a unit has been treated, it remains so, even if the effect eventually fades away. (if</w:t>
      </w:r>
      <w:r>
        <w:t xml:space="preserve"> </w:t>
      </w:r>
      <m:oMath>
        <m:sSub>
          <m:e>
            <m:r>
              <m:t>D</m:t>
            </m:r>
          </m:e>
          <m:sub>
            <m:r>
              <m:t>i</m:t>
            </m:r>
            <m:r>
              <m:t>t</m:t>
            </m:r>
          </m:sub>
        </m:sSub>
        <m:r>
          <m:rPr>
            <m:sty m:val="p"/>
          </m:rPr>
          <m:t>=</m:t>
        </m:r>
        <m:r>
          <m:t>1</m:t>
        </m:r>
        <m:r>
          <m:rPr>
            <m:sty m:val="p"/>
          </m:rPr>
          <m:t>→</m:t>
        </m:r>
        <m:sSub>
          <m:e>
            <m:r>
              <m:t>D</m:t>
            </m:r>
          </m:e>
          <m:sub>
            <m:r>
              <m:t>i</m:t>
            </m:r>
            <m:r>
              <m:t>s</m:t>
            </m:r>
          </m:sub>
        </m:sSub>
        <m:r>
          <m:rPr>
            <m:sty m:val="p"/>
          </m:rPr>
          <m:t>=</m:t>
        </m:r>
        <m:r>
          <m:t>1</m:t>
        </m:r>
        <m:r>
          <m:t> </m:t>
        </m:r>
        <m:r>
          <m:rPr>
            <m:sty m:val="p"/>
          </m:rPr>
          <m:t>∀</m:t>
        </m:r>
        <m:r>
          <m:t> </m:t>
        </m:r>
        <m:r>
          <m:t>s</m:t>
        </m:r>
        <m:r>
          <m:rPr>
            <m:sty m:val="p"/>
          </m:rPr>
          <m:t>&gt;</m:t>
        </m:r>
        <m:r>
          <m:t>t</m:t>
        </m:r>
      </m:oMath>
      <w:r>
        <w:t xml:space="preserve">)</w:t>
      </w:r>
    </w:p>
    <w:p>
      <w:pPr>
        <w:numPr>
          <w:ilvl w:val="0"/>
          <w:numId w:val="1002"/>
        </w:numPr>
      </w:pPr>
      <w:r>
        <w:t xml:space="preserve">There is variation in treatment timing, and as a result, the treatment dummy is not activated for everyone at the same time.</w:t>
      </w:r>
    </w:p>
    <w:p>
      <w:pPr>
        <w:numPr>
          <w:ilvl w:val="0"/>
          <w:numId w:val="1002"/>
        </w:numPr>
      </w:pPr>
      <w:r>
        <w:t xml:space="preserve">Assume there are no controls.</w:t>
      </w:r>
    </w:p>
    <w:p>
      <w:pPr>
        <w:pStyle w:val="FirstParagraph"/>
      </w:pPr>
      <w:r>
        <w:t xml:space="preserve">Under this conditions, lets simulate a simple dataset with this characteristics:</w:t>
      </w:r>
    </w:p>
    <w:p>
      <w:pPr>
        <w:pStyle w:val="SourceCode"/>
      </w:pPr>
      <w:r>
        <w:rPr>
          <w:rStyle w:val="KeywordTok"/>
        </w:rPr>
        <w:t xml:space="preserve">clear</w:t>
      </w:r>
      <w:r>
        <w:br/>
      </w:r>
      <w:r>
        <w:rPr>
          <w:rStyle w:val="KeywordTok"/>
        </w:rPr>
        <w:t xml:space="preserve">set</w:t>
      </w:r>
      <w:r>
        <w:rPr>
          <w:rStyle w:val="NormalTok"/>
        </w:rPr>
        <w:t xml:space="preserve"> </w:t>
      </w:r>
      <w:r>
        <w:rPr>
          <w:rStyle w:val="DecValTok"/>
        </w:rPr>
        <w:t xml:space="preserve">linesize</w:t>
      </w:r>
      <w:r>
        <w:rPr>
          <w:rStyle w:val="NormalTok"/>
        </w:rPr>
        <w:t xml:space="preserve"> 250</w:t>
      </w:r>
      <w:r>
        <w:br/>
      </w:r>
      <w:r>
        <w:rPr>
          <w:rStyle w:val="KeywordTok"/>
        </w:rPr>
        <w:t xml:space="preserve">set</w:t>
      </w:r>
      <w:r>
        <w:rPr>
          <w:rStyle w:val="NormalTok"/>
        </w:rPr>
        <w:t xml:space="preserve"> </w:t>
      </w:r>
      <w:r>
        <w:rPr>
          <w:rStyle w:val="DecValTok"/>
        </w:rPr>
        <w:t xml:space="preserve">seed</w:t>
      </w:r>
      <w:r>
        <w:rPr>
          <w:rStyle w:val="NormalTok"/>
        </w:rPr>
        <w:t xml:space="preserve">     111</w:t>
      </w:r>
      <w:r>
        <w:br/>
      </w:r>
      <w:r>
        <w:rPr>
          <w:rStyle w:val="KeywordTok"/>
        </w:rPr>
        <w:t xml:space="preserve">set</w:t>
      </w:r>
      <w:r>
        <w:rPr>
          <w:rStyle w:val="NormalTok"/>
        </w:rPr>
        <w:t xml:space="preserve"> sortseed 111</w:t>
      </w:r>
      <w:r>
        <w:br/>
      </w:r>
      <w:r>
        <w:rPr>
          <w:rStyle w:val="KeywordTok"/>
        </w:rPr>
        <w:t xml:space="preserve">set</w:t>
      </w:r>
      <w:r>
        <w:rPr>
          <w:rStyle w:val="NormalTok"/>
        </w:rPr>
        <w:t xml:space="preserve"> </w:t>
      </w:r>
      <w:r>
        <w:rPr>
          <w:rStyle w:val="KeywordTok"/>
        </w:rPr>
        <w:t xml:space="preserve">obs</w:t>
      </w:r>
      <w:r>
        <w:rPr>
          <w:rStyle w:val="NormalTok"/>
        </w:rPr>
        <w:t xml:space="preserve"> 100  </w:t>
      </w:r>
      <w:r>
        <w:rPr>
          <w:rStyle w:val="CommentTok"/>
        </w:rPr>
        <w:t xml:space="preserve">// &lt;- 100 units</w:t>
      </w:r>
      <w:r>
        <w:br/>
      </w:r>
      <w:r>
        <w:rPr>
          <w:rStyle w:val="KeywordTok"/>
        </w:rPr>
        <w:t xml:space="preserve">gen</w:t>
      </w:r>
      <w:r>
        <w:rPr>
          <w:rStyle w:val="NormalTok"/>
        </w:rPr>
        <w:t xml:space="preserve"> id = </w:t>
      </w:r>
      <w:r>
        <w:rPr>
          <w:rStyle w:val="DataTypeTok"/>
        </w:rPr>
        <w:t xml:space="preserve">_n</w:t>
      </w:r>
      <w:r>
        <w:br/>
      </w:r>
      <w:r>
        <w:rPr>
          <w:rStyle w:val="KeywordTok"/>
        </w:rPr>
        <w:t xml:space="preserve">gen</w:t>
      </w:r>
      <w:r>
        <w:rPr>
          <w:rStyle w:val="NormalTok"/>
        </w:rPr>
        <w:t xml:space="preserve"> ai = rchi2(2)</w:t>
      </w:r>
      <w:r>
        <w:br/>
      </w:r>
      <w:r>
        <w:rPr>
          <w:rStyle w:val="CommentTok"/>
        </w:rPr>
        <w:t xml:space="preserve">// determines When would units receive treatment</w:t>
      </w:r>
      <w:r>
        <w:br/>
      </w:r>
      <w:r>
        <w:rPr>
          <w:rStyle w:val="KeywordTok"/>
        </w:rPr>
        <w:t xml:space="preserve">gen</w:t>
      </w:r>
      <w:r>
        <w:rPr>
          <w:rStyle w:val="NormalTok"/>
        </w:rPr>
        <w:t xml:space="preserve">     g = runiformint(2,10)</w:t>
      </w:r>
      <w:r>
        <w:br/>
      </w:r>
      <w:r>
        <w:rPr>
          <w:rStyle w:val="KeywordTok"/>
        </w:rPr>
        <w:t xml:space="preserve">replace</w:t>
      </w:r>
      <w:r>
        <w:rPr>
          <w:rStyle w:val="NormalTok"/>
        </w:rPr>
        <w:t xml:space="preserve"> g = 0 </w:t>
      </w:r>
      <w:r>
        <w:rPr>
          <w:rStyle w:val="KeywordTok"/>
        </w:rPr>
        <w:t xml:space="preserve">if</w:t>
      </w:r>
      <w:r>
        <w:rPr>
          <w:rStyle w:val="NormalTok"/>
        </w:rPr>
        <w:t xml:space="preserve"> g&gt;9   </w:t>
      </w:r>
      <w:r>
        <w:rPr>
          <w:rStyle w:val="CommentTok"/>
        </w:rPr>
        <w:t xml:space="preserve">// never treated       </w:t>
      </w:r>
      <w:r>
        <w:br/>
      </w:r>
      <w:r>
        <w:rPr>
          <w:rStyle w:val="NormalTok"/>
        </w:rPr>
        <w:t xml:space="preserve">expand 10   </w:t>
      </w:r>
      <w:r>
        <w:rPr>
          <w:rStyle w:val="CommentTok"/>
        </w:rPr>
        <w:t xml:space="preserve">// &lt;-T=10</w:t>
      </w:r>
      <w:r>
        <w:br/>
      </w:r>
      <w:r>
        <w:rPr>
          <w:rStyle w:val="KeywordTok"/>
        </w:rPr>
        <w:t xml:space="preserve">bysort</w:t>
      </w:r>
      <w:r>
        <w:rPr>
          <w:rStyle w:val="NormalTok"/>
        </w:rPr>
        <w:t xml:space="preserve"> id:</w:t>
      </w:r>
      <w:r>
        <w:rPr>
          <w:rStyle w:val="KeywordTok"/>
        </w:rPr>
        <w:t xml:space="preserve">gen</w:t>
      </w:r>
      <w:r>
        <w:rPr>
          <w:rStyle w:val="NormalTok"/>
        </w:rPr>
        <w:t xml:space="preserve"> t=</w:t>
      </w:r>
      <w:r>
        <w:rPr>
          <w:rStyle w:val="DataTypeTok"/>
        </w:rPr>
        <w:t xml:space="preserve">_n</w:t>
      </w:r>
      <w:r>
        <w:rPr>
          <w:rStyle w:val="NormalTok"/>
        </w:rPr>
        <w:t xml:space="preserve"> </w:t>
      </w:r>
      <w:r>
        <w:br/>
      </w:r>
      <w:r>
        <w:rPr>
          <w:rStyle w:val="KeywordTok"/>
        </w:rPr>
        <w:t xml:space="preserve">gen</w:t>
      </w:r>
      <w:r>
        <w:rPr>
          <w:rStyle w:val="NormalTok"/>
        </w:rPr>
        <w:t xml:space="preserve"> event = </w:t>
      </w:r>
      <w:r>
        <w:rPr>
          <w:rStyle w:val="FunctionTok"/>
        </w:rPr>
        <w:t xml:space="preserve">max</w:t>
      </w:r>
      <w:r>
        <w:rPr>
          <w:rStyle w:val="NormalTok"/>
        </w:rPr>
        <w:t xml:space="preserve">(0,t-g)</w:t>
      </w:r>
      <w:r>
        <w:br/>
      </w:r>
      <w:r>
        <w:rPr>
          <w:rStyle w:val="KeywordTok"/>
        </w:rPr>
        <w:t xml:space="preserve">gen</w:t>
      </w:r>
      <w:r>
        <w:rPr>
          <w:rStyle w:val="NormalTok"/>
        </w:rPr>
        <w:t xml:space="preserve"> aux = runiform()*2</w:t>
      </w:r>
      <w:r>
        <w:br/>
      </w:r>
      <w:r>
        <w:rPr>
          <w:rStyle w:val="KeywordTok"/>
        </w:rPr>
        <w:t xml:space="preserve">bysort</w:t>
      </w:r>
      <w:r>
        <w:rPr>
          <w:rStyle w:val="NormalTok"/>
        </w:rPr>
        <w:t xml:space="preserve"> t:</w:t>
      </w:r>
      <w:r>
        <w:rPr>
          <w:rStyle w:val="KeywordTok"/>
        </w:rPr>
        <w:t xml:space="preserve">gen</w:t>
      </w:r>
      <w:r>
        <w:rPr>
          <w:rStyle w:val="NormalTok"/>
        </w:rPr>
        <w:t xml:space="preserve"> </w:t>
      </w:r>
      <w:r>
        <w:rPr>
          <w:rStyle w:val="FunctionTok"/>
        </w:rPr>
        <w:t xml:space="preserve">at</w:t>
      </w:r>
      <w:r>
        <w:rPr>
          <w:rStyle w:val="NormalTok"/>
        </w:rPr>
        <w:t xml:space="preserve"> = aux[1] </w:t>
      </w:r>
      <w:r>
        <w:rPr>
          <w:rStyle w:val="CommentTok"/>
        </w:rPr>
        <w:t xml:space="preserve">// Determines Time fixed effect</w:t>
      </w:r>
      <w:r>
        <w:br/>
      </w:r>
      <w:r>
        <w:rPr>
          <w:rStyle w:val="KeywordTok"/>
        </w:rPr>
        <w:t xml:space="preserve">gen</w:t>
      </w:r>
      <w:r>
        <w:rPr>
          <w:rStyle w:val="NormalTok"/>
        </w:rPr>
        <w:t xml:space="preserve"> </w:t>
      </w:r>
      <w:r>
        <w:rPr>
          <w:rStyle w:val="KeywordTok"/>
        </w:rPr>
        <w:t xml:space="preserve">te</w:t>
      </w:r>
      <w:r>
        <w:rPr>
          <w:rStyle w:val="NormalTok"/>
        </w:rPr>
        <w:t xml:space="preserve"> = (1-g/10)+(1-event/10)  </w:t>
      </w:r>
      <w:r>
        <w:br/>
      </w:r>
      <w:r>
        <w:rPr>
          <w:rStyle w:val="CommentTok"/>
        </w:rPr>
        <w:t xml:space="preserve">// Treatment effect but vanishes with time</w:t>
      </w:r>
      <w:r>
        <w:br/>
      </w:r>
      <w:r>
        <w:rPr>
          <w:rStyle w:val="KeywordTok"/>
        </w:rPr>
        <w:t xml:space="preserve">gen</w:t>
      </w:r>
      <w:r>
        <w:rPr>
          <w:rStyle w:val="NormalTok"/>
        </w:rPr>
        <w:t xml:space="preserve"> eit= rnormal()</w:t>
      </w:r>
      <w:r>
        <w:br/>
      </w:r>
      <w:r>
        <w:rPr>
          <w:rStyle w:val="KeywordTok"/>
        </w:rPr>
        <w:t xml:space="preserve">gen</w:t>
      </w:r>
      <w:r>
        <w:rPr>
          <w:rStyle w:val="NormalTok"/>
        </w:rPr>
        <w:t xml:space="preserve"> trt  = (t&gt;=g)*(g&gt;0)</w:t>
      </w:r>
      <w:r>
        <w:br/>
      </w:r>
      <w:r>
        <w:rPr>
          <w:rStyle w:val="KeywordTok"/>
        </w:rPr>
        <w:t xml:space="preserve">gen</w:t>
      </w:r>
      <w:r>
        <w:rPr>
          <w:rStyle w:val="NormalTok"/>
        </w:rPr>
        <w:t xml:space="preserve"> teff = </w:t>
      </w:r>
      <w:r>
        <w:rPr>
          <w:rStyle w:val="KeywordTok"/>
        </w:rPr>
        <w:t xml:space="preserve">te</w:t>
      </w:r>
      <w:r>
        <w:rPr>
          <w:rStyle w:val="NormalTok"/>
        </w:rPr>
        <w:t xml:space="preserve"> * trt </w:t>
      </w:r>
      <w:r>
        <w:br/>
      </w:r>
      <w:r>
        <w:rPr>
          <w:rStyle w:val="KeywordTok"/>
        </w:rPr>
        <w:t xml:space="preserve">gen</w:t>
      </w:r>
      <w:r>
        <w:rPr>
          <w:rStyle w:val="NormalTok"/>
        </w:rPr>
        <w:t xml:space="preserve"> </w:t>
      </w:r>
      <w:r>
        <w:rPr>
          <w:rStyle w:val="FunctionTok"/>
        </w:rPr>
        <w:t xml:space="preserve">y</w:t>
      </w:r>
      <w:r>
        <w:rPr>
          <w:rStyle w:val="NormalTok"/>
        </w:rPr>
        <w:t xml:space="preserve"> = ai + </w:t>
      </w:r>
      <w:r>
        <w:rPr>
          <w:rStyle w:val="FunctionTok"/>
        </w:rPr>
        <w:t xml:space="preserve">at</w:t>
      </w:r>
      <w:r>
        <w:rPr>
          <w:rStyle w:val="NormalTok"/>
        </w:rPr>
        <w:t xml:space="preserve"> + </w:t>
      </w:r>
      <w:r>
        <w:rPr>
          <w:rStyle w:val="KeywordTok"/>
        </w:rPr>
        <w:t xml:space="preserve">te</w:t>
      </w:r>
      <w:r>
        <w:rPr>
          <w:rStyle w:val="NormalTok"/>
        </w:rPr>
        <w:t xml:space="preserve"> * trt + eit</w:t>
      </w:r>
    </w:p>
    <w:p>
      <w:pPr>
        <w:pStyle w:val="SourceCode"/>
      </w:pPr>
      <w:r>
        <w:rPr>
          <w:rStyle w:val="VerbatimChar"/>
        </w:rPr>
        <w:t xml:space="preserve">&lt;IPython.core.display.HTML object&gt;</w:t>
      </w:r>
    </w:p>
    <w:p>
      <w:pPr>
        <w:pStyle w:val="SourceCode"/>
      </w:pPr>
      <w:r>
        <w:rPr>
          <w:rStyle w:val="VerbatimChar"/>
        </w:rPr>
        <w:t xml:space="preserve">Number of observations (_N) was 0, now 100.</w:t>
      </w:r>
      <w:r>
        <w:br/>
      </w:r>
      <w:r>
        <w:rPr>
          <w:rStyle w:val="VerbatimChar"/>
        </w:rPr>
        <w:t xml:space="preserve">(18 real changes made)</w:t>
      </w:r>
      <w:r>
        <w:br/>
      </w:r>
      <w:r>
        <w:rPr>
          <w:rStyle w:val="VerbatimChar"/>
        </w:rPr>
        <w:t xml:space="preserve">(900 observations created)</w:t>
      </w:r>
    </w:p>
    <w:p>
      <w:pPr>
        <w:pStyle w:val="FirstParagraph"/>
      </w:pPr>
      <w:r>
        <w:t xml:space="preserve">The simulated data will follow 100 units over a span of 10 periods. Each unit is assigned to receive treatment at some point between periods 2 and 9, while 1/10 of the sample is not treated at all.</w:t>
      </w:r>
    </w:p>
    <w:p>
      <w:pPr>
        <w:pStyle w:val="BodyText"/>
      </w:pPr>
      <w:r>
        <w:t xml:space="preserve">The impact of the treatment depends on two factors: the timing of treatment and the duration of treatment. The treatment effect becomes smaller the later a unit is treated, and as a unit is treated for longer durations.</w:t>
      </w:r>
    </w:p>
    <w:bookmarkEnd w:id="21"/>
    <w:bookmarkStart w:id="23" w:name="two-steps-did"/>
    <w:p>
      <w:pPr>
        <w:pStyle w:val="Heading3"/>
      </w:pPr>
      <w:r>
        <w:t xml:space="preserve">Two-Steps DID</w:t>
      </w:r>
    </w:p>
    <w:bookmarkStart w:id="22" w:name="X4729572eb5fece1cf88d9141ef186a3e6c403fe"/>
    <w:p>
      <w:pPr>
        <w:pStyle w:val="Heading4"/>
      </w:pPr>
      <w:r>
        <w:t xml:space="preserve">Gardner (2022)</w:t>
      </w:r>
      <w:r>
        <w:t xml:space="preserve"> </w:t>
      </w:r>
      <w:r>
        <w:rPr>
          <w:rStyle w:val="VerbatimChar"/>
        </w:rPr>
        <w:t xml:space="preserve">did2s</w:t>
      </w:r>
      <w:r>
        <w:t xml:space="preserve"> </w:t>
      </w:r>
      <w:r>
        <w:t xml:space="preserve">&amp;</w:t>
      </w:r>
      <w:r>
        <w:t xml:space="preserve"> </w:t>
      </w:r>
      <w:r>
        <w:t xml:space="preserve">Borusyak, Jaravel, and Spiess (2022)</w:t>
      </w:r>
      <w:r>
        <w:t xml:space="preserve"> </w:t>
      </w:r>
      <w:r>
        <w:rPr>
          <w:rStyle w:val="VerbatimChar"/>
        </w:rPr>
        <w:t xml:space="preserve">did_imputation</w:t>
      </w:r>
    </w:p>
    <w:p>
      <w:pPr>
        <w:pStyle w:val="FirstParagraph"/>
      </w:pPr>
      <w:r>
        <w:t xml:space="preserve">Let’s start by desribing one of the solutions solutions: the two-step DID, also referred to as the imputation approach. This strategy is explained and explored by two notable papers:</w:t>
      </w:r>
      <w:r>
        <w:t xml:space="preserve"> </w:t>
      </w:r>
      <w:r>
        <w:t xml:space="preserve">Gardner (2022)</w:t>
      </w:r>
      <w:r>
        <w:t xml:space="preserve"> </w:t>
      </w:r>
      <w:r>
        <w:t xml:space="preserve">and</w:t>
      </w:r>
      <w:r>
        <w:t xml:space="preserve"> </w:t>
      </w:r>
      <w:r>
        <w:t xml:space="preserve">Borusyak, Jaravel, and Spiess (2022)</w:t>
      </w:r>
      <w:r>
        <w:t xml:space="preserve">.</w:t>
      </w:r>
    </w:p>
    <w:p>
      <w:pPr>
        <w:pStyle w:val="BodyText"/>
      </w:pPr>
      <w:r>
        <w:t xml:space="preserve">As the name implies, this approach aims to estimate treatment effects in a design with multiple groups treated at various points in time by imputing the values of what would have occurred to those units if they were never subjected to treatment. To accomplish this, the authors suggest breaking down the identification problem into two steps to avoid the erroneous use of already treated units as controls.</w:t>
      </w:r>
    </w:p>
    <w:p>
      <w:pPr>
        <w:pStyle w:val="BodyText"/>
      </w:pPr>
      <w:r>
        <w:t xml:space="preserve">In the first step, one should only use units that have never been treated or have not yet been treated to model potential outcomes under the no-treatment scenario.</w:t>
      </w:r>
    </w:p>
    <w:p>
      <w:pPr>
        <w:pStyle w:val="BodyText"/>
      </w:pPr>
      <m:oMathPara>
        <m:oMathParaPr>
          <m:jc m:val="center"/>
        </m:oMathParaPr>
        <m:oMath>
          <m:sSub>
            <m:e>
              <m:r>
                <m:t>y</m:t>
              </m:r>
            </m:e>
            <m:sub>
              <m:r>
                <m:t>i</m:t>
              </m:r>
              <m:r>
                <m:t>t</m:t>
              </m:r>
            </m:sub>
          </m:sSub>
          <m:r>
            <m:rPr>
              <m:sty m:val="p"/>
            </m:rPr>
            <m:t>=</m:t>
          </m:r>
          <m:sSub>
            <m:e>
              <m:r>
                <m:t>a</m:t>
              </m:r>
            </m:e>
            <m:sub>
              <m:r>
                <m:t>i</m:t>
              </m:r>
            </m:sub>
          </m:sSub>
          <m:r>
            <m:rPr>
              <m:sty m:val="p"/>
            </m:rPr>
            <m:t>+</m:t>
          </m:r>
          <m:sSub>
            <m:e>
              <m:r>
                <m:t>a</m:t>
              </m:r>
            </m:e>
            <m:sub>
              <m:r>
                <m:t>t</m:t>
              </m:r>
            </m:sub>
          </m:sSub>
          <m:r>
            <m:rPr>
              <m:sty m:val="p"/>
            </m:rPr>
            <m:t>+</m:t>
          </m:r>
          <m:sSub>
            <m:e>
              <m:r>
                <m:t>e</m:t>
              </m:r>
            </m:e>
            <m:sub>
              <m:r>
                <m:t>i</m:t>
              </m:r>
              <m:r>
                <m:t>t</m:t>
              </m:r>
            </m:sub>
          </m:sSub>
          <m:r>
            <m:t> </m:t>
          </m:r>
          <m:r>
            <m:t>i</m:t>
          </m:r>
          <m:r>
            <m:t>f</m:t>
          </m:r>
          <m:r>
            <m:t> </m:t>
          </m:r>
          <m:r>
            <m:t>t</m:t>
          </m:r>
          <m:r>
            <m:rPr>
              <m:sty m:val="p"/>
            </m:rPr>
            <m:t>&lt;</m:t>
          </m:r>
          <m:r>
            <m:t>g</m:t>
          </m:r>
        </m:oMath>
      </m:oMathPara>
    </w:p>
    <w:p>
      <w:pPr>
        <w:pStyle w:val="FirstParagraph"/>
      </w:pPr>
      <w:r>
        <w:t xml:space="preserve">Doing this, the fixed effects</w:t>
      </w:r>
      <w:r>
        <w:t xml:space="preserve"> </w:t>
      </w:r>
      <m:oMath>
        <m:sSub>
          <m:e>
            <m:r>
              <m:t>a</m:t>
            </m:r>
          </m:e>
          <m:sub>
            <m:r>
              <m:t>i</m:t>
            </m:r>
          </m:sub>
        </m:sSub>
      </m:oMath>
      <w:r>
        <w:t xml:space="preserve"> </w:t>
      </w:r>
      <w:r>
        <w:t xml:space="preserve">and</w:t>
      </w:r>
      <w:r>
        <w:t xml:space="preserve"> </w:t>
      </w:r>
      <m:oMath>
        <m:sSub>
          <m:e>
            <m:r>
              <m:t>a</m:t>
            </m:r>
          </m:e>
          <m:sub>
            <m:r>
              <m:t>t</m:t>
            </m:r>
          </m:sub>
        </m:sSub>
      </m:oMath>
      <w:r>
        <w:t xml:space="preserve"> </w:t>
      </w:r>
      <w:r>
        <w:t xml:space="preserve">would not be contaminated by the treatment, because non of the units in the sample are treated.</w:t>
      </w:r>
    </w:p>
    <w:p>
      <w:pPr>
        <w:pStyle w:val="BodyText"/>
      </w:pPr>
      <w:r>
        <w:t xml:space="preserve">In the second step, individual-level treatment effects predictions can be obtained by simply computing the difference between the observed outcome under treatment and the prediction of the first step (</w:t>
      </w:r>
      <m:oMath>
        <m:sSub>
          <m:e>
            <m:acc>
              <m:accPr>
                <m:chr m:val="̂"/>
              </m:accPr>
              <m:e>
                <m:r>
                  <m:t>y</m:t>
                </m:r>
              </m:e>
            </m:acc>
          </m:e>
          <m:sub>
            <m:r>
              <m:t>i</m:t>
            </m:r>
            <m:r>
              <m:t>t</m:t>
            </m:r>
          </m:sub>
        </m:sSub>
        <m:r>
          <m:rPr>
            <m:sty m:val="p"/>
          </m:rPr>
          <m:t>=</m:t>
        </m:r>
        <m:sSub>
          <m:e>
            <m:acc>
              <m:accPr>
                <m:chr m:val="̂"/>
              </m:accPr>
              <m:e>
                <m:r>
                  <m:t>a</m:t>
                </m:r>
              </m:e>
            </m:acc>
          </m:e>
          <m:sub>
            <m:r>
              <m:t>i</m:t>
            </m:r>
          </m:sub>
        </m:sSub>
        <m:r>
          <m:rPr>
            <m:sty m:val="p"/>
          </m:rPr>
          <m:t>+</m:t>
        </m:r>
        <m:sSub>
          <m:e>
            <m:acc>
              <m:accPr>
                <m:chr m:val="̂"/>
              </m:accPr>
              <m:e>
                <m:r>
                  <m:t>a</m:t>
                </m:r>
              </m:e>
            </m:acc>
          </m:e>
          <m:sub>
            <m:r>
              <m:t>t</m:t>
            </m:r>
          </m:sub>
        </m:sSub>
      </m:oMath>
      <w:r>
        <w:t xml:space="preserve">), which represent the potential outcomes of those units if no treatment occured.</w:t>
      </w:r>
    </w:p>
    <w:p>
      <w:pPr>
        <w:pStyle w:val="BodyText"/>
      </w:pPr>
      <m:oMathPara>
        <m:oMathParaPr>
          <m:jc m:val="center"/>
        </m:oMathParaPr>
        <m:oMath>
          <m:sSub>
            <m:e>
              <m:r>
                <m:t>δ</m:t>
              </m:r>
            </m:e>
            <m:sub>
              <m:r>
                <m:t>i</m:t>
              </m:r>
              <m:r>
                <m:t>t</m:t>
              </m:r>
            </m:sub>
          </m:sSub>
          <m:r>
            <m:rPr>
              <m:sty m:val="p"/>
            </m:rPr>
            <m:t>=</m:t>
          </m:r>
          <m:sSub>
            <m:e>
              <m:r>
                <m:t>y</m:t>
              </m:r>
            </m:e>
            <m:sub>
              <m:r>
                <m:t>i</m:t>
              </m:r>
              <m:r>
                <m:t>t</m:t>
              </m:r>
            </m:sub>
          </m:sSub>
          <m:r>
            <m:rPr>
              <m:sty m:val="p"/>
            </m:rPr>
            <m:t>−</m:t>
          </m:r>
          <m:sSub>
            <m:e>
              <m:acc>
                <m:accPr>
                  <m:chr m:val="̂"/>
                </m:accPr>
                <m:e>
                  <m:r>
                    <m:t>a</m:t>
                  </m:r>
                </m:e>
              </m:acc>
            </m:e>
            <m:sub>
              <m:r>
                <m:t>i</m:t>
              </m:r>
            </m:sub>
          </m:sSub>
          <m:r>
            <m:rPr>
              <m:sty m:val="p"/>
            </m:rPr>
            <m:t>−</m:t>
          </m:r>
          <m:sSub>
            <m:e>
              <m:acc>
                <m:accPr>
                  <m:chr m:val="̂"/>
                </m:accPr>
                <m:e>
                  <m:r>
                    <m:t>a</m:t>
                  </m:r>
                </m:e>
              </m:acc>
            </m:e>
            <m:sub>
              <m:r>
                <m:t>t</m:t>
              </m:r>
            </m:sub>
          </m:sSub>
        </m:oMath>
      </m:oMathPara>
    </w:p>
    <w:p>
      <w:pPr>
        <w:pStyle w:val="FirstParagraph"/>
      </w:pPr>
      <w:r>
        <w:t xml:space="preserve">Because unit level treatment effects are not useful for statistical inference, one can use aggregations to obtain standard errors or aggregates we are more familiar with: Average treatment effect on treated, dynamic effects, etc.</w:t>
      </w:r>
    </w:p>
    <w:p>
      <w:pPr>
        <w:pStyle w:val="BodyText"/>
      </w:pPr>
      <w:r>
        <w:t xml:space="preserve">To correctly estimate standard errors, both steps should be estimated simulatenously, so that the estimation error from the first stage can propagate to the second stage. While you can use</w:t>
      </w:r>
      <w:r>
        <w:t xml:space="preserve"> </w:t>
      </w:r>
      <w:r>
        <w:rPr>
          <w:rStyle w:val="VerbatimChar"/>
        </w:rPr>
        <w:t xml:space="preserve">did2s</w:t>
      </w:r>
      <w:r>
        <w:t xml:space="preserve"> </w:t>
      </w:r>
      <w:r>
        <w:t xml:space="preserve">or</w:t>
      </w:r>
      <w:r>
        <w:t xml:space="preserve"> </w:t>
      </w:r>
      <w:r>
        <w:rPr>
          <w:rStyle w:val="VerbatimChar"/>
        </w:rPr>
        <w:t xml:space="preserve">did_imputation</w:t>
      </w:r>
      <w:r>
        <w:t xml:space="preserve">, I will show you the code using</w:t>
      </w:r>
      <w:r>
        <w:t xml:space="preserve"> </w:t>
      </w:r>
      <w:r>
        <w:rPr>
          <w:rStyle w:val="VerbatimChar"/>
        </w:rPr>
        <w:t xml:space="preserve">gmm</w:t>
      </w:r>
      <w:r>
        <w:t xml:space="preserve">, so you can see how the whole system would work.</w:t>
      </w:r>
    </w:p>
    <w:p>
      <w:pPr>
        <w:pStyle w:val="BodyText"/>
      </w:pPr>
      <w:r>
        <w:t xml:space="preserve">In the following code line (1) identifies the individual and time FE using only notyet treated units (trt=0). Line 2 uses tha to substract from</w:t>
      </w:r>
      <w:r>
        <w:t xml:space="preserve"> </w:t>
      </w:r>
      <m:oMath>
        <m:r>
          <m:t>y</m:t>
        </m:r>
      </m:oMath>
      <w:r>
        <w:t xml:space="preserve"> </w:t>
      </w:r>
      <w:r>
        <w:t xml:space="preserve">and identify the treatment effect (ATT). Lines 3 and 4 provides information to gmm to estimate the model and standard errors:</w:t>
      </w:r>
    </w:p>
    <w:p>
      <w:pPr>
        <w:pStyle w:val="SourceCode"/>
      </w:pPr>
      <w:r>
        <w:rPr>
          <w:rStyle w:val="NormalTok"/>
        </w:rPr>
        <w:t xml:space="preserve">gmm ((</w:t>
      </w:r>
      <w:r>
        <w:rPr>
          <w:rStyle w:val="FunctionTok"/>
        </w:rPr>
        <w:t xml:space="preserve">y</w:t>
      </w:r>
      <w:r>
        <w:rPr>
          <w:rStyle w:val="NormalTok"/>
        </w:rPr>
        <w:t xml:space="preserve">-{a0}-{a_i:i.g}-{a_t:i.t})*(trt==0))     </w:t>
      </w:r>
      <w:r>
        <w:rPr>
          <w:rStyle w:val="CommentTok"/>
        </w:rPr>
        <w:t xml:space="preserve">/// </w:t>
      </w:r>
      <w:r>
        <w:br/>
      </w:r>
      <w:r>
        <w:rPr>
          <w:rStyle w:val="NormalTok"/>
        </w:rPr>
        <w:t xml:space="preserve">    ((</w:t>
      </w:r>
      <w:r>
        <w:rPr>
          <w:rStyle w:val="FunctionTok"/>
        </w:rPr>
        <w:t xml:space="preserve">y</w:t>
      </w:r>
      <w:r>
        <w:rPr>
          <w:rStyle w:val="NormalTok"/>
        </w:rPr>
        <w:t xml:space="preserve">-{a0}-{a_i:}   -{a_t:}    -{att:trt})) , </w:t>
      </w:r>
      <w:r>
        <w:rPr>
          <w:rStyle w:val="CommentTok"/>
        </w:rPr>
        <w:t xml:space="preserve">/// </w:t>
      </w:r>
      <w:r>
        <w:br/>
      </w:r>
      <w:r>
        <w:rPr>
          <w:rStyle w:val="NormalTok"/>
        </w:rPr>
        <w:t xml:space="preserve">    winitial(</w:t>
      </w:r>
      <w:r>
        <w:rPr>
          <w:rStyle w:val="KeywordTok"/>
        </w:rPr>
        <w:t xml:space="preserve">identity</w:t>
      </w:r>
      <w:r>
        <w:rPr>
          <w:rStyle w:val="NormalTok"/>
        </w:rPr>
        <w:t xml:space="preserve">)  instruments(1:i.g i.t) instruments(2: trt) </w:t>
      </w:r>
      <w:r>
        <w:rPr>
          <w:rStyle w:val="CommentTok"/>
        </w:rPr>
        <w:t xml:space="preserve">/// </w:t>
      </w:r>
      <w:r>
        <w:br/>
      </w:r>
      <w:r>
        <w:rPr>
          <w:rStyle w:val="NormalTok"/>
        </w:rPr>
        <w:t xml:space="preserve">    onestep quickderivatives </w:t>
      </w:r>
      <w:r>
        <w:rPr>
          <w:rStyle w:val="KeywordTok"/>
        </w:rPr>
        <w:t xml:space="preserve">vce</w:t>
      </w:r>
      <w:r>
        <w:rPr>
          <w:rStyle w:val="NormalTok"/>
        </w:rPr>
        <w:t xml:space="preserve">(</w:t>
      </w:r>
      <w:r>
        <w:rPr>
          <w:rStyle w:val="KeywordTok"/>
        </w:rPr>
        <w:t xml:space="preserve">cluster</w:t>
      </w:r>
      <w:r>
        <w:rPr>
          <w:rStyle w:val="NormalTok"/>
        </w:rPr>
        <w:t xml:space="preserve"> i)  </w:t>
      </w:r>
    </w:p>
    <w:p>
      <w:pPr>
        <w:pStyle w:val="SourceCode"/>
      </w:pPr>
      <w:r>
        <w:br/>
      </w:r>
      <w:r>
        <w:rPr>
          <w:rStyle w:val="VerbatimChar"/>
        </w:rPr>
        <w:t xml:space="preserve">Step 1</w:t>
      </w:r>
    </w:p>
    <w:p>
      <w:pPr>
        <w:pStyle w:val="SourceCode"/>
      </w:pPr>
      <w:r>
        <w:rPr>
          <w:rStyle w:val="VerbatimChar"/>
        </w:rPr>
        <w:t xml:space="preserve">Iteration 0:   GMM criterion Q(b) =  19.725543  </w:t>
      </w:r>
    </w:p>
    <w:p>
      <w:pPr>
        <w:pStyle w:val="SourceCode"/>
      </w:pPr>
      <w:r>
        <w:rPr>
          <w:rStyle w:val="VerbatimChar"/>
        </w:rPr>
        <w:t xml:space="preserve">Iteration 1:   GMM criterion Q(b) =  5.816e-23  </w:t>
      </w:r>
    </w:p>
    <w:p>
      <w:pPr>
        <w:pStyle w:val="SourceCode"/>
      </w:pPr>
      <w:r>
        <w:rPr>
          <w:rStyle w:val="VerbatimChar"/>
        </w:rPr>
        <w:t xml:space="preserve">Iteration 2:   GMM criterion Q(b) =  9.081e-33  </w:t>
      </w:r>
    </w:p>
    <w:p>
      <w:pPr>
        <w:pStyle w:val="SourceCode"/>
      </w:pPr>
      <w:r>
        <w:br/>
      </w:r>
      <w:r>
        <w:rPr>
          <w:rStyle w:val="VerbatimChar"/>
        </w:rPr>
        <w:t xml:space="preserve">GMM estimation </w:t>
      </w:r>
      <w:r>
        <w:br/>
      </w:r>
      <w:r>
        <w:br/>
      </w:r>
      <w:r>
        <w:rPr>
          <w:rStyle w:val="VerbatimChar"/>
        </w:rPr>
        <w:t xml:space="preserve">Number of parameters =  19</w:t>
      </w:r>
      <w:r>
        <w:br/>
      </w:r>
      <w:r>
        <w:rPr>
          <w:rStyle w:val="VerbatimChar"/>
        </w:rPr>
        <w:t xml:space="preserve">Number of moments    =  20</w:t>
      </w:r>
      <w:r>
        <w:br/>
      </w:r>
      <w:r>
        <w:rPr>
          <w:rStyle w:val="VerbatimChar"/>
        </w:rPr>
        <w:t xml:space="preserve">Initial weight matrix: Identity                   Number of obs   =      1,000</w:t>
      </w:r>
    </w:p>
    <w:p>
      <w:pPr>
        <w:pStyle w:val="SourceCode"/>
      </w:pPr>
      <w:r>
        <w:rPr>
          <w:rStyle w:val="VerbatimChar"/>
        </w:rPr>
        <w:t xml:space="preserve">                                   (Std. err. adjusted for 100 clusters in id)</w:t>
      </w:r>
      <w:r>
        <w:br/>
      </w:r>
      <w:r>
        <w:rPr>
          <w:rStyle w:val="VerbatimChar"/>
        </w:rPr>
        <w:t xml:space="preserve">------------------------------------------------------------------------------</w:t>
      </w:r>
    </w:p>
    <w:p>
      <w:pPr>
        <w:pStyle w:val="SourceCode"/>
      </w:pPr>
      <w:r>
        <w:rPr>
          <w:rStyle w:val="VerbatimChar"/>
        </w:rPr>
        <w:t xml:space="preserve">             |               Robust</w:t>
      </w:r>
    </w:p>
    <w:p>
      <w:pPr>
        <w:pStyle w:val="SourceCode"/>
      </w:pPr>
      <w:r>
        <w:rPr>
          <w:rStyle w:val="VerbatimChar"/>
        </w:rPr>
        <w:t xml:space="preserve">             | Coefficient  std. err.      z    P&gt;|z|     [95% conf. interval]</w:t>
      </w:r>
      <w:r>
        <w:br/>
      </w:r>
      <w:r>
        <w:rPr>
          <w:rStyle w:val="VerbatimChar"/>
        </w:rPr>
        <w:t xml:space="preserve">-------------+----------------------------------------------------------------</w:t>
      </w:r>
      <w:r>
        <w:br/>
      </w:r>
      <w:r>
        <w:rPr>
          <w:rStyle w:val="VerbatimChar"/>
        </w:rPr>
        <w:t xml:space="preserve">a0           |</w:t>
      </w:r>
    </w:p>
    <w:p>
      <w:pPr>
        <w:pStyle w:val="SourceCode"/>
      </w:pPr>
      <w:r>
        <w:rPr>
          <w:rStyle w:val="VerbatimChar"/>
        </w:rPr>
        <w:t xml:space="preserve">       _cons |</w:t>
      </w:r>
    </w:p>
    <w:p>
      <w:pPr>
        <w:pStyle w:val="SourceCode"/>
      </w:pPr>
      <w:r>
        <w:rPr>
          <w:rStyle w:val="VerbatimChar"/>
        </w:rPr>
        <w:t xml:space="preserve">   3.146414   .6822892     4.61   0.000     1.809152    4.483677</w:t>
      </w:r>
      <w:r>
        <w:br/>
      </w:r>
      <w:r>
        <w:rPr>
          <w:rStyle w:val="VerbatimChar"/>
        </w:rPr>
        <w:t xml:space="preserve">-------------+----------------------------------------------------------------</w:t>
      </w:r>
      <w:r>
        <w:br/>
      </w:r>
      <w:r>
        <w:rPr>
          <w:rStyle w:val="VerbatimChar"/>
        </w:rPr>
        <w:t xml:space="preserve">a_i          |</w:t>
      </w:r>
      <w:r>
        <w:br/>
      </w:r>
      <w:r>
        <w:rPr>
          <w:rStyle w:val="VerbatimChar"/>
        </w:rPr>
        <w:t xml:space="preserve">           g |</w:t>
      </w:r>
      <w:r>
        <w:br/>
      </w:r>
      <w:r>
        <w:rPr>
          <w:rStyle w:val="VerbatimChar"/>
        </w:rPr>
        <w:t xml:space="preserve">          2  |  -1.329894   .9540798    -1.39   0.163    -3.199856    .5400685</w:t>
      </w:r>
      <w:r>
        <w:br/>
      </w:r>
      <w:r>
        <w:rPr>
          <w:rStyle w:val="VerbatimChar"/>
        </w:rPr>
        <w:t xml:space="preserve">          3  |   .3303121   .9832247     0.34   0.737    -1.596773    2.257397</w:t>
      </w:r>
      <w:r>
        <w:br/>
      </w:r>
      <w:r>
        <w:rPr>
          <w:rStyle w:val="VerbatimChar"/>
        </w:rPr>
        <w:t xml:space="preserve">          4  |  -.9533545   .8233816    -1.16   0.247    -2.567153    .6604439</w:t>
      </w:r>
      <w:r>
        <w:br/>
      </w:r>
      <w:r>
        <w:rPr>
          <w:rStyle w:val="VerbatimChar"/>
        </w:rPr>
        <w:t xml:space="preserve">          5  |  -.9570973   .8366389    -1.14   0.253    -2.596879    .6826848</w:t>
      </w:r>
      <w:r>
        <w:br/>
      </w:r>
      <w:r>
        <w:rPr>
          <w:rStyle w:val="VerbatimChar"/>
        </w:rPr>
        <w:t xml:space="preserve">          6  |    -.58129   .8707363    -0.67   0.504    -2.287902    1.125322</w:t>
      </w:r>
      <w:r>
        <w:br/>
      </w:r>
      <w:r>
        <w:rPr>
          <w:rStyle w:val="VerbatimChar"/>
        </w:rPr>
        <w:t xml:space="preserve">          7  |   .9916895   1.010794     0.98   0.327    -.9894297    2.972809</w:t>
      </w:r>
      <w:r>
        <w:br/>
      </w:r>
      <w:r>
        <w:rPr>
          <w:rStyle w:val="VerbatimChar"/>
        </w:rPr>
        <w:t xml:space="preserve">          8  |  -1.609291   .7437976    -2.16   0.030    -3.067108   -.1514746</w:t>
      </w:r>
    </w:p>
    <w:p>
      <w:pPr>
        <w:pStyle w:val="SourceCode"/>
      </w:pPr>
      <w:r>
        <w:rPr>
          <w:rStyle w:val="VerbatimChar"/>
        </w:rPr>
        <w:t xml:space="preserve">          9  |  -1.160353   1.033179    -1.12   0.261    -3.185346    .8646411</w:t>
      </w:r>
      <w:r>
        <w:br/>
      </w:r>
      <w:r>
        <w:rPr>
          <w:rStyle w:val="VerbatimChar"/>
        </w:rPr>
        <w:t xml:space="preserve">-------------+----------------------------------------------------------------</w:t>
      </w:r>
      <w:r>
        <w:br/>
      </w:r>
      <w:r>
        <w:rPr>
          <w:rStyle w:val="VerbatimChar"/>
        </w:rPr>
        <w:t xml:space="preserve">a_t          |</w:t>
      </w:r>
      <w:r>
        <w:br/>
      </w:r>
      <w:r>
        <w:rPr>
          <w:rStyle w:val="VerbatimChar"/>
        </w:rPr>
        <w:t xml:space="preserve">           t |</w:t>
      </w:r>
      <w:r>
        <w:br/>
      </w:r>
      <w:r>
        <w:rPr>
          <w:rStyle w:val="VerbatimChar"/>
        </w:rPr>
        <w:t xml:space="preserve">          2  |  -.0585438   .1385197    -0.42   0.673    -.3300374    .2129498</w:t>
      </w:r>
      <w:r>
        <w:br/>
      </w:r>
      <w:r>
        <w:rPr>
          <w:rStyle w:val="VerbatimChar"/>
        </w:rPr>
        <w:t xml:space="preserve">          3  |   -.213678   .1704212    -1.25   0.210    -.5476975    .1203415</w:t>
      </w:r>
      <w:r>
        <w:br/>
      </w:r>
      <w:r>
        <w:rPr>
          <w:rStyle w:val="VerbatimChar"/>
        </w:rPr>
        <w:t xml:space="preserve">          4  |  -.5752045   .1713895    -3.36   0.001    -.9111217   -.2392872</w:t>
      </w:r>
      <w:r>
        <w:br/>
      </w:r>
      <w:r>
        <w:rPr>
          <w:rStyle w:val="VerbatimChar"/>
        </w:rPr>
        <w:t xml:space="preserve">          5  |   .0842171   .1677747     0.50   0.616    -.2446152    .4130494</w:t>
      </w:r>
      <w:r>
        <w:br/>
      </w:r>
      <w:r>
        <w:rPr>
          <w:rStyle w:val="VerbatimChar"/>
        </w:rPr>
        <w:t xml:space="preserve">          6  |   .1190078   .1841714     0.65   0.518    -.2419615    .4799771</w:t>
      </w:r>
      <w:r>
        <w:br/>
      </w:r>
      <w:r>
        <w:rPr>
          <w:rStyle w:val="VerbatimChar"/>
        </w:rPr>
        <w:t xml:space="preserve">          7  |   1.000738   .2034229     4.92   0.000     .6020363    1.399439</w:t>
      </w:r>
      <w:r>
        <w:br/>
      </w:r>
      <w:r>
        <w:rPr>
          <w:rStyle w:val="VerbatimChar"/>
        </w:rPr>
        <w:t xml:space="preserve">          8  |  -.0146057   .2190799    -0.07   0.947    -.4439945    .4147831</w:t>
      </w:r>
      <w:r>
        <w:br/>
      </w:r>
      <w:r>
        <w:rPr>
          <w:rStyle w:val="VerbatimChar"/>
        </w:rPr>
        <w:t xml:space="preserve">          9  |   .9380065   .2007013     4.67   0.000     .5446391    1.331374</w:t>
      </w:r>
      <w:r>
        <w:br/>
      </w:r>
      <w:r>
        <w:rPr>
          <w:rStyle w:val="VerbatimChar"/>
        </w:rPr>
        <w:t xml:space="preserve">         10  |   .9572597   .2578496     3.71   0.000     .4518838    1.462636</w:t>
      </w:r>
      <w:r>
        <w:br/>
      </w:r>
      <w:r>
        <w:rPr>
          <w:rStyle w:val="VerbatimChar"/>
        </w:rPr>
        <w:t xml:space="preserve">-------------+----------------------------------------------------------------</w:t>
      </w:r>
      <w:r>
        <w:br/>
      </w:r>
      <w:r>
        <w:rPr>
          <w:rStyle w:val="VerbatimChar"/>
        </w:rPr>
        <w:t xml:space="preserve">att          |</w:t>
      </w:r>
      <w:r>
        <w:br/>
      </w:r>
      <w:r>
        <w:rPr>
          <w:rStyle w:val="VerbatimChar"/>
        </w:rPr>
        <w:t xml:space="preserve">         trt |   1.458058   .1493165     9.76   0.000     1.165403    1.750713</w:t>
      </w:r>
      <w:r>
        <w:br/>
      </w:r>
      <w:r>
        <w:rPr>
          <w:rStyle w:val="VerbatimChar"/>
        </w:rPr>
        <w:t xml:space="preserve">------------------------------------------------------------------------------</w:t>
      </w:r>
    </w:p>
    <w:p>
      <w:pPr>
        <w:pStyle w:val="SourceCode"/>
      </w:pPr>
      <w:r>
        <w:rPr>
          <w:rStyle w:val="VerbatimChar"/>
        </w:rPr>
        <w:t xml:space="preserve">Instruments for equation 1: 0b.g 2.g 3.g 4.g 5.g 6.g 7.g 8.g 9.g 1b.t 2.t 3.t 4.t 5.t 6.t 7.t 8.t 9.t 10.t _cons</w:t>
      </w:r>
      <w:r>
        <w:br/>
      </w:r>
      <w:r>
        <w:rPr>
          <w:rStyle w:val="VerbatimChar"/>
        </w:rPr>
        <w:t xml:space="preserve">Instruments for equation 2: trt _cons</w:t>
      </w:r>
    </w:p>
    <w:p>
      <w:pPr>
        <w:pStyle w:val="FirstParagraph"/>
      </w:pPr>
      <w:r>
        <w:t xml:space="preserve">You can compare this to the true effect:</w:t>
      </w:r>
    </w:p>
    <w:p>
      <w:pPr>
        <w:pStyle w:val="SourceCode"/>
      </w:pPr>
      <w:r>
        <w:rPr>
          <w:rStyle w:val="KeywordTok"/>
        </w:rPr>
        <w:t xml:space="preserve">sum</w:t>
      </w:r>
      <w:r>
        <w:rPr>
          <w:rStyle w:val="NormalTok"/>
        </w:rPr>
        <w:t xml:space="preserve"> teff </w:t>
      </w:r>
      <w:r>
        <w:rPr>
          <w:rStyle w:val="KeywordTok"/>
        </w:rPr>
        <w:t xml:space="preserve">if</w:t>
      </w:r>
      <w:r>
        <w:rPr>
          <w:rStyle w:val="NormalTok"/>
        </w:rPr>
        <w:t xml:space="preserve"> trt==1</w:t>
      </w:r>
    </w:p>
    <w:p>
      <w:pPr>
        <w:pStyle w:val="SourceCode"/>
      </w:pPr>
      <w:r>
        <w:br/>
      </w:r>
      <w:r>
        <w:rPr>
          <w:rStyle w:val="VerbatimChar"/>
        </w:rPr>
        <w:t xml:space="preserve">    Variable |        Obs        Mean    Std. dev.       Min        Max</w:t>
      </w:r>
      <w:r>
        <w:br/>
      </w:r>
      <w:r>
        <w:rPr>
          <w:rStyle w:val="VerbatimChar"/>
        </w:rPr>
        <w:t xml:space="preserve">-------------+---------------------------------------------------------</w:t>
      </w:r>
      <w:r>
        <w:br/>
      </w:r>
      <w:r>
        <w:rPr>
          <w:rStyle w:val="VerbatimChar"/>
        </w:rPr>
        <w:t xml:space="preserve">        teff |        472    1.280297    .2217799          1        1.8</w:t>
      </w:r>
    </w:p>
    <w:p>
      <w:pPr>
        <w:pStyle w:val="FirstParagraph"/>
      </w:pPr>
      <w:r>
        <w:t xml:space="preserve">One advantage of this approach is that you could model the second stage to allow other types of aggregations:</w:t>
      </w:r>
    </w:p>
    <w:p>
      <w:pPr>
        <w:pStyle w:val="SourceCode"/>
      </w:pPr>
      <w:r>
        <w:rPr>
          <w:rStyle w:val="KeywordTok"/>
        </w:rPr>
        <w:t xml:space="preserve">gen</w:t>
      </w:r>
      <w:r>
        <w:rPr>
          <w:rStyle w:val="NormalTok"/>
        </w:rPr>
        <w:t xml:space="preserve"> g0=g*trt    </w:t>
      </w:r>
      <w:r>
        <w:br/>
      </w:r>
      <w:r>
        <w:rPr>
          <w:rStyle w:val="KeywordTok"/>
        </w:rPr>
        <w:t xml:space="preserve">gen</w:t>
      </w:r>
      <w:r>
        <w:rPr>
          <w:rStyle w:val="NormalTok"/>
        </w:rPr>
        <w:t xml:space="preserve"> t0=t*trt</w:t>
      </w:r>
      <w:r>
        <w:br/>
      </w:r>
      <w:r>
        <w:rPr>
          <w:rStyle w:val="NormalTok"/>
        </w:rPr>
        <w:t xml:space="preserve">gmm ((</w:t>
      </w:r>
      <w:r>
        <w:rPr>
          <w:rStyle w:val="FunctionTok"/>
        </w:rPr>
        <w:t xml:space="preserve">y</w:t>
      </w:r>
      <w:r>
        <w:rPr>
          <w:rStyle w:val="NormalTok"/>
        </w:rPr>
        <w:t xml:space="preserve">-{a0}-{a_i:i.g}-{a_t:i.t})*(trt==0)) </w:t>
      </w:r>
      <w:r>
        <w:rPr>
          <w:rStyle w:val="CommentTok"/>
        </w:rPr>
        <w:t xml:space="preserve">///</w:t>
      </w:r>
      <w:r>
        <w:br/>
      </w:r>
      <w:r>
        <w:rPr>
          <w:rStyle w:val="NormalTok"/>
        </w:rPr>
        <w:t xml:space="preserve">    ((</w:t>
      </w:r>
      <w:r>
        <w:rPr>
          <w:rStyle w:val="FunctionTok"/>
        </w:rPr>
        <w:t xml:space="preserve">y</w:t>
      </w:r>
      <w:r>
        <w:rPr>
          <w:rStyle w:val="NormalTok"/>
        </w:rPr>
        <w:t xml:space="preserve">-{a0}-{a_i:}   -{a_t:}    -{att:i.g0})) , </w:t>
      </w:r>
      <w:r>
        <w:rPr>
          <w:rStyle w:val="CommentTok"/>
        </w:rPr>
        <w:t xml:space="preserve">///</w:t>
      </w:r>
      <w:r>
        <w:br/>
      </w:r>
      <w:r>
        <w:rPr>
          <w:rStyle w:val="NormalTok"/>
        </w:rPr>
        <w:t xml:space="preserve">    winitial(</w:t>
      </w:r>
      <w:r>
        <w:rPr>
          <w:rStyle w:val="KeywordTok"/>
        </w:rPr>
        <w:t xml:space="preserve">identity</w:t>
      </w:r>
      <w:r>
        <w:rPr>
          <w:rStyle w:val="NormalTok"/>
        </w:rPr>
        <w:t xml:space="preserve">)  instruments(1:i.g i.t) instruments(1: i.g0) </w:t>
      </w:r>
      <w:r>
        <w:rPr>
          <w:rStyle w:val="CommentTok"/>
        </w:rPr>
        <w:t xml:space="preserve">///</w:t>
      </w:r>
      <w:r>
        <w:br/>
      </w:r>
      <w:r>
        <w:rPr>
          <w:rStyle w:val="NormalTok"/>
        </w:rPr>
        <w:t xml:space="preserve">    onestep quickderivatives </w:t>
      </w:r>
      <w:r>
        <w:rPr>
          <w:rStyle w:val="KeywordTok"/>
        </w:rPr>
        <w:t xml:space="preserve">vce</w:t>
      </w:r>
      <w:r>
        <w:rPr>
          <w:rStyle w:val="NormalTok"/>
        </w:rPr>
        <w:t xml:space="preserve">(</w:t>
      </w:r>
      <w:r>
        <w:rPr>
          <w:rStyle w:val="KeywordTok"/>
        </w:rPr>
        <w:t xml:space="preserve">cluster</w:t>
      </w:r>
      <w:r>
        <w:rPr>
          <w:rStyle w:val="NormalTok"/>
        </w:rPr>
        <w:t xml:space="preserve"> i) </w:t>
      </w:r>
      <w:r>
        <w:br/>
      </w:r>
      <w:r>
        <w:rPr>
          <w:rStyle w:val="NormalTok"/>
        </w:rPr>
        <w:t xml:space="preserve">gmm ((</w:t>
      </w:r>
      <w:r>
        <w:rPr>
          <w:rStyle w:val="FunctionTok"/>
        </w:rPr>
        <w:t xml:space="preserve">y</w:t>
      </w:r>
      <w:r>
        <w:rPr>
          <w:rStyle w:val="NormalTok"/>
        </w:rPr>
        <w:t xml:space="preserve">-{a0}-{a_i:i.g}-{a_t:i.t})*(trt==0)) </w:t>
      </w:r>
      <w:r>
        <w:rPr>
          <w:rStyle w:val="CommentTok"/>
        </w:rPr>
        <w:t xml:space="preserve">///</w:t>
      </w:r>
      <w:r>
        <w:br/>
      </w:r>
      <w:r>
        <w:rPr>
          <w:rStyle w:val="NormalTok"/>
        </w:rPr>
        <w:t xml:space="preserve">    ((</w:t>
      </w:r>
      <w:r>
        <w:rPr>
          <w:rStyle w:val="FunctionTok"/>
        </w:rPr>
        <w:t xml:space="preserve">y</w:t>
      </w:r>
      <w:r>
        <w:rPr>
          <w:rStyle w:val="NormalTok"/>
        </w:rPr>
        <w:t xml:space="preserve">-{a0}-{a_i:}   -{a_t:}    -{att:i.t0})) , </w:t>
      </w:r>
      <w:r>
        <w:rPr>
          <w:rStyle w:val="CommentTok"/>
        </w:rPr>
        <w:t xml:space="preserve">///</w:t>
      </w:r>
      <w:r>
        <w:br/>
      </w:r>
      <w:r>
        <w:rPr>
          <w:rStyle w:val="NormalTok"/>
        </w:rPr>
        <w:t xml:space="preserve">    winitial(</w:t>
      </w:r>
      <w:r>
        <w:rPr>
          <w:rStyle w:val="KeywordTok"/>
        </w:rPr>
        <w:t xml:space="preserve">identity</w:t>
      </w:r>
      <w:r>
        <w:rPr>
          <w:rStyle w:val="NormalTok"/>
        </w:rPr>
        <w:t xml:space="preserve">)  instruments(1:i.g i.t) instruments(2: i.t0) </w:t>
      </w:r>
      <w:r>
        <w:rPr>
          <w:rStyle w:val="CommentTok"/>
        </w:rPr>
        <w:t xml:space="preserve">///</w:t>
      </w:r>
      <w:r>
        <w:br/>
      </w:r>
      <w:r>
        <w:rPr>
          <w:rStyle w:val="NormalTok"/>
        </w:rPr>
        <w:t xml:space="preserve">    onestep quickderivatives </w:t>
      </w:r>
      <w:r>
        <w:rPr>
          <w:rStyle w:val="KeywordTok"/>
        </w:rPr>
        <w:t xml:space="preserve">vce</w:t>
      </w:r>
      <w:r>
        <w:rPr>
          <w:rStyle w:val="NormalTok"/>
        </w:rPr>
        <w:t xml:space="preserve">(</w:t>
      </w:r>
      <w:r>
        <w:rPr>
          <w:rStyle w:val="KeywordTok"/>
        </w:rPr>
        <w:t xml:space="preserve">cluster</w:t>
      </w:r>
      <w:r>
        <w:rPr>
          <w:rStyle w:val="NormalTok"/>
        </w:rPr>
        <w:t xml:space="preserve"> i)             </w:t>
      </w:r>
    </w:p>
    <w:bookmarkEnd w:id="22"/>
    <w:bookmarkEnd w:id="23"/>
    <w:bookmarkStart w:id="25" w:name="you-dont-messup-with-ols"/>
    <w:p>
      <w:pPr>
        <w:pStyle w:val="Heading3"/>
      </w:pPr>
      <w:r>
        <w:t xml:space="preserve">You don’t messup with OLS</w:t>
      </w:r>
    </w:p>
    <w:bookmarkStart w:id="24" w:name="X27ae886f71f0a9184f2a7fdb9b23f38e38bafcc"/>
    <w:p>
      <w:pPr>
        <w:pStyle w:val="Heading4"/>
      </w:pPr>
      <w:r>
        <w:t xml:space="preserve">Wooldridge (2021)</w:t>
      </w:r>
      <w:r>
        <w:t xml:space="preserve"> </w:t>
      </w:r>
      <w:r>
        <w:rPr>
          <w:rStyle w:val="VerbatimChar"/>
        </w:rPr>
        <w:t xml:space="preserve">jwdid</w:t>
      </w:r>
      <w:r>
        <w:t xml:space="preserve"> </w:t>
      </w:r>
      <w:r>
        <w:t xml:space="preserve">and</w:t>
      </w:r>
      <w:r>
        <w:t xml:space="preserve"> </w:t>
      </w:r>
      <w:r>
        <w:t xml:space="preserve">Sun and Abraham (2021)</w:t>
      </w:r>
    </w:p>
    <w:p>
      <w:pPr>
        <w:pStyle w:val="FirstParagraph"/>
      </w:pPr>
      <w:r>
        <w:t xml:space="preserve">In the article</w:t>
      </w:r>
      <w:r>
        <w:t xml:space="preserve"> </w:t>
      </w:r>
      <w:r>
        <w:rPr>
          <w:bCs/>
          <w:b/>
        </w:rPr>
        <w:t xml:space="preserve">DID: the fall</w:t>
      </w:r>
      <w:r>
        <w:t xml:space="preserve">, it was pointed out that the conventional TWFE approach has faced significant backlash due to its limited ability to detect treatment effects, because it cannot distinguish between good and bad variation when estimating treatment effects. Despite this criticism, Professor Wooldridge came in defense and revitalized the approach by emphasizing its simplicity and versatility, enabling extensions to go beyond linear models.</w:t>
      </w:r>
    </w:p>
    <w:p>
      <w:pPr>
        <w:pStyle w:val="BodyText"/>
      </w:pPr>
      <w:r>
        <w:t xml:space="preserve">The message was simple:</w:t>
      </w:r>
    </w:p>
    <w:p>
      <w:pPr>
        <w:pStyle w:val="BlockText"/>
      </w:pPr>
      <w:r>
        <w:t xml:space="preserve">Although the conventional TWFE method has several shortcomings, if it is implemented correctly, it can overcome the issue of utilizing inadequate controls in estimation. As a result, it can estimate treatment effects efficiently, with results similar to</w:t>
      </w:r>
      <w:r>
        <w:t xml:space="preserve"> </w:t>
      </w:r>
      <w:r>
        <w:t xml:space="preserve">Borusyak, Jaravel, and Spiess (2022)</w:t>
      </w:r>
      <w:r>
        <w:t xml:space="preserve"> </w:t>
      </w:r>
      <w:r>
        <w:t xml:space="preserve">and</w:t>
      </w:r>
      <w:r>
        <w:t xml:space="preserve"> </w:t>
      </w:r>
      <w:r>
        <w:t xml:space="preserve">Gardner (2022)</w:t>
      </w:r>
      <w:r>
        <w:t xml:space="preserve">.</w:t>
      </w:r>
    </w:p>
    <w:p>
      <w:pPr>
        <w:pStyle w:val="FirstParagraph"/>
      </w:pPr>
      <w:r>
        <w:t xml:space="preserve">So what were we missing? Heterogeneity!</w:t>
      </w:r>
    </w:p>
    <w:p>
      <w:pPr>
        <w:pStyle w:val="BodyText"/>
      </w:pPr>
      <w:r>
        <w:t xml:space="preserve">Both</w:t>
      </w:r>
      <w:r>
        <w:t xml:space="preserve"> </w:t>
      </w:r>
      <w:r>
        <w:t xml:space="preserve">Wooldridge (2021)</w:t>
      </w:r>
      <w:r>
        <w:t xml:space="preserve"> </w:t>
      </w:r>
      <w:r>
        <w:t xml:space="preserve">and</w:t>
      </w:r>
      <w:r>
        <w:t xml:space="preserve"> </w:t>
      </w:r>
      <w:r>
        <w:t xml:space="preserve">Sun and Abraham (2021)</w:t>
      </w:r>
      <w:r>
        <w:t xml:space="preserve"> </w:t>
      </w:r>
      <w:r>
        <w:t xml:space="preserve">have proposed similar solutions to the problem at hand, albeit from different viewpoints.</w:t>
      </w:r>
      <w:r>
        <w:t xml:space="preserve"> </w:t>
      </w:r>
      <w:r>
        <w:t xml:space="preserve">Sun and Abraham (2021)</w:t>
      </w:r>
      <w:r>
        <w:t xml:space="preserve"> </w:t>
      </w:r>
      <w:r>
        <w:t xml:space="preserve">argued that utilizing event studies with leads and lags may lead to contaminated coefficients, thus hampering proper identification of dynamic treatment effects. As a potential solution, the authors suggests using a specification that estimates dynamic effects for each cohort before making aggregations.</w:t>
      </w:r>
    </w:p>
    <w:p>
      <w:pPr>
        <w:pStyle w:val="BodyText"/>
      </w:pPr>
      <w:r>
        <w:t xml:space="preserve">On the other hand,</w:t>
      </w:r>
      <w:r>
        <w:t xml:space="preserve"> </w:t>
      </w:r>
      <w:r>
        <w:t xml:space="preserve">Wooldridge (2021)</w:t>
      </w:r>
      <w:r>
        <w:t xml:space="preserve"> </w:t>
      </w:r>
      <w:r>
        <w:t xml:space="preserve">focused on identifying treatment effects. He recommends allowing all treatment effects to vary by cohort and time. In other words, instead of employing a single dummy variable to identify treated units, he suggests using a set of dummies representing the interaction of cohorts and periods.</w:t>
      </w:r>
    </w:p>
    <w:p>
      <w:pPr>
        <w:pStyle w:val="BodyText"/>
      </w:pPr>
      <w:r>
        <w:t xml:space="preserve">Specifically,</w:t>
      </w:r>
      <w:r>
        <w:t xml:space="preserve"> </w:t>
      </w:r>
      <w:r>
        <w:t xml:space="preserve">Wooldridge (2021)</w:t>
      </w:r>
      <w:r>
        <w:t xml:space="preserve"> </w:t>
      </w:r>
      <w:r>
        <w:t xml:space="preserve">proposes estimating a model with the following specification:</w:t>
      </w:r>
    </w:p>
    <w:p>
      <w:pPr>
        <w:pStyle w:val="BodyText"/>
      </w:pPr>
      <m:oMathPara>
        <m:oMathParaPr>
          <m:jc m:val="center"/>
        </m:oMathParaPr>
        <m:oMath>
          <m:sSub>
            <m:e>
              <m:r>
                <m:t>y</m:t>
              </m:r>
            </m:e>
            <m:sub>
              <m:r>
                <m:t>i</m:t>
              </m:r>
              <m:r>
                <m:t>t</m:t>
              </m:r>
            </m:sub>
          </m:sSub>
          <m:r>
            <m:rPr>
              <m:sty m:val="p"/>
            </m:rPr>
            <m:t>=</m:t>
          </m:r>
          <m:sSub>
            <m:e>
              <m:r>
                <m:t>a</m:t>
              </m:r>
            </m:e>
            <m:sub>
              <m:r>
                <m:t>i</m:t>
              </m:r>
            </m:sub>
          </m:sSub>
          <m:r>
            <m:rPr>
              <m:sty m:val="p"/>
            </m:rPr>
            <m:t>+</m:t>
          </m:r>
          <m:sSub>
            <m:e>
              <m:r>
                <m:t>a</m:t>
              </m:r>
            </m:e>
            <m:sub>
              <m:r>
                <m:t>t</m:t>
              </m:r>
            </m:sub>
          </m:sSub>
          <m:r>
            <m:rPr>
              <m:sty m:val="p"/>
            </m:rPr>
            <m:t>+</m:t>
          </m:r>
          <m:nary>
            <m:naryPr>
              <m:chr m:val="∑"/>
              <m:limLoc m:val="undOvr"/>
              <m:subHide m:val="0"/>
              <m:supHide m:val="0"/>
            </m:naryPr>
            <m:sub>
              <m:r>
                <m:t>g</m:t>
              </m:r>
              <m:r>
                <m:rPr>
                  <m:sty m:val="p"/>
                </m:rPr>
                <m:t>=</m:t>
              </m:r>
              <m:sSub>
                <m:e>
                  <m:r>
                    <m:t>g</m:t>
                  </m:r>
                </m:e>
                <m:sub>
                  <m:r>
                    <m:t>0</m:t>
                  </m:r>
                </m:sub>
              </m:sSub>
            </m:sub>
            <m:sup>
              <m:r>
                <m:t>G</m:t>
              </m:r>
            </m:sup>
            <m:e>
              <m:nary>
                <m:naryPr>
                  <m:chr m:val="∑"/>
                  <m:limLoc m:val="undOvr"/>
                  <m:subHide m:val="0"/>
                  <m:supHide m:val="0"/>
                </m:naryPr>
                <m:sub>
                  <m:r>
                    <m:t>t</m:t>
                  </m:r>
                  <m:r>
                    <m:rPr>
                      <m:sty m:val="p"/>
                    </m:rPr>
                    <m:t>=</m:t>
                  </m:r>
                  <m:r>
                    <m:t>g</m:t>
                  </m:r>
                </m:sub>
                <m:sup>
                  <m:r>
                    <m:t>T</m:t>
                  </m:r>
                </m:sup>
                <m:e>
                  <m:sSub>
                    <m:e>
                      <m:r>
                        <m:t>δ</m:t>
                      </m:r>
                    </m:e>
                    <m:sub>
                      <m:r>
                        <m:t>g</m:t>
                      </m:r>
                      <m:r>
                        <m:t>t</m:t>
                      </m:r>
                    </m:sub>
                  </m:sSub>
                </m:e>
              </m:nary>
            </m:e>
          </m:nary>
          <m:r>
            <m:rPr>
              <m:sty m:val="p"/>
            </m:rPr>
            <m:t>*</m:t>
          </m:r>
          <m:r>
            <m:t>1</m:t>
          </m:r>
          <m:d>
            <m:dPr>
              <m:begChr m:val="("/>
              <m:endChr m:val=")"/>
              <m:sepChr m:val=""/>
              <m:grow/>
            </m:dPr>
            <m:e>
              <m:r>
                <m:t>g</m:t>
              </m:r>
              <m:r>
                <m:rPr>
                  <m:sty m:val="p"/>
                </m:rPr>
                <m:t>,</m:t>
              </m:r>
              <m:r>
                <m:t>t</m:t>
              </m:r>
            </m:e>
          </m:d>
          <m:r>
            <m:rPr>
              <m:sty m:val="p"/>
            </m:rPr>
            <m:t>+</m:t>
          </m:r>
          <m:sSub>
            <m:e>
              <m:r>
                <m:t>e</m:t>
              </m:r>
            </m:e>
            <m:sub>
              <m:r>
                <m:t>i</m:t>
              </m:r>
              <m:r>
                <m:t>t</m:t>
              </m:r>
            </m:sub>
          </m:sSub>
        </m:oMath>
      </m:oMathPara>
    </w:p>
    <w:p>
      <w:pPr>
        <w:pStyle w:val="FirstParagraph"/>
      </w:pPr>
      <w:r>
        <w:t xml:space="preserve">What Wooldridge suggests, at least for the case without covariates, is to estimate a model where, in addition to the individual (or cohort) and time fixed effects, we saturate</w:t>
      </w:r>
      <w:r>
        <w:t xml:space="preserve"> </w:t>
      </w:r>
      <w:r>
        <w:rPr>
          <w:bCs/>
          <w:b/>
        </w:rPr>
        <w:t xml:space="preserve">all</w:t>
      </w:r>
      <w:r>
        <w:t xml:space="preserve"> </w:t>
      </w:r>
      <w:r>
        <w:t xml:space="preserve">possible combinations of cohorts and times (</w:t>
      </w:r>
      <m:oMath>
        <m:r>
          <m:t>1</m:t>
        </m:r>
        <m:d>
          <m:dPr>
            <m:begChr m:val="("/>
            <m:endChr m:val=")"/>
            <m:sepChr m:val=""/>
            <m:grow/>
          </m:dPr>
          <m:e>
            <m:r>
              <m:t>g</m:t>
            </m:r>
            <m:r>
              <m:rPr>
                <m:sty m:val="p"/>
              </m:rPr>
              <m:t>,</m:t>
            </m:r>
            <m:r>
              <m:t>t</m:t>
            </m:r>
          </m:e>
        </m:d>
      </m:oMath>
      <w:r>
        <w:t xml:space="preserve">), if that combination corresponds to an effectively treated unit (</w:t>
      </w:r>
      <m:oMath>
        <m:r>
          <m:t>t</m:t>
        </m:r>
        <m:r>
          <m:rPr>
            <m:sty m:val="p"/>
          </m:rPr>
          <m:t>≥</m:t>
        </m:r>
        <m:r>
          <m:t>g</m:t>
        </m:r>
      </m:oMath>
      <w:r>
        <w:t xml:space="preserve">). This specification essentially uses all not-yet treated units as controls, similar to the two-step approach.</w:t>
      </w:r>
    </w:p>
    <w:p>
      <w:pPr>
        <w:pStyle w:val="BodyText"/>
      </w:pPr>
      <w:r>
        <w:t xml:space="preserve">This specification, however, could also be extended to a case where only those never treated are used as controls. In this case, one should use all cohort and time interactions, including the cases before units were treated. Following convention, one should exclude from the list of interactions the period before treatment took place:</w:t>
      </w:r>
    </w:p>
    <w:p>
      <w:pPr>
        <w:pStyle w:val="BodyText"/>
      </w:pPr>
      <m:oMathPara>
        <m:oMathParaPr>
          <m:jc m:val="center"/>
        </m:oMathParaPr>
        <m:oMath>
          <m:sSub>
            <m:e>
              <m:r>
                <m:t>y</m:t>
              </m:r>
            </m:e>
            <m:sub>
              <m:r>
                <m:t>i</m:t>
              </m:r>
              <m:r>
                <m:t>t</m:t>
              </m:r>
            </m:sub>
          </m:sSub>
          <m:r>
            <m:rPr>
              <m:sty m:val="p"/>
            </m:rPr>
            <m:t>=</m:t>
          </m:r>
          <m:sSub>
            <m:e>
              <m:r>
                <m:t>a</m:t>
              </m:r>
            </m:e>
            <m:sub>
              <m:r>
                <m:t>i</m:t>
              </m:r>
            </m:sub>
          </m:sSub>
          <m:r>
            <m:rPr>
              <m:sty m:val="p"/>
            </m:rPr>
            <m:t>+</m:t>
          </m:r>
          <m:sSub>
            <m:e>
              <m:r>
                <m:t>a</m:t>
              </m:r>
            </m:e>
            <m:sub>
              <m:r>
                <m:t>t</m:t>
              </m:r>
            </m:sub>
          </m:sSub>
          <m:r>
            <m:rPr>
              <m:sty m:val="p"/>
            </m:rPr>
            <m:t>+</m:t>
          </m:r>
          <m:nary>
            <m:naryPr>
              <m:chr m:val="∑"/>
              <m:limLoc m:val="undOvr"/>
              <m:subHide m:val="0"/>
              <m:supHide m:val="0"/>
            </m:naryPr>
            <m:sub>
              <m:r>
                <m:t>g</m:t>
              </m:r>
              <m:r>
                <m:rPr>
                  <m:sty m:val="p"/>
                </m:rPr>
                <m:t>=</m:t>
              </m:r>
              <m:sSub>
                <m:e>
                  <m:r>
                    <m:t>g</m:t>
                  </m:r>
                </m:e>
                <m:sub>
                  <m:r>
                    <m:t>0</m:t>
                  </m:r>
                </m:sub>
              </m:sSub>
            </m:sub>
            <m:sup>
              <m:r>
                <m:t>G</m:t>
              </m:r>
            </m:sup>
            <m:e>
              <m:nary>
                <m:naryPr>
                  <m:chr m:val="∑"/>
                  <m:limLoc m:val="undOvr"/>
                  <m:subHide m:val="0"/>
                  <m:supHide m:val="1"/>
                </m:naryPr>
                <m:sub>
                  <m:r>
                    <m:t>t</m:t>
                  </m:r>
                  <m:r>
                    <m:rPr>
                      <m:sty m:val="p"/>
                    </m:rPr>
                    <m:t>≠</m:t>
                  </m:r>
                  <m:r>
                    <m:t>g</m:t>
                  </m:r>
                  <m:r>
                    <m:rPr>
                      <m:sty m:val="p"/>
                    </m:rPr>
                    <m:t>−</m:t>
                  </m:r>
                  <m:r>
                    <m:t>1</m:t>
                  </m:r>
                </m:sub>
                <m:sup>
                  <m:r>
                    <m:t>​</m:t>
                  </m:r>
                </m:sup>
                <m:e>
                  <m:sSub>
                    <m:e>
                      <m:r>
                        <m:t>δ</m:t>
                      </m:r>
                    </m:e>
                    <m:sub>
                      <m:r>
                        <m:t>g</m:t>
                      </m:r>
                      <m:r>
                        <m:t>t</m:t>
                      </m:r>
                    </m:sub>
                  </m:sSub>
                </m:e>
              </m:nary>
            </m:e>
          </m:nary>
          <m:r>
            <m:rPr>
              <m:sty m:val="p"/>
            </m:rPr>
            <m:t>*</m:t>
          </m:r>
          <m:r>
            <m:t>1</m:t>
          </m:r>
          <m:d>
            <m:dPr>
              <m:begChr m:val="("/>
              <m:endChr m:val=")"/>
              <m:sepChr m:val=""/>
              <m:grow/>
            </m:dPr>
            <m:e>
              <m:r>
                <m:t>g</m:t>
              </m:r>
              <m:r>
                <m:rPr>
                  <m:sty m:val="p"/>
                </m:rPr>
                <m:t>,</m:t>
              </m:r>
              <m:r>
                <m:t>t</m:t>
              </m:r>
            </m:e>
          </m:d>
          <m:r>
            <m:rPr>
              <m:sty m:val="p"/>
            </m:rPr>
            <m:t>+</m:t>
          </m:r>
          <m:sSub>
            <m:e>
              <m:r>
                <m:t>e</m:t>
              </m:r>
            </m:e>
            <m:sub>
              <m:r>
                <m:t>i</m:t>
              </m:r>
              <m:r>
                <m:t>t</m:t>
              </m:r>
            </m:sub>
          </m:sSub>
        </m:oMath>
      </m:oMathPara>
    </w:p>
    <w:p>
      <w:pPr>
        <w:pStyle w:val="FirstParagraph"/>
      </w:pPr>
      <w:r>
        <w:t xml:space="preserve">By saturating the model this way, each</w:t>
      </w:r>
      <w:r>
        <w:t xml:space="preserve"> </w:t>
      </w:r>
      <m:oMath>
        <m:sSub>
          <m:e>
            <m:r>
              <m:t>δ</m:t>
            </m:r>
          </m:e>
          <m:sub>
            <m:r>
              <m:t>g</m:t>
            </m:r>
            <m:r>
              <m:t>t</m:t>
            </m:r>
          </m:sub>
        </m:sSub>
      </m:oMath>
      <w:r>
        <w:t xml:space="preserve"> </w:t>
      </w:r>
      <w:r>
        <w:t xml:space="preserve">represents a treatment effect for group G at time T, which can be later aggregated to obtain dynamic, group, or average treatment effects. Also interesting to note that this second specification is essentially the same</w:t>
      </w:r>
      <w:r>
        <w:t xml:space="preserve"> </w:t>
      </w:r>
      <w:r>
        <w:t xml:space="preserve">Sun and Abraham (2021)</w:t>
      </w:r>
      <w:r>
        <w:t xml:space="preserve"> </w:t>
      </w:r>
      <w:r>
        <w:t xml:space="preserve">propose for dynamic effects, and produces results that are identical to the methodology proposed by</w:t>
      </w:r>
      <w:r>
        <w:t xml:space="preserve"> </w:t>
      </w:r>
      <w:r>
        <w:t xml:space="preserve">Callaway and Sant’Anna (2021)</w:t>
      </w:r>
      <w:r>
        <w:t xml:space="preserve">.</w:t>
      </w:r>
    </w:p>
    <w:p>
      <w:pPr>
        <w:pStyle w:val="BodyText"/>
      </w:pPr>
      <w:r>
        <w:t xml:space="preserve">Now for the application, I will use</w:t>
      </w:r>
      <w:r>
        <w:t xml:space="preserve"> </w:t>
      </w:r>
      <w:r>
        <w:rPr>
          <w:rStyle w:val="VerbatimChar"/>
        </w:rPr>
        <w:t xml:space="preserve">jwdid</w:t>
      </w:r>
      <w:r>
        <w:t xml:space="preserve"> </w:t>
      </w:r>
      <w:r>
        <w:t xml:space="preserve">for both specifications. Because by default</w:t>
      </w:r>
      <w:r>
        <w:t xml:space="preserve"> </w:t>
      </w:r>
      <w:r>
        <w:rPr>
          <w:rStyle w:val="VerbatimChar"/>
        </w:rPr>
        <w:t xml:space="preserve">jwdid</w:t>
      </w:r>
      <w:r>
        <w:t xml:space="preserve"> </w:t>
      </w:r>
      <w:r>
        <w:t xml:space="preserve">produces the fully saturated model, I will omit those results, showing only the average treatment effect.</w:t>
      </w:r>
    </w:p>
    <w:p>
      <w:pPr>
        <w:pStyle w:val="BodyText"/>
      </w:pPr>
      <w:r>
        <w:t xml:space="preserve">First the one using not-yet treated units as controls (default), which produces exactly the same results as the two-step approach:</w:t>
      </w:r>
    </w:p>
    <w:p>
      <w:pPr>
        <w:pStyle w:val="SourceCode"/>
      </w:pPr>
      <w:r>
        <w:rPr>
          <w:rStyle w:val="KeywordTok"/>
        </w:rPr>
        <w:t xml:space="preserve">ssc</w:t>
      </w:r>
      <w:r>
        <w:rPr>
          <w:rStyle w:val="NormalTok"/>
        </w:rPr>
        <w:t xml:space="preserve"> install jwdid</w:t>
      </w:r>
      <w:r>
        <w:br/>
      </w:r>
      <w:r>
        <w:rPr>
          <w:rStyle w:val="KeywordTok"/>
        </w:rPr>
        <w:t xml:space="preserve">qui</w:t>
      </w:r>
      <w:r>
        <w:rPr>
          <w:rStyle w:val="NormalTok"/>
        </w:rPr>
        <w:t xml:space="preserve">: jwdid </w:t>
      </w:r>
      <w:r>
        <w:rPr>
          <w:rStyle w:val="FunctionTok"/>
        </w:rPr>
        <w:t xml:space="preserve">y</w:t>
      </w:r>
      <w:r>
        <w:rPr>
          <w:rStyle w:val="NormalTok"/>
        </w:rPr>
        <w:t xml:space="preserve">, ivar(i) tvar(t) gvar(g)</w:t>
      </w:r>
      <w:r>
        <w:br/>
      </w:r>
      <w:r>
        <w:rPr>
          <w:rStyle w:val="KeywordTok"/>
        </w:rPr>
        <w:t xml:space="preserve">estat</w:t>
      </w:r>
      <w:r>
        <w:rPr>
          <w:rStyle w:val="NormalTok"/>
        </w:rPr>
        <w:t xml:space="preserve"> simple</w:t>
      </w:r>
    </w:p>
    <w:p>
      <w:pPr>
        <w:pStyle w:val="SourceCode"/>
      </w:pPr>
      <w:r>
        <w:rPr>
          <w:rStyle w:val="VerbatimChar"/>
        </w:rPr>
        <w:t xml:space="preserve">checking jwdid consistency and verifying not already installed...</w:t>
      </w:r>
    </w:p>
    <w:p>
      <w:pPr>
        <w:pStyle w:val="SourceCode"/>
      </w:pPr>
      <w:r>
        <w:rPr>
          <w:rStyle w:val="VerbatimChar"/>
        </w:rPr>
        <w:t xml:space="preserve">all files already exist and are up to date.</w:t>
      </w:r>
    </w:p>
    <w:p>
      <w:pPr>
        <w:pStyle w:val="SourceCode"/>
      </w:pPr>
      <w:r>
        <w:rPr>
          <w:rStyle w:val="VerbatimChar"/>
        </w:rPr>
        <w:t xml:space="preserve">WARNING: Singleton observations not dropped; statistical significance is biased (link)</w:t>
      </w:r>
    </w:p>
    <w:p>
      <w:pPr>
        <w:pStyle w:val="SourceCode"/>
      </w:pPr>
      <w:r>
        <w:rPr>
          <w:rStyle w:val="VerbatimChar"/>
        </w:rPr>
        <w:t xml:space="preserve">------------------------------------------------------------------------------</w:t>
      </w:r>
    </w:p>
    <w:p>
      <w:pPr>
        <w:pStyle w:val="SourceCode"/>
      </w:pPr>
      <w:r>
        <w:rPr>
          <w:rStyle w:val="VerbatimChar"/>
        </w:rPr>
        <w:t xml:space="preserve">             |            Delta-method</w:t>
      </w:r>
    </w:p>
    <w:p>
      <w:pPr>
        <w:pStyle w:val="SourceCode"/>
      </w:pPr>
      <w:r>
        <w:rPr>
          <w:rStyle w:val="VerbatimChar"/>
        </w:rPr>
        <w:t xml:space="preserve">             | Coefficient  std. err.      z    P&gt;|z|     [95% conf. interval]</w:t>
      </w:r>
      <w:r>
        <w:br/>
      </w:r>
      <w:r>
        <w:rPr>
          <w:rStyle w:val="VerbatimChar"/>
        </w:rPr>
        <w:t xml:space="preserve">-------------+----------------------------------------------------------------</w:t>
      </w:r>
      <w:r>
        <w:br/>
      </w:r>
      <w:r>
        <w:rPr>
          <w:rStyle w:val="VerbatimChar"/>
        </w:rPr>
        <w:t xml:space="preserve">         _at |</w:t>
      </w:r>
      <w:r>
        <w:br/>
      </w:r>
      <w:r>
        <w:rPr>
          <w:rStyle w:val="VerbatimChar"/>
        </w:rPr>
        <w:t xml:space="preserve">   (2 vs 1)  |</w:t>
      </w:r>
    </w:p>
    <w:p>
      <w:pPr>
        <w:pStyle w:val="SourceCode"/>
      </w:pPr>
      <w:r>
        <w:rPr>
          <w:rStyle w:val="VerbatimChar"/>
        </w:rPr>
        <w:t xml:space="preserve">   1.458058   .1494798     9.75   0.000     1.165083    1.751033</w:t>
      </w:r>
    </w:p>
    <w:p>
      <w:pPr>
        <w:pStyle w:val="SourceCode"/>
      </w:pPr>
      <w:r>
        <w:rPr>
          <w:rStyle w:val="VerbatimChar"/>
        </w:rPr>
        <w:t xml:space="preserve">------------------------------------------------------------------------------</w:t>
      </w:r>
    </w:p>
    <w:p>
      <w:pPr>
        <w:pStyle w:val="FirstParagraph"/>
      </w:pPr>
      <w:r>
        <w:t xml:space="preserve">Second the one with never treated units as controls:</w:t>
      </w:r>
    </w:p>
    <w:p>
      <w:pPr>
        <w:pStyle w:val="SourceCode"/>
      </w:pPr>
      <w:r>
        <w:rPr>
          <w:rStyle w:val="KeywordTok"/>
        </w:rPr>
        <w:t xml:space="preserve">qui</w:t>
      </w:r>
      <w:r>
        <w:rPr>
          <w:rStyle w:val="NormalTok"/>
        </w:rPr>
        <w:t xml:space="preserve">: jwdid </w:t>
      </w:r>
      <w:r>
        <w:rPr>
          <w:rStyle w:val="FunctionTok"/>
        </w:rPr>
        <w:t xml:space="preserve">y</w:t>
      </w:r>
      <w:r>
        <w:rPr>
          <w:rStyle w:val="NormalTok"/>
        </w:rPr>
        <w:t xml:space="preserve">, ivar(i) tvar(t) gvar(g) never</w:t>
      </w:r>
      <w:r>
        <w:br/>
      </w:r>
      <w:r>
        <w:rPr>
          <w:rStyle w:val="KeywordTok"/>
        </w:rPr>
        <w:t xml:space="preserve">estat</w:t>
      </w:r>
      <w:r>
        <w:rPr>
          <w:rStyle w:val="NormalTok"/>
        </w:rPr>
        <w:t xml:space="preserve"> simple</w:t>
      </w:r>
    </w:p>
    <w:p>
      <w:pPr>
        <w:pStyle w:val="SourceCode"/>
      </w:pPr>
      <w:r>
        <w:rPr>
          <w:rStyle w:val="VerbatimChar"/>
        </w:rPr>
        <w:t xml:space="preserve">WARNING: Singleton observations not dropped; statistical significance is biased (link)</w:t>
      </w:r>
    </w:p>
    <w:p>
      <w:pPr>
        <w:pStyle w:val="SourceCode"/>
      </w:pPr>
      <w:r>
        <w:rPr>
          <w:rStyle w:val="VerbatimChar"/>
        </w:rPr>
        <w:t xml:space="preserve">------------------------------------------------------------------------------</w:t>
      </w:r>
      <w:r>
        <w:br/>
      </w:r>
      <w:r>
        <w:rPr>
          <w:rStyle w:val="VerbatimChar"/>
        </w:rPr>
        <w:t xml:space="preserve">             |            Delta-method</w:t>
      </w:r>
      <w:r>
        <w:br/>
      </w:r>
      <w:r>
        <w:rPr>
          <w:rStyle w:val="VerbatimChar"/>
        </w:rPr>
        <w:t xml:space="preserve">             | Coefficient  std. err.      z    P&gt;|z|     [95% conf. interval]</w:t>
      </w:r>
      <w:r>
        <w:br/>
      </w:r>
      <w:r>
        <w:rPr>
          <w:rStyle w:val="VerbatimChar"/>
        </w:rPr>
        <w:t xml:space="preserve">-------------+----------------------------------------------------------------</w:t>
      </w:r>
      <w:r>
        <w:br/>
      </w:r>
      <w:r>
        <w:rPr>
          <w:rStyle w:val="VerbatimChar"/>
        </w:rPr>
        <w:t xml:space="preserve">         _at |</w:t>
      </w:r>
      <w:r>
        <w:br/>
      </w:r>
      <w:r>
        <w:rPr>
          <w:rStyle w:val="VerbatimChar"/>
        </w:rPr>
        <w:t xml:space="preserve">   (2 vs 1)  |   1.543749   .1567784     9.85   0.000     1.236469    1.851029</w:t>
      </w:r>
      <w:r>
        <w:br/>
      </w:r>
      <w:r>
        <w:rPr>
          <w:rStyle w:val="VerbatimChar"/>
        </w:rPr>
        <w:t xml:space="preserve">------------------------------------------------------------------------------</w:t>
      </w:r>
    </w:p>
    <w:bookmarkEnd w:id="24"/>
    <w:bookmarkEnd w:id="25"/>
    <w:bookmarkStart w:id="29" w:name="x2-in-steroids"/>
    <w:p>
      <w:pPr>
        <w:pStyle w:val="Heading3"/>
      </w:pPr>
      <w:r>
        <w:t xml:space="preserve">2x2 in Steroids</w:t>
      </w:r>
    </w:p>
    <w:bookmarkStart w:id="28" w:name="callaway_santanna_2021-csdid-csdid2"/>
    <w:p>
      <w:pPr>
        <w:pStyle w:val="Heading4"/>
      </w:pPr>
      <w:r>
        <w:t xml:space="preserve">Callaway and Sant’Anna (2021)</w:t>
      </w:r>
      <w:r>
        <w:t xml:space="preserve"> </w:t>
      </w:r>
      <w:r>
        <w:rPr>
          <w:rStyle w:val="VerbatimChar"/>
        </w:rPr>
        <w:t xml:space="preserve">csdid</w:t>
      </w:r>
      <w:r>
        <w:t xml:space="preserve"> </w:t>
      </w:r>
      <w:r>
        <w:t xml:space="preserve">&amp;</w:t>
      </w:r>
      <w:r>
        <w:t xml:space="preserve"> </w:t>
      </w:r>
      <w:r>
        <w:rPr>
          <w:rStyle w:val="VerbatimChar"/>
        </w:rPr>
        <w:t xml:space="preserve">csdid2</w:t>
      </w:r>
    </w:p>
    <w:p>
      <w:pPr>
        <w:pStyle w:val="FirstParagraph"/>
      </w:pPr>
      <w:r>
        <w:t xml:space="preserve">The third option is the most computing intensive, but at the same time simpler to understand, if you break it down to the basics. This is why I call this 2x2 in Steroids:</w:t>
      </w:r>
      <w:r>
        <w:t xml:space="preserve"> </w:t>
      </w:r>
      <w:r>
        <w:t xml:space="preserve">Callaway and Sant’Anna (2021)</w:t>
      </w:r>
      <w:r>
        <w:t xml:space="preserve">.</w:t>
      </w:r>
    </w:p>
    <w:p>
      <w:pPr>
        <w:pStyle w:val="BodyText"/>
      </w:pPr>
      <w:r>
        <w:t xml:space="preserve">The literature on the 2x2 DID design has been extensively explored and extended, and it appears that most of the criticisms of the TWFE method do not apply to this simple design. Although there are a few technical details to consider while estimating ATT’s, most of the information required can be found in</w:t>
      </w:r>
      <w:r>
        <w:t xml:space="preserve"> </w:t>
      </w:r>
      <w:r>
        <w:t xml:space="preserve">Sant’Anna and Zhao (2020)</w:t>
      </w:r>
      <w:r>
        <w:t xml:space="preserve">. In this work, the authors provide several options for obtaining the best estimate from a simple 2x2 DID design.</w:t>
      </w:r>
    </w:p>
    <w:p>
      <w:pPr>
        <w:pStyle w:val="BodyText"/>
      </w:pPr>
      <w:r>
        <w:t xml:space="preserve">Assuming that we know how to execute 2x2 DID correctly (which can be achieved using</w:t>
      </w:r>
      <w:r>
        <w:t xml:space="preserve"> </w:t>
      </w:r>
      <w:r>
        <w:rPr>
          <w:rStyle w:val="VerbatimChar"/>
        </w:rPr>
        <w:t xml:space="preserve">drdid</w:t>
      </w:r>
      <w:r>
        <w:t xml:space="preserve"> </w:t>
      </w:r>
      <w:r>
        <w:t xml:space="preserve">in Stata),</w:t>
      </w:r>
      <w:r>
        <w:t xml:space="preserve"> </w:t>
      </w:r>
      <w:r>
        <w:t xml:space="preserve">Callaway and Sant’Anna (2021)</w:t>
      </w:r>
      <w:r>
        <w:t xml:space="preserve"> </w:t>
      </w:r>
      <w:r>
        <w:t xml:space="preserve">propose that we focus on estimating all the good and useful 2x2 DID designs from our data while avoiding incorrect comparisons. These are the building blocks of the methodology, the ATTGTs. This are the average treatment effects on the treated for units treated for the first time in period G, but measured at period T.</w:t>
      </w:r>
    </w:p>
    <w:p>
      <w:pPr>
        <w:pStyle w:val="BodyText"/>
      </w:pPr>
      <w:r>
        <w:t xml:space="preserve">This process, however, could be time-consuming and computationally intensive if done manually, as the number of 2x2 designs increases with the number of cohorts and periods available in the data. For example, estimating 50 different ATTs would be necessary with 5 cohorts and 10 periods, and up to 5 separate models need to be estimated for each ATT.</w:t>
      </w:r>
    </w:p>
    <w:p>
      <w:pPr>
        <w:pStyle w:val="BodyText"/>
      </w:pPr>
      <w:r>
        <w:t xml:space="preserve">Borrowing from the nomenclature in</w:t>
      </w:r>
      <w:r>
        <w:t xml:space="preserve"> </w:t>
      </w:r>
      <w:r>
        <w:t xml:space="preserve">Callaway and Sant’Anna (2021)</w:t>
      </w:r>
      <w:r>
        <w:t xml:space="preserve">, this ATTGT’s are defined as follows:</w:t>
      </w:r>
    </w:p>
    <w:p>
      <w:pPr>
        <w:pStyle w:val="BodyText"/>
      </w:pPr>
      <m:oMathPara>
        <m:oMathParaPr>
          <m:jc m:val="center"/>
        </m:oMathParaPr>
        <m:oMath>
          <m:m>
            <m:mPr>
              <m:baseJc m:val="center"/>
              <m:plcHide m:val="1"/>
              <m:mcs>
                <m:mc>
                  <m:mcPr>
                    <m:mcJc m:val="right"/>
                    <m:count m:val="1"/>
                  </m:mcPr>
                </m:mc>
                <m:mc>
                  <m:mcPr>
                    <m:mcJc m:val="left"/>
                    <m:count m:val="1"/>
                  </m:mcPr>
                </m:mc>
              </m:mcs>
            </m:mPr>
            <m:mr>
              <m:e>
                <m:r>
                  <m:t>A</m:t>
                </m:r>
                <m:r>
                  <m:t>T</m:t>
                </m:r>
                <m:r>
                  <m:t>T</m:t>
                </m:r>
                <m:d>
                  <m:dPr>
                    <m:begChr m:val="("/>
                    <m:endChr m:val=")"/>
                    <m:sepChr m:val=""/>
                    <m:grow/>
                  </m:dPr>
                  <m:e>
                    <m:r>
                      <m:t>g</m:t>
                    </m:r>
                    <m:r>
                      <m:rPr>
                        <m:sty m:val="p"/>
                      </m:rPr>
                      <m:t>,</m:t>
                    </m:r>
                    <m:r>
                      <m:t>t</m:t>
                    </m:r>
                  </m:e>
                </m:d>
              </m:e>
              <m:e>
                <m:r>
                  <m:rPr>
                    <m:sty m:val="p"/>
                  </m:rPr>
                  <m:t>=</m:t>
                </m:r>
                <m:r>
                  <m:t>E</m:t>
                </m:r>
                <m:d>
                  <m:dPr>
                    <m:begChr m:val="("/>
                    <m:endChr m:val=")"/>
                    <m:sepChr m:val=""/>
                    <m:grow/>
                  </m:dPr>
                  <m:e>
                    <m:sSub>
                      <m:e>
                        <m:r>
                          <m:t>Y</m:t>
                        </m:r>
                      </m:e>
                      <m:sub>
                        <m:r>
                          <m:t>i</m:t>
                        </m:r>
                        <m:r>
                          <m:rPr>
                            <m:sty m:val="p"/>
                          </m:rPr>
                          <m:t>,</m:t>
                        </m:r>
                        <m:r>
                          <m:t>t</m:t>
                        </m:r>
                      </m:sub>
                    </m:sSub>
                    <m:r>
                      <m:rPr>
                        <m:sty m:val="p"/>
                      </m:rPr>
                      <m:t>|</m:t>
                    </m:r>
                    <m:r>
                      <m:t>i</m:t>
                    </m:r>
                    <m:r>
                      <m:rPr>
                        <m:sty m:val="p"/>
                      </m:rPr>
                      <m:t>∈</m:t>
                    </m:r>
                    <m:r>
                      <m:t>g</m:t>
                    </m:r>
                  </m:e>
                </m:d>
                <m:r>
                  <m:rPr>
                    <m:sty m:val="p"/>
                  </m:rPr>
                  <m:t>−</m:t>
                </m:r>
                <m:r>
                  <m:t>E</m:t>
                </m:r>
                <m:d>
                  <m:dPr>
                    <m:begChr m:val="("/>
                    <m:endChr m:val=")"/>
                    <m:sepChr m:val=""/>
                    <m:grow/>
                  </m:dPr>
                  <m:e>
                    <m:sSub>
                      <m:e>
                        <m:r>
                          <m:t>Y</m:t>
                        </m:r>
                      </m:e>
                      <m:sub>
                        <m:r>
                          <m:t>i</m:t>
                        </m:r>
                        <m:r>
                          <m:rPr>
                            <m:sty m:val="p"/>
                          </m:rPr>
                          <m:t>,</m:t>
                        </m:r>
                        <m:r>
                          <m:t>g</m:t>
                        </m:r>
                        <m:r>
                          <m:rPr>
                            <m:sty m:val="p"/>
                          </m:rPr>
                          <m:t>−</m:t>
                        </m:r>
                        <m:r>
                          <m:t>1</m:t>
                        </m:r>
                      </m:sub>
                    </m:sSub>
                    <m:r>
                      <m:rPr>
                        <m:sty m:val="p"/>
                      </m:rPr>
                      <m:t>|</m:t>
                    </m:r>
                    <m:r>
                      <m:t>i</m:t>
                    </m:r>
                    <m:r>
                      <m:rPr>
                        <m:sty m:val="p"/>
                      </m:rPr>
                      <m:t>∈</m:t>
                    </m:r>
                    <m:r>
                      <m:t>g</m:t>
                    </m:r>
                  </m:e>
                </m:d>
              </m:e>
            </m:mr>
            <m:mr>
              <m:e/>
              <m:e>
                <m:r>
                  <m:rPr>
                    <m:sty m:val="p"/>
                  </m:rPr>
                  <m:t>−</m:t>
                </m:r>
                <m:d>
                  <m:dPr>
                    <m:begChr m:val="["/>
                    <m:endChr m:val="]"/>
                    <m:sepChr m:val=""/>
                    <m:grow/>
                  </m:dPr>
                  <m:e>
                    <m:r>
                      <m:t>E</m:t>
                    </m:r>
                    <m:d>
                      <m:dPr>
                        <m:begChr m:val="("/>
                        <m:endChr m:val=")"/>
                        <m:sepChr m:val=""/>
                        <m:grow/>
                      </m:dPr>
                      <m:e>
                        <m:sSub>
                          <m:e>
                            <m:r>
                              <m:t>Y</m:t>
                            </m:r>
                          </m:e>
                          <m:sub>
                            <m:r>
                              <m:t>i</m:t>
                            </m:r>
                            <m:r>
                              <m:rPr>
                                <m:sty m:val="p"/>
                              </m:rPr>
                              <m:t>,</m:t>
                            </m:r>
                            <m:r>
                              <m:t>t</m:t>
                            </m:r>
                          </m:sub>
                        </m:sSub>
                        <m:r>
                          <m:rPr>
                            <m:sty m:val="p"/>
                          </m:rPr>
                          <m:t>|</m:t>
                        </m:r>
                        <m:r>
                          <m:t>i</m:t>
                        </m:r>
                        <m:r>
                          <m:rPr>
                            <m:sty m:val="p"/>
                          </m:rPr>
                          <m:t>∈</m:t>
                        </m:r>
                        <m:r>
                          <m:t>C</m:t>
                        </m:r>
                      </m:e>
                    </m:d>
                    <m:r>
                      <m:rPr>
                        <m:sty m:val="p"/>
                      </m:rPr>
                      <m:t>−</m:t>
                    </m:r>
                    <m:r>
                      <m:t>E</m:t>
                    </m:r>
                    <m:d>
                      <m:dPr>
                        <m:begChr m:val="("/>
                        <m:endChr m:val=")"/>
                        <m:sepChr m:val=""/>
                        <m:grow/>
                      </m:dPr>
                      <m:e>
                        <m:sSub>
                          <m:e>
                            <m:r>
                              <m:t>Y</m:t>
                            </m:r>
                          </m:e>
                          <m:sub>
                            <m:r>
                              <m:t>i</m:t>
                            </m:r>
                            <m:r>
                              <m:rPr>
                                <m:sty m:val="p"/>
                              </m:rPr>
                              <m:t>,</m:t>
                            </m:r>
                            <m:r>
                              <m:t>g</m:t>
                            </m:r>
                            <m:r>
                              <m:rPr>
                                <m:sty m:val="p"/>
                              </m:rPr>
                              <m:t>−</m:t>
                            </m:r>
                            <m:r>
                              <m:t>1</m:t>
                            </m:r>
                          </m:sub>
                        </m:sSub>
                        <m:r>
                          <m:rPr>
                            <m:sty m:val="p"/>
                          </m:rPr>
                          <m:t>|</m:t>
                        </m:r>
                        <m:r>
                          <m:t>i</m:t>
                        </m:r>
                        <m:r>
                          <m:rPr>
                            <m:sty m:val="p"/>
                          </m:rPr>
                          <m:t>∈</m:t>
                        </m:r>
                        <m:r>
                          <m:t>C</m:t>
                        </m:r>
                      </m:e>
                    </m:d>
                  </m:e>
                </m:d>
              </m:e>
            </m:mr>
          </m:m>
        </m:oMath>
      </m:oMathPara>
    </w:p>
    <w:p>
      <w:pPr>
        <w:pStyle w:val="FirstParagraph"/>
      </w:pPr>
      <w:r>
        <w:t xml:space="preserve">Which has the same structure as the simple 2x2 DID, with the difference that the control group</w:t>
      </w:r>
      <w:r>
        <w:t xml:space="preserve"> </w:t>
      </w:r>
      <m:oMath>
        <m:r>
          <m:t>C</m:t>
        </m:r>
      </m:oMath>
      <w:r>
        <w:t xml:space="preserve"> </w:t>
      </w:r>
      <w:r>
        <w:t xml:space="preserve">will be formed by never treated units only, or include those not yet treated (</w:t>
      </w:r>
      <w:r>
        <w:t xml:space="preserve"> </w:t>
      </w:r>
      <w:r>
        <w:t xml:space="preserve">$i \in g_i, g_i&gt;t, \And \  g_i&gt;g$</w:t>
      </w:r>
      <w:r>
        <w:t xml:space="preserve">).</w:t>
      </w:r>
      <w:r>
        <w:rPr>
          <w:rStyle w:val="FootnoteReference"/>
        </w:rPr>
        <w:footnoteReference w:id="26"/>
      </w:r>
    </w:p>
    <w:p>
      <w:pPr>
        <w:pStyle w:val="BodyText"/>
      </w:pPr>
      <w:r>
        <w:t xml:space="preserve">Once all individual ATTGT’s have been identified and estimated, providing summary measures we are more familiar with is as easy as obtaining weighted averages:</w:t>
      </w:r>
    </w:p>
    <w:p>
      <w:pPr>
        <w:pStyle w:val="BodyText"/>
      </w:pPr>
      <m:oMathPara>
        <m:oMathParaPr>
          <m:jc m:val="center"/>
        </m:oMathParaPr>
        <m:oMath>
          <m:r>
            <m:t>S</m:t>
          </m:r>
          <m:r>
            <m:t>A</m:t>
          </m:r>
          <m:r>
            <m:t>T</m:t>
          </m:r>
          <m:r>
            <m:t>T</m:t>
          </m:r>
          <m:r>
            <m:rPr>
              <m:sty m:val="p"/>
            </m:rPr>
            <m:t>=</m:t>
          </m:r>
          <m:r>
            <m:rPr>
              <m:sty m:val="p"/>
            </m:rPr>
            <m:t>∑</m:t>
          </m:r>
          <m:d>
            <m:dPr>
              <m:begChr m:val="("/>
              <m:endChr m:val=")"/>
              <m:sepChr m:val=""/>
              <m:grow/>
            </m:dPr>
            <m:e>
              <m:f>
                <m:fPr>
                  <m:type m:val="bar"/>
                </m:fPr>
                <m:num>
                  <m:sSub>
                    <m:e>
                      <m:r>
                        <m:t>w</m:t>
                      </m:r>
                    </m:e>
                    <m:sub>
                      <m:r>
                        <m:t>g</m:t>
                      </m:r>
                      <m:r>
                        <m:t>t</m:t>
                      </m:r>
                    </m:sub>
                  </m:sSub>
                </m:num>
                <m:den>
                  <m:r>
                    <m:rPr>
                      <m:sty m:val="p"/>
                    </m:rPr>
                    <m:t>∑</m:t>
                  </m:r>
                  <m:sSub>
                    <m:e>
                      <m:r>
                        <m:t>w</m:t>
                      </m:r>
                    </m:e>
                    <m:sub>
                      <m:r>
                        <m:t>g</m:t>
                      </m:r>
                      <m:r>
                        <m:t>t</m:t>
                      </m:r>
                    </m:sub>
                  </m:sSub>
                </m:den>
              </m:f>
              <m:r>
                <m:t>A</m:t>
              </m:r>
              <m:r>
                <m:t>T</m:t>
              </m:r>
              <m:r>
                <m:t>T</m:t>
              </m:r>
              <m:d>
                <m:dPr>
                  <m:begChr m:val="("/>
                  <m:endChr m:val=")"/>
                  <m:sepChr m:val=""/>
                  <m:grow/>
                </m:dPr>
                <m:e>
                  <m:r>
                    <m:t>g</m:t>
                  </m:r>
                  <m:r>
                    <m:rPr>
                      <m:sty m:val="p"/>
                    </m:rPr>
                    <m:t>,</m:t>
                  </m:r>
                  <m:r>
                    <m:t>t</m:t>
                  </m:r>
                </m:e>
              </m:d>
            </m:e>
          </m:d>
        </m:oMath>
      </m:oMathPara>
    </w:p>
    <w:p>
      <w:pPr>
        <w:pStyle w:val="FirstParagraph"/>
      </w:pPr>
      <w:r>
        <w:t xml:space="preserve">where the weights</w:t>
      </w:r>
      <w:r>
        <w:t xml:space="preserve"> </w:t>
      </w:r>
      <m:oMath>
        <m:sSub>
          <m:e>
            <m:r>
              <m:t>w</m:t>
            </m:r>
          </m:e>
          <m:sub>
            <m:r>
              <m:t>g</m:t>
            </m:r>
            <m:r>
              <m:t>t</m:t>
            </m:r>
          </m:sub>
        </m:sSub>
      </m:oMath>
      <w:r>
        <w:t xml:space="preserve"> </w:t>
      </w:r>
      <w:r>
        <w:t xml:space="preserve">will change based on the type of aggregation one is interested in.</w:t>
      </w:r>
    </w:p>
    <w:p>
      <w:pPr>
        <w:pStyle w:val="BodyText"/>
      </w:pPr>
      <w:r>
        <w:t xml:space="preserve">This multiple stage process may seem challening, but there are tools that allow you to implement them quite easily:</w:t>
      </w:r>
      <w:r>
        <w:t xml:space="preserve"> </w:t>
      </w:r>
      <w:r>
        <w:rPr>
          <w:rStyle w:val="VerbatimChar"/>
        </w:rPr>
        <w:t xml:space="preserve">csdid</w:t>
      </w:r>
      <w:r>
        <w:t xml:space="preserve"> </w:t>
      </w:r>
      <w:r>
        <w:t xml:space="preserve">and</w:t>
      </w:r>
      <w:r>
        <w:t xml:space="preserve"> </w:t>
      </w:r>
      <w:r>
        <w:rPr>
          <w:rStyle w:val="VerbatimChar"/>
        </w:rPr>
        <w:t xml:space="preserve">csdid2</w:t>
      </w:r>
      <w:r>
        <w:t xml:space="preserve">.</w:t>
      </w:r>
      <w:r>
        <w:t xml:space="preserve"> </w:t>
      </w:r>
      <w:r>
        <w:t xml:space="preserve">The first one, was written as a wrapper around</w:t>
      </w:r>
      <w:r>
        <w:t xml:space="preserve"> </w:t>
      </w:r>
      <w:r>
        <w:rPr>
          <w:rStyle w:val="VerbatimChar"/>
        </w:rPr>
        <w:t xml:space="preserve">drdid</w:t>
      </w:r>
      <w:r>
        <w:t xml:space="preserve">, to do all the heavy lifting for you. However, for large projects, it can be slow due to overhead. The alternative</w:t>
      </w:r>
      <w:r>
        <w:t xml:space="preserve"> </w:t>
      </w:r>
      <w:r>
        <w:rPr>
          <w:rStyle w:val="VerbatimChar"/>
        </w:rPr>
        <w:t xml:space="preserve">csdid2</w:t>
      </w:r>
      <w:r>
        <w:t xml:space="preserve"> </w:t>
      </w:r>
      <w:r>
        <w:t xml:space="preserve">is self contained, still under development, but much faster than the predecesor. See</w:t>
      </w:r>
      <w:r>
        <w:t xml:space="preserve"> </w:t>
      </w:r>
      <w:hyperlink r:id="rId27">
        <w:r>
          <w:rPr>
            <w:rStyle w:val="VerbatimChar"/>
          </w:rPr>
          <w:t xml:space="preserve">csdid2</w:t>
        </w:r>
      </w:hyperlink>
      <w:r>
        <w:t xml:space="preserve"> </w:t>
      </w:r>
      <w:r>
        <w:t xml:space="preserve">if interested. Here I will use</w:t>
      </w:r>
      <w:r>
        <w:t xml:space="preserve"> </w:t>
      </w:r>
      <w:r>
        <w:rPr>
          <w:rStyle w:val="VerbatimChar"/>
        </w:rPr>
        <w:t xml:space="preserve">csdid</w:t>
      </w:r>
      <w:r>
        <w:t xml:space="preserve">, which you can get from SSC.</w:t>
      </w:r>
    </w:p>
    <w:p>
      <w:pPr>
        <w:pStyle w:val="BodyText"/>
      </w:pPr>
      <w:r>
        <w:t xml:space="preserve">As with</w:t>
      </w:r>
      <w:r>
        <w:t xml:space="preserve"> </w:t>
      </w:r>
      <w:r>
        <w:rPr>
          <w:rStyle w:val="VerbatimChar"/>
        </w:rPr>
        <w:t xml:space="preserve">jwdid</w:t>
      </w:r>
      <w:r>
        <w:t xml:space="preserve">. The default option is for</w:t>
      </w:r>
      <w:r>
        <w:t xml:space="preserve"> </w:t>
      </w:r>
      <w:r>
        <w:rPr>
          <w:rStyle w:val="VerbatimChar"/>
        </w:rPr>
        <w:t xml:space="preserve">csdid</w:t>
      </w:r>
      <w:r>
        <w:t xml:space="preserve"> </w:t>
      </w:r>
      <w:r>
        <w:t xml:space="preserve">to produce all ATTGT’s. So, for the excercise, I’ll omit that ouput, and estimate the aggregate effects with the post estimation command. The default is to use the never treated as controls. I will also add the option</w:t>
      </w:r>
      <w:r>
        <w:t xml:space="preserve"> </w:t>
      </w:r>
      <w:r>
        <w:rPr>
          <w:rStyle w:val="VerbatimChar"/>
        </w:rPr>
        <w:t xml:space="preserve">long2</w:t>
      </w:r>
      <w:r>
        <w:t xml:space="preserve"> </w:t>
      </w:r>
      <w:r>
        <w:t xml:space="preserve">to obtain the pre-treatment ATTGT’s as describe above, even though they won’t affect our point estimates:</w:t>
      </w:r>
    </w:p>
    <w:p>
      <w:pPr>
        <w:pStyle w:val="SourceCode"/>
      </w:pPr>
      <w:r>
        <w:rPr>
          <w:rStyle w:val="KeywordTok"/>
        </w:rPr>
        <w:t xml:space="preserve">qui</w:t>
      </w:r>
      <w:r>
        <w:rPr>
          <w:rStyle w:val="NormalTok"/>
        </w:rPr>
        <w:t xml:space="preserve">: </w:t>
      </w:r>
      <w:r>
        <w:rPr>
          <w:rStyle w:val="KeywordTok"/>
        </w:rPr>
        <w:t xml:space="preserve">ssc</w:t>
      </w:r>
      <w:r>
        <w:rPr>
          <w:rStyle w:val="NormalTok"/>
        </w:rPr>
        <w:t xml:space="preserve"> install drdid, </w:t>
      </w:r>
      <w:r>
        <w:rPr>
          <w:rStyle w:val="KeywordTok"/>
        </w:rPr>
        <w:t xml:space="preserve">replace</w:t>
      </w:r>
      <w:r>
        <w:br/>
      </w:r>
      <w:r>
        <w:rPr>
          <w:rStyle w:val="KeywordTok"/>
        </w:rPr>
        <w:t xml:space="preserve">qui</w:t>
      </w:r>
      <w:r>
        <w:rPr>
          <w:rStyle w:val="NormalTok"/>
        </w:rPr>
        <w:t xml:space="preserve">: </w:t>
      </w:r>
      <w:r>
        <w:rPr>
          <w:rStyle w:val="KeywordTok"/>
        </w:rPr>
        <w:t xml:space="preserve">ssc</w:t>
      </w:r>
      <w:r>
        <w:rPr>
          <w:rStyle w:val="NormalTok"/>
        </w:rPr>
        <w:t xml:space="preserve"> install csdid, </w:t>
      </w:r>
      <w:r>
        <w:rPr>
          <w:rStyle w:val="KeywordTok"/>
        </w:rPr>
        <w:t xml:space="preserve">replace</w:t>
      </w:r>
      <w:r>
        <w:br/>
      </w:r>
      <w:r>
        <w:rPr>
          <w:rStyle w:val="KeywordTok"/>
        </w:rPr>
        <w:t xml:space="preserve">qui</w:t>
      </w:r>
      <w:r>
        <w:rPr>
          <w:rStyle w:val="NormalTok"/>
        </w:rPr>
        <w:t xml:space="preserve">: csdid </w:t>
      </w:r>
      <w:r>
        <w:rPr>
          <w:rStyle w:val="FunctionTok"/>
        </w:rPr>
        <w:t xml:space="preserve">y</w:t>
      </w:r>
      <w:r>
        <w:rPr>
          <w:rStyle w:val="NormalTok"/>
        </w:rPr>
        <w:t xml:space="preserve">, ivar(i) time(t) gvar(g) long2</w:t>
      </w:r>
      <w:r>
        <w:br/>
      </w:r>
      <w:r>
        <w:rPr>
          <w:rStyle w:val="KeywordTok"/>
        </w:rPr>
        <w:t xml:space="preserve">estat</w:t>
      </w:r>
      <w:r>
        <w:rPr>
          <w:rStyle w:val="NormalTok"/>
        </w:rPr>
        <w:t xml:space="preserve"> simple </w:t>
      </w:r>
    </w:p>
    <w:p>
      <w:pPr>
        <w:pStyle w:val="SourceCode"/>
      </w:pPr>
      <w:r>
        <w:rPr>
          <w:rStyle w:val="VerbatimChar"/>
        </w:rPr>
        <w:t xml:space="preserve">Average Treatment Effect on Treated</w:t>
      </w:r>
    </w:p>
    <w:p>
      <w:pPr>
        <w:pStyle w:val="SourceCode"/>
      </w:pPr>
      <w:r>
        <w:rPr>
          <w:rStyle w:val="VerbatimChar"/>
        </w:rPr>
        <w:t xml:space="preserve">------------------------------------------------------------------------------</w:t>
      </w:r>
      <w:r>
        <w:br/>
      </w:r>
      <w:r>
        <w:rPr>
          <w:rStyle w:val="VerbatimChar"/>
        </w:rPr>
        <w:t xml:space="preserve">             | Coefficient  Std. err.      z    P&gt;|z|     [95% conf. interval]</w:t>
      </w:r>
      <w:r>
        <w:br/>
      </w:r>
      <w:r>
        <w:rPr>
          <w:rStyle w:val="VerbatimChar"/>
        </w:rPr>
        <w:t xml:space="preserve">-------------+----------------------------------------------------------------</w:t>
      </w:r>
      <w:r>
        <w:br/>
      </w:r>
      <w:r>
        <w:rPr>
          <w:rStyle w:val="VerbatimChar"/>
        </w:rPr>
        <w:t xml:space="preserve">         ATT |   1.543749   .1577366     9.79   0.000     1.234591    1.852907</w:t>
      </w:r>
      <w:r>
        <w:br/>
      </w:r>
      <w:r>
        <w:rPr>
          <w:rStyle w:val="VerbatimChar"/>
        </w:rPr>
        <w:t xml:space="preserve">------------------------------------------------------------------------------</w:t>
      </w:r>
    </w:p>
    <w:p>
      <w:pPr>
        <w:pStyle w:val="FirstParagraph"/>
      </w:pPr>
      <w:r>
        <w:t xml:space="preserve">I will also use the not yet treated, to compare results.</w:t>
      </w:r>
    </w:p>
    <w:p>
      <w:pPr>
        <w:pStyle w:val="SourceCode"/>
      </w:pPr>
      <w:r>
        <w:rPr>
          <w:rStyle w:val="KeywordTok"/>
        </w:rPr>
        <w:t xml:space="preserve">qui</w:t>
      </w:r>
      <w:r>
        <w:rPr>
          <w:rStyle w:val="NormalTok"/>
        </w:rPr>
        <w:t xml:space="preserve">: csdid </w:t>
      </w:r>
      <w:r>
        <w:rPr>
          <w:rStyle w:val="FunctionTok"/>
        </w:rPr>
        <w:t xml:space="preserve">y</w:t>
      </w:r>
      <w:r>
        <w:rPr>
          <w:rStyle w:val="NormalTok"/>
        </w:rPr>
        <w:t xml:space="preserve">, ivar(i) time(t) gvar(g) notyet long2</w:t>
      </w:r>
      <w:r>
        <w:br/>
      </w:r>
      <w:r>
        <w:rPr>
          <w:rStyle w:val="KeywordTok"/>
        </w:rPr>
        <w:t xml:space="preserve">estat</w:t>
      </w:r>
      <w:r>
        <w:rPr>
          <w:rStyle w:val="NormalTok"/>
        </w:rPr>
        <w:t xml:space="preserve"> simple </w:t>
      </w:r>
    </w:p>
    <w:p>
      <w:pPr>
        <w:pStyle w:val="SourceCode"/>
      </w:pPr>
      <w:r>
        <w:rPr>
          <w:rStyle w:val="VerbatimChar"/>
        </w:rPr>
        <w:t xml:space="preserve">Average Treatment Effect on Treated</w:t>
      </w:r>
      <w:r>
        <w:br/>
      </w:r>
      <w:r>
        <w:rPr>
          <w:rStyle w:val="VerbatimChar"/>
        </w:rPr>
        <w:t xml:space="preserve">------------------------------------------------------------------------------</w:t>
      </w:r>
      <w:r>
        <w:br/>
      </w:r>
      <w:r>
        <w:rPr>
          <w:rStyle w:val="VerbatimChar"/>
        </w:rPr>
        <w:t xml:space="preserve">             | Coefficient  Std. err.      z    P&gt;|z|     [95% conf. interval]</w:t>
      </w:r>
      <w:r>
        <w:br/>
      </w:r>
      <w:r>
        <w:rPr>
          <w:rStyle w:val="VerbatimChar"/>
        </w:rPr>
        <w:t xml:space="preserve">-------------+----------------------------------------------------------------</w:t>
      </w:r>
      <w:r>
        <w:br/>
      </w:r>
      <w:r>
        <w:rPr>
          <w:rStyle w:val="VerbatimChar"/>
        </w:rPr>
        <w:t xml:space="preserve">         ATT |   1.494475   .1587386     9.41   0.000     1.183353    1.805597</w:t>
      </w:r>
      <w:r>
        <w:br/>
      </w:r>
      <w:r>
        <w:rPr>
          <w:rStyle w:val="VerbatimChar"/>
        </w:rPr>
        <w:t xml:space="preserve">------------------------------------------------------------------------------</w:t>
      </w:r>
    </w:p>
    <w:bookmarkEnd w:id="28"/>
    <w:bookmarkEnd w:id="29"/>
    <w:bookmarkEnd w:id="30"/>
    <w:bookmarkStart w:id="31" w:name="conclusions"/>
    <w:p>
      <w:pPr>
        <w:pStyle w:val="Heading2"/>
      </w:pPr>
      <w:r>
        <w:t xml:space="preserve">Conclusions</w:t>
      </w:r>
    </w:p>
    <w:p>
      <w:pPr>
        <w:pStyle w:val="FirstParagraph"/>
      </w:pPr>
      <w:r>
        <w:t xml:space="preserve">On this occasion, I have shared with you three solutions from the literature that aim to overcome the limitations of TWFE. Although there are other solutions available, I personally find these three to be the most intuitive and have worked on them. Granted, I have some bias on the matter.</w:t>
      </w:r>
    </w:p>
    <w:p>
      <w:pPr>
        <w:pStyle w:val="BodyText"/>
      </w:pPr>
      <w:r>
        <w:t xml:space="preserve">Despite their apparent differences, these solutions actually converge towards similar outcomes, with discrepancies arising from variations in assumptions regarding control groups or covariate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eq command</w:t>
            </w:r>
          </w:p>
        </w:tc>
      </w:tr>
      <w:tr>
        <w:tc>
          <w:tcPr/>
          <w:p>
            <w:pPr>
              <w:pStyle w:val="Compact"/>
              <w:jc w:val="left"/>
            </w:pPr>
            <w:r>
              <w:rPr>
                <w:rStyle w:val="VerbatimChar"/>
              </w:rPr>
              <w:t xml:space="preserve">jwdid</w:t>
            </w:r>
          </w:p>
        </w:tc>
        <w:tc>
          <w:tcPr/>
          <w:p>
            <w:pPr>
              <w:pStyle w:val="Compact"/>
              <w:jc w:val="left"/>
            </w:pPr>
            <w:r>
              <w:rPr>
                <w:rStyle w:val="VerbatimChar"/>
              </w:rPr>
              <w:t xml:space="preserve">did2s</w:t>
            </w:r>
            <w:r>
              <w:t xml:space="preserve"> </w:t>
            </w:r>
            <w:r>
              <w:t xml:space="preserve">&amp;</w:t>
            </w:r>
            <w:r>
              <w:t xml:space="preserve"> </w:t>
            </w:r>
            <w:r>
              <w:rPr>
                <w:rStyle w:val="VerbatimChar"/>
              </w:rPr>
              <w:t xml:space="preserve">did_imputation</w:t>
            </w:r>
          </w:p>
        </w:tc>
      </w:tr>
      <w:tr>
        <w:tc>
          <w:tcPr/>
          <w:p>
            <w:pPr>
              <w:pStyle w:val="Compact"/>
              <w:jc w:val="left"/>
            </w:pPr>
            <w:r>
              <w:rPr>
                <w:rStyle w:val="VerbatimChar"/>
              </w:rPr>
              <w:t xml:space="preserve">jwdid, never</w:t>
            </w:r>
          </w:p>
        </w:tc>
        <w:tc>
          <w:tcPr/>
          <w:p>
            <w:pPr>
              <w:pStyle w:val="Compact"/>
              <w:jc w:val="left"/>
            </w:pPr>
            <w:r>
              <w:rPr>
                <w:rStyle w:val="VerbatimChar"/>
              </w:rPr>
              <w:t xml:space="preserve">eventstudyinteract</w:t>
            </w:r>
          </w:p>
        </w:tc>
      </w:tr>
      <w:tr>
        <w:tc>
          <w:tcPr/>
          <w:p>
            <w:pPr>
              <w:pStyle w:val="Compact"/>
              <w:jc w:val="left"/>
            </w:pPr>
            <w:r>
              <w:rPr>
                <w:rStyle w:val="VerbatimChar"/>
              </w:rPr>
              <w:t xml:space="preserve">jwdid, never</w:t>
            </w:r>
          </w:p>
        </w:tc>
        <w:tc>
          <w:tcPr/>
          <w:p>
            <w:pPr>
              <w:pStyle w:val="Compact"/>
              <w:jc w:val="left"/>
            </w:pPr>
            <w:r>
              <w:rPr>
                <w:rStyle w:val="VerbatimChar"/>
              </w:rPr>
              <w:t xml:space="preserve">csdid, long2</w:t>
            </w:r>
            <w:r>
              <w:t xml:space="preserve"> </w:t>
            </w:r>
            <w:r>
              <w:t xml:space="preserve">or</w:t>
            </w:r>
            <w:r>
              <w:t xml:space="preserve"> </w:t>
            </w:r>
            <w:r>
              <w:rPr>
                <w:rStyle w:val="VerbatimChar"/>
              </w:rPr>
              <w:t xml:space="preserve">csdid2, long</w:t>
            </w:r>
          </w:p>
        </w:tc>
      </w:tr>
    </w:tbl>
    <w:bookmarkEnd w:id="31"/>
    <w:bookmarkStart w:id="45" w:name="references"/>
    <w:p>
      <w:pPr>
        <w:pStyle w:val="Heading2"/>
      </w:pPr>
      <w:r>
        <w:t xml:space="preserve">References</w:t>
      </w:r>
    </w:p>
    <w:bookmarkStart w:id="44" w:name="refs"/>
    <w:bookmarkStart w:id="33" w:name="ref-borusyak_revisiting_2022"/>
    <w:p>
      <w:pPr>
        <w:pStyle w:val="Bibliography"/>
      </w:pPr>
      <w:r>
        <w:t xml:space="preserve">Borusyak, Kirill, Xavier Jaravel, and Jann Spiess. 2022.</w:t>
      </w:r>
      <w:r>
        <w:t xml:space="preserve"> </w:t>
      </w:r>
      <w:r>
        <w:t xml:space="preserve">“Revisiting</w:t>
      </w:r>
      <w:r>
        <w:t xml:space="preserve"> </w:t>
      </w:r>
      <w:r>
        <w:t xml:space="preserve">Event</w:t>
      </w:r>
      <w:r>
        <w:t xml:space="preserve"> </w:t>
      </w:r>
      <w:r>
        <w:t xml:space="preserve">Study</w:t>
      </w:r>
      <w:r>
        <w:t xml:space="preserve"> </w:t>
      </w:r>
      <w:r>
        <w:t xml:space="preserve">Designs</w:t>
      </w:r>
      <w:r>
        <w:t xml:space="preserve">:</w:t>
      </w:r>
      <w:r>
        <w:t xml:space="preserve"> </w:t>
      </w:r>
      <w:r>
        <w:t xml:space="preserve">Robust</w:t>
      </w:r>
      <w:r>
        <w:t xml:space="preserve"> </w:t>
      </w:r>
      <w:r>
        <w:t xml:space="preserve">and</w:t>
      </w:r>
      <w:r>
        <w:t xml:space="preserve"> </w:t>
      </w:r>
      <w:r>
        <w:t xml:space="preserve">Efficient</w:t>
      </w:r>
      <w:r>
        <w:t xml:space="preserve"> </w:t>
      </w:r>
      <w:r>
        <w:t xml:space="preserve">Estimation</w:t>
      </w:r>
      <w:r>
        <w:t xml:space="preserve">.”</w:t>
      </w:r>
      <w:r>
        <w:t xml:space="preserve"> </w:t>
      </w:r>
      <w:r>
        <w:t xml:space="preserve">arXiv.</w:t>
      </w:r>
      <w:r>
        <w:t xml:space="preserve"> </w:t>
      </w:r>
      <w:hyperlink r:id="rId32">
        <w:r>
          <w:rPr>
            <w:rStyle w:val="Hyperlink"/>
          </w:rPr>
          <w:t xml:space="preserve">https://doi.org/10.48550/arXiv.2108.12419</w:t>
        </w:r>
      </w:hyperlink>
      <w:r>
        <w:t xml:space="preserve">.</w:t>
      </w:r>
    </w:p>
    <w:bookmarkEnd w:id="33"/>
    <w:bookmarkStart w:id="35" w:name="ref-callaway_santanna_2021"/>
    <w:p>
      <w:pPr>
        <w:pStyle w:val="Bibliography"/>
      </w:pPr>
      <w:r>
        <w:t xml:space="preserve">Callaway, Brantly, and Pedro H. C. Sant’Anna. 2021.</w:t>
      </w:r>
      <w:r>
        <w:t xml:space="preserve"> </w:t>
      </w:r>
      <w:r>
        <w:t xml:space="preserve">“Difference-in-</w:t>
      </w:r>
      <w:r>
        <w:t xml:space="preserve">Differences</w:t>
      </w:r>
      <w:r>
        <w:t xml:space="preserve"> </w:t>
      </w:r>
      <w:r>
        <w:t xml:space="preserve">with Multiple Time Periods.”</w:t>
      </w:r>
      <w:r>
        <w:t xml:space="preserve"> </w:t>
      </w:r>
      <w:r>
        <w:rPr>
          <w:iCs/>
          <w:i/>
        </w:rPr>
        <w:t xml:space="preserve">Journal of Econometrics</w:t>
      </w:r>
      <w:r>
        <w:t xml:space="preserve">, Themed</w:t>
      </w:r>
      <w:r>
        <w:t xml:space="preserve"> </w:t>
      </w:r>
      <w:r>
        <w:t xml:space="preserve">Issue</w:t>
      </w:r>
      <w:r>
        <w:t xml:space="preserve">:</w:t>
      </w:r>
      <w:r>
        <w:t xml:space="preserve"> </w:t>
      </w:r>
      <w:r>
        <w:t xml:space="preserve">Treatment</w:t>
      </w:r>
      <w:r>
        <w:t xml:space="preserve"> </w:t>
      </w:r>
      <w:r>
        <w:t xml:space="preserve">Effect</w:t>
      </w:r>
      <w:r>
        <w:t xml:space="preserve"> </w:t>
      </w:r>
      <w:r>
        <w:t xml:space="preserve">1, 225 (2): 200–230.</w:t>
      </w:r>
      <w:r>
        <w:t xml:space="preserve"> </w:t>
      </w:r>
      <w:hyperlink r:id="rId34">
        <w:r>
          <w:rPr>
            <w:rStyle w:val="Hyperlink"/>
          </w:rPr>
          <w:t xml:space="preserve">https://doi.org/10.1016/j.jeconom.2020.12.001</w:t>
        </w:r>
      </w:hyperlink>
      <w:r>
        <w:t xml:space="preserve">.</w:t>
      </w:r>
    </w:p>
    <w:bookmarkEnd w:id="35"/>
    <w:bookmarkStart w:id="37" w:name="ref-gardner_two-stage_2022"/>
    <w:p>
      <w:pPr>
        <w:pStyle w:val="Bibliography"/>
      </w:pPr>
      <w:r>
        <w:t xml:space="preserve">Gardner, John. 2022.</w:t>
      </w:r>
      <w:r>
        <w:t xml:space="preserve"> </w:t>
      </w:r>
      <w:r>
        <w:t xml:space="preserve">“Two-Stage Differences in Differences.”</w:t>
      </w:r>
      <w:r>
        <w:t xml:space="preserve"> </w:t>
      </w:r>
      <w:r>
        <w:t xml:space="preserve">arXiv.</w:t>
      </w:r>
      <w:r>
        <w:t xml:space="preserve"> </w:t>
      </w:r>
      <w:hyperlink r:id="rId36">
        <w:r>
          <w:rPr>
            <w:rStyle w:val="Hyperlink"/>
          </w:rPr>
          <w:t xml:space="preserve">https://doi.org/10.48550/arXiv.2207.05943</w:t>
        </w:r>
      </w:hyperlink>
      <w:r>
        <w:t xml:space="preserve">.</w:t>
      </w:r>
    </w:p>
    <w:bookmarkEnd w:id="37"/>
    <w:bookmarkStart w:id="39" w:name="ref-santanna_doubly_2020"/>
    <w:p>
      <w:pPr>
        <w:pStyle w:val="Bibliography"/>
      </w:pPr>
      <w:r>
        <w:t xml:space="preserve">Sant’Anna, Pedro H. C., and Jun Zhao. 2020.</w:t>
      </w:r>
      <w:r>
        <w:t xml:space="preserve"> </w:t>
      </w:r>
      <w:r>
        <w:t xml:space="preserve">“Doubly Robust Difference-in-Differences Estimators.”</w:t>
      </w:r>
      <w:r>
        <w:t xml:space="preserve"> </w:t>
      </w:r>
      <w:r>
        <w:rPr>
          <w:iCs/>
          <w:i/>
        </w:rPr>
        <w:t xml:space="preserve">Journal of Econometrics</w:t>
      </w:r>
      <w:r>
        <w:t xml:space="preserve"> </w:t>
      </w:r>
      <w:r>
        <w:t xml:space="preserve">219 (1): 101–22.</w:t>
      </w:r>
      <w:r>
        <w:t xml:space="preserve"> </w:t>
      </w:r>
      <w:hyperlink r:id="rId38">
        <w:r>
          <w:rPr>
            <w:rStyle w:val="Hyperlink"/>
          </w:rPr>
          <w:t xml:space="preserve">https://doi.org/10.1016/j.jeconom.2020.06.003</w:t>
        </w:r>
      </w:hyperlink>
      <w:r>
        <w:t xml:space="preserve">.</w:t>
      </w:r>
    </w:p>
    <w:bookmarkEnd w:id="39"/>
    <w:bookmarkStart w:id="41" w:name="ref-sun_estimating_2021"/>
    <w:p>
      <w:pPr>
        <w:pStyle w:val="Bibliography"/>
      </w:pPr>
      <w:r>
        <w:t xml:space="preserve">Sun, Liyang, and Sarah Abraham. 2021.</w:t>
      </w:r>
      <w:r>
        <w:t xml:space="preserve"> </w:t>
      </w:r>
      <w:r>
        <w:t xml:space="preserve">“Estimating Dynamic Treatment Effects in Event Studies with Heterogeneous Treatment Effects.”</w:t>
      </w:r>
      <w:r>
        <w:t xml:space="preserve"> </w:t>
      </w:r>
      <w:r>
        <w:rPr>
          <w:iCs/>
          <w:i/>
        </w:rPr>
        <w:t xml:space="preserve">Journal of Econometrics</w:t>
      </w:r>
      <w:r>
        <w:t xml:space="preserve">, Themed</w:t>
      </w:r>
      <w:r>
        <w:t xml:space="preserve"> </w:t>
      </w:r>
      <w:r>
        <w:t xml:space="preserve">Issue</w:t>
      </w:r>
      <w:r>
        <w:t xml:space="preserve">:</w:t>
      </w:r>
      <w:r>
        <w:t xml:space="preserve"> </w:t>
      </w:r>
      <w:r>
        <w:t xml:space="preserve">Treatment</w:t>
      </w:r>
      <w:r>
        <w:t xml:space="preserve"> </w:t>
      </w:r>
      <w:r>
        <w:t xml:space="preserve">Effect</w:t>
      </w:r>
      <w:r>
        <w:t xml:space="preserve"> </w:t>
      </w:r>
      <w:r>
        <w:t xml:space="preserve">1, 225 (2): 175–99.</w:t>
      </w:r>
      <w:r>
        <w:t xml:space="preserve"> </w:t>
      </w:r>
      <w:hyperlink r:id="rId40">
        <w:r>
          <w:rPr>
            <w:rStyle w:val="Hyperlink"/>
          </w:rPr>
          <w:t xml:space="preserve">https://doi.org/10.1016/j.jeconom.2020.09.006</w:t>
        </w:r>
      </w:hyperlink>
      <w:r>
        <w:t xml:space="preserve">.</w:t>
      </w:r>
    </w:p>
    <w:bookmarkEnd w:id="41"/>
    <w:bookmarkStart w:id="43" w:name="ref-wooldridge_twoway_2021"/>
    <w:p>
      <w:pPr>
        <w:pStyle w:val="Bibliography"/>
      </w:pPr>
      <w:r>
        <w:t xml:space="preserve">Wooldridge, Jeffrey M. 2021.</w:t>
      </w:r>
      <w:r>
        <w:t xml:space="preserve"> </w:t>
      </w:r>
      <w:r>
        <w:t xml:space="preserve">“Two-</w:t>
      </w:r>
      <w:r>
        <w:t xml:space="preserve">Way</w:t>
      </w:r>
      <w:r>
        <w:t xml:space="preserve"> </w:t>
      </w:r>
      <w:r>
        <w:t xml:space="preserve">Fixed</w:t>
      </w:r>
      <w:r>
        <w:t xml:space="preserve"> </w:t>
      </w:r>
      <w:r>
        <w:t xml:space="preserve">Effects</w:t>
      </w:r>
      <w:r>
        <w:t xml:space="preserve">, the</w:t>
      </w:r>
      <w:r>
        <w:t xml:space="preserve"> </w:t>
      </w:r>
      <w:r>
        <w:t xml:space="preserve">Two</w:t>
      </w:r>
      <w:r>
        <w:t xml:space="preserve">-</w:t>
      </w:r>
      <w:r>
        <w:t xml:space="preserve">Way</w:t>
      </w:r>
      <w:r>
        <w:t xml:space="preserve"> </w:t>
      </w:r>
      <w:r>
        <w:t xml:space="preserve">Mundlak</w:t>
      </w:r>
      <w:r>
        <w:t xml:space="preserve"> </w:t>
      </w:r>
      <w:r>
        <w:t xml:space="preserve">Regression</w:t>
      </w:r>
      <w:r>
        <w:t xml:space="preserve">, and</w:t>
      </w:r>
      <w:r>
        <w:t xml:space="preserve"> </w:t>
      </w:r>
      <w:r>
        <w:t xml:space="preserve">Difference</w:t>
      </w:r>
      <w:r>
        <w:t xml:space="preserve">-in-</w:t>
      </w:r>
      <w:r>
        <w:t xml:space="preserve">Differences</w:t>
      </w:r>
      <w:r>
        <w:t xml:space="preserve"> </w:t>
      </w:r>
      <w:r>
        <w:t xml:space="preserve">Estimators</w:t>
      </w:r>
      <w:r>
        <w:t xml:space="preserve">.”</w:t>
      </w:r>
      <w:r>
        <w:t xml:space="preserve"> </w:t>
      </w:r>
      <w:r>
        <w:t xml:space="preserve">{SSRN} {Scholarly} {Paper}. Rochester, NY.</w:t>
      </w:r>
      <w:r>
        <w:t xml:space="preserve"> </w:t>
      </w:r>
      <w:hyperlink r:id="rId42">
        <w:r>
          <w:rPr>
            <w:rStyle w:val="Hyperlink"/>
          </w:rPr>
          <w:t xml:space="preserve">https://doi.org/10.2139/ssrn.3906345</w:t>
        </w:r>
      </w:hyperlink>
      <w:r>
        <w:t xml:space="preserve">.</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There are two other options, but I will leave them for a different post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doi.org/10.1016/j.jeconom.2020.06.003" TargetMode="External" /><Relationship Type="http://schemas.openxmlformats.org/officeDocument/2006/relationships/hyperlink" Id="rId40" Target="https://doi.org/10.1016/j.jeconom.2020.09.006" TargetMode="External" /><Relationship Type="http://schemas.openxmlformats.org/officeDocument/2006/relationships/hyperlink" Id="rId34" Target="https://doi.org/10.1016/j.jeconom.2020.12.001" TargetMode="External" /><Relationship Type="http://schemas.openxmlformats.org/officeDocument/2006/relationships/hyperlink" Id="rId42" Target="https://doi.org/10.2139/ssrn.3906345" TargetMode="External" /><Relationship Type="http://schemas.openxmlformats.org/officeDocument/2006/relationships/hyperlink" Id="rId32" Target="https://doi.org/10.48550/arXiv.2108.12419" TargetMode="External" /><Relationship Type="http://schemas.openxmlformats.org/officeDocument/2006/relationships/hyperlink" Id="rId36" Target="https://doi.org/10.48550/arXiv.2207.05943" TargetMode="External" /><Relationship Type="http://schemas.openxmlformats.org/officeDocument/2006/relationships/hyperlink" Id="rId27" Target="https://github.com/friosavila/csdid2"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1016/j.jeconom.2020.06.003" TargetMode="External" /><Relationship Type="http://schemas.openxmlformats.org/officeDocument/2006/relationships/hyperlink" Id="rId40" Target="https://doi.org/10.1016/j.jeconom.2020.09.006" TargetMode="External" /><Relationship Type="http://schemas.openxmlformats.org/officeDocument/2006/relationships/hyperlink" Id="rId34" Target="https://doi.org/10.1016/j.jeconom.2020.12.001" TargetMode="External" /><Relationship Type="http://schemas.openxmlformats.org/officeDocument/2006/relationships/hyperlink" Id="rId42" Target="https://doi.org/10.2139/ssrn.3906345" TargetMode="External" /><Relationship Type="http://schemas.openxmlformats.org/officeDocument/2006/relationships/hyperlink" Id="rId32" Target="https://doi.org/10.48550/arXiv.2108.12419" TargetMode="External" /><Relationship Type="http://schemas.openxmlformats.org/officeDocument/2006/relationships/hyperlink" Id="rId36" Target="https://doi.org/10.48550/arXiv.2207.05943" TargetMode="External" /><Relationship Type="http://schemas.openxmlformats.org/officeDocument/2006/relationships/hyperlink" Id="rId27" Target="https://github.com/friosavila/csdid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The Revolution</dc:title>
  <dc:creator/>
  <cp:keywords/>
  <dcterms:created xsi:type="dcterms:W3CDTF">2023-03-28T01:55:47Z</dcterms:created>
  <dcterms:modified xsi:type="dcterms:W3CDTF">2023-03-28T01:55:47Z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nbstata</vt:lpwstr>
  </property>
  <property fmtid="{D5CDD505-2E9C-101B-9397-08002B2CF9AE}" pid="8" name="labels">
    <vt:lpwstr/>
  </property>
  <property fmtid="{D5CDD505-2E9C-101B-9397-08002B2CF9AE}" pid="9" name="subtitle">
    <vt:lpwstr>How to right the wrongs</vt:lpwstr>
  </property>
  <property fmtid="{D5CDD505-2E9C-101B-9397-08002B2CF9AE}" pid="10" name="toc-title">
    <vt:lpwstr>Table of contents</vt:lpwstr>
  </property>
</Properties>
</file>