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2x2</w:t>
      </w:r>
      <w:r>
        <w:t xml:space="preserve"> </w:t>
      </w:r>
      <w:r>
        <w:t xml:space="preserve">DID:</w:t>
      </w:r>
      <w:r>
        <w:t xml:space="preserve"> </w:t>
      </w:r>
      <w:r>
        <w:t xml:space="preserve">Sant’Anna</w:t>
      </w:r>
      <w:r>
        <w:t xml:space="preserve"> </w:t>
      </w:r>
      <w:r>
        <w:t xml:space="preserve">and</w:t>
      </w:r>
      <w:r>
        <w:t xml:space="preserve"> </w:t>
      </w:r>
      <w:r>
        <w:t xml:space="preserve">Zhao</w:t>
      </w:r>
      <w:r>
        <w:t xml:space="preserve"> </w:t>
      </w:r>
      <w:r>
        <w:t xml:space="preserve">(2020)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not</w:t>
      </w:r>
      <w:r>
        <w:t xml:space="preserve"> </w:t>
      </w:r>
      <w:r>
        <w:t xml:space="preserve">so</w:t>
      </w:r>
      <w:r>
        <w:t xml:space="preserve"> </w:t>
      </w:r>
      <w:r>
        <w:t xml:space="preserve">simple</w:t>
      </w:r>
      <w:r>
        <w:t xml:space="preserve"> </w:t>
      </w:r>
      <w:r>
        <w:t xml:space="preserve">approach</w:t>
      </w:r>
    </w:p>
    <w:bookmarkStart w:id="20" w:name="introduction"/>
    <w:p>
      <w:pPr>
        <w:pStyle w:val="Heading2"/>
      </w:pPr>
      <w:r>
        <w:t xml:space="preserve">Introduction</w:t>
      </w:r>
    </w:p>
    <w:bookmarkEnd w:id="20"/>
    <w:bookmarkStart w:id="21" w:name="simple-2x2-did"/>
    <w:p>
      <w:pPr>
        <w:pStyle w:val="Heading2"/>
      </w:pPr>
      <w:r>
        <w:t xml:space="preserve">Simple 2x2 DID</w:t>
      </w:r>
    </w:p>
    <w:bookmarkEnd w:id="21"/>
    <w:bookmarkStart w:id="22" w:name="level-up-adding-controls"/>
    <w:p>
      <w:pPr>
        <w:pStyle w:val="Heading2"/>
      </w:pPr>
      <w:r>
        <w:t xml:space="preserve">Level up: Adding controls</w:t>
      </w:r>
    </w:p>
    <w:bookmarkEnd w:id="22"/>
    <w:bookmarkStart w:id="23" w:name="going-doubly-robust"/>
    <w:p>
      <w:pPr>
        <w:pStyle w:val="Heading2"/>
      </w:pPr>
      <w:r>
        <w:t xml:space="preserve">Going Doubly Robust</w:t>
      </w:r>
    </w:p>
    <w:bookmarkEnd w:id="23"/>
    <w:bookmarkStart w:id="24" w:name="drdid-the-stata-way"/>
    <w:p>
      <w:pPr>
        <w:pStyle w:val="Heading2"/>
      </w:pPr>
      <w:r>
        <w:rPr>
          <w:rStyle w:val="VerbatimChar"/>
        </w:rPr>
        <w:t xml:space="preserve">drdid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Stata</w:t>
      </w:r>
      <w:r>
        <w:t xml:space="preserve"> </w:t>
      </w:r>
      <w:r>
        <w:t xml:space="preserve">way</w:t>
      </w:r>
    </w:p>
    <w:bookmarkEnd w:id="24"/>
    <w:bookmarkStart w:id="28" w:name="references"/>
    <w:p>
      <w:pPr>
        <w:pStyle w:val="Heading2"/>
      </w:pPr>
      <w:r>
        <w:t xml:space="preserve">References</w:t>
      </w:r>
    </w:p>
    <w:bookmarkStart w:id="27" w:name="refs"/>
    <w:bookmarkStart w:id="26" w:name="ref-santanna_doubly_2020"/>
    <w:p>
      <w:pPr>
        <w:pStyle w:val="Bibliography"/>
      </w:pPr>
      <w:r>
        <w:t xml:space="preserve">Sant’Anna, Pedro H. C., and Jun Zhao. 2020.</w:t>
      </w:r>
      <w:r>
        <w:t xml:space="preserve"> </w:t>
      </w:r>
      <w:r>
        <w:t xml:space="preserve">“Doubly Robust Difference-in-Differences Estimators.”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 </w:t>
      </w:r>
      <w:r>
        <w:t xml:space="preserve">219 (1): 101–22.</w:t>
      </w:r>
      <w:r>
        <w:t xml:space="preserve"> </w:t>
      </w:r>
      <w:hyperlink r:id="rId25">
        <w:r>
          <w:rPr>
            <w:rStyle w:val="Hyperlink"/>
          </w:rPr>
          <w:t xml:space="preserve">https://doi.org/10.1016/j.jeconom.2020.06.003</w:t>
        </w:r>
      </w:hyperlink>
      <w:r>
        <w:t xml:space="preserve">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oi.org/10.1016/j.jeconom.2020.06.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1016/j.jeconom.2020.06.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2x2 DID: Sant’Anna and Zhao (2020)</dc:title>
  <dc:creator/>
  <cp:keywords/>
  <dcterms:created xsi:type="dcterms:W3CDTF">2023-03-28T01:56:03Z</dcterms:created>
  <dcterms:modified xsi:type="dcterms:W3CDTF">2023-03-28T01:56:03Z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nocite">
    <vt:lpwstr>@santanna_doubly_2020</vt:lpwstr>
  </property>
  <property fmtid="{D5CDD505-2E9C-101B-9397-08002B2CF9AE}" pid="10" name="subtitle">
    <vt:lpwstr>The not so simple approach</vt:lpwstr>
  </property>
  <property fmtid="{D5CDD505-2E9C-101B-9397-08002B2CF9AE}" pid="11" name="toc-title">
    <vt:lpwstr>Table of contents</vt:lpwstr>
  </property>
</Properties>
</file>