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Making</w:t>
      </w:r>
      <w:r>
        <w:t xml:space="preserve"> </w:t>
      </w:r>
      <w:r>
        <w:t xml:space="preserve">better</w:t>
      </w:r>
      <w:r>
        <w:t xml:space="preserve"> </w:t>
      </w:r>
      <w:r>
        <w:t xml:space="preserve">use</w:t>
      </w:r>
      <w:r>
        <w:t xml:space="preserve"> </w:t>
      </w:r>
      <w:r>
        <w:t xml:space="preserve">of</w:t>
      </w:r>
      <w:r>
        <w:t xml:space="preserve"> </w:t>
      </w:r>
      <w:r>
        <w:t xml:space="preserve">interval-censored</w:t>
      </w:r>
      <w:r>
        <w:t xml:space="preserve"> </w:t>
      </w:r>
      <w:r>
        <w:t xml:space="preserve">data</w:t>
      </w:r>
    </w:p>
    <w:p>
      <w:pPr>
        <w:pStyle w:val="Subtitle"/>
      </w:pPr>
      <w:r>
        <w:t xml:space="preserve">Introducing</w:t>
      </w:r>
      <w:r>
        <w:t xml:space="preserve"> </w:t>
      </w:r>
      <w:r>
        <w:rPr>
          <w:rStyle w:val="VerbatimChar"/>
        </w:rPr>
        <w:t xml:space="preserve">intreg_mi</w:t>
      </w:r>
    </w:p>
    <w:p>
      <w:pPr>
        <w:pStyle w:val="Author"/>
      </w:pPr>
      <w:r>
        <w:t xml:space="preserve">Fernando</w:t>
      </w:r>
      <w:r>
        <w:t xml:space="preserve"> </w:t>
      </w:r>
      <w:r>
        <w:t xml:space="preserve">Rios-Avila</w:t>
      </w:r>
    </w:p>
    <w:p>
      <w:pPr>
        <w:pStyle w:val="Author"/>
      </w:pPr>
      <w:r>
        <w:t xml:space="preserve">Gustavo</w:t>
      </w:r>
      <w:r>
        <w:t xml:space="preserve"> </w:t>
      </w:r>
      <w:r>
        <w:t xml:space="preserve">Canavire-Bacarreza</w:t>
      </w:r>
    </w:p>
    <w:p>
      <w:pPr>
        <w:pStyle w:val="Author"/>
      </w:pPr>
      <w:r>
        <w:t xml:space="preserve">Flavia</w:t>
      </w:r>
      <w:r>
        <w:t xml:space="preserve"> </w:t>
      </w:r>
      <w:r>
        <w:t xml:space="preserve">Sacco</w:t>
      </w:r>
      <w:r>
        <w:t xml:space="preserve"> </w:t>
      </w:r>
      <w:r>
        <w:t xml:space="preserve">Capurro</w:t>
      </w:r>
    </w:p>
    <w:bookmarkStart w:id="21" w:name="motivation"/>
    <w:p>
      <w:pPr>
        <w:pStyle w:val="Heading2"/>
      </w:pPr>
      <w:r>
        <w:t xml:space="preserve">Motivation</w:t>
      </w:r>
    </w:p>
    <w:p>
      <w:pPr>
        <w:pStyle w:val="FirstParagraph"/>
      </w:pPr>
      <w:r>
        <w:t xml:space="preserve">Researchers and policy makers rely on household budget surveys and labor force surveys to answer questions related to employment changes and income dynamics. Although household budget surveys offer rich income data that is used for official poverty and income inequality analysis, they are only available at a relatively low frequency. In contrast, labor force surveys are typically collected at a higher frequency but have more limited information in terms of sample sizes or quality of information collected. However, in many cases, labor force surveys collect and report family income and labor income data in brackets, which raises the problem of recovering the full income distribution, key to analyzing poverty and inequality.</w:t>
      </w:r>
    </w:p>
    <w:p>
      <w:pPr>
        <w:pStyle w:val="BodyText"/>
      </w:pPr>
      <w:r>
        <w:t xml:space="preserve">Using interval-censored data for analysis of income inequality is not uncommon. Many approaches exist to estimate GINI indices in presence of income inequality (see</w:t>
      </w:r>
      <w:r>
        <w:t xml:space="preserve"> </w:t>
      </w:r>
      <w:r>
        <w:t xml:space="preserve">Jenkins et al. (2011)</w:t>
      </w:r>
      <w:r>
        <w:t xml:space="preserve">,</w:t>
      </w:r>
      <w:r>
        <w:t xml:space="preserve"> </w:t>
      </w:r>
      <w:r>
        <w:t xml:space="preserve">Jargowsky and Wheeler (2018)</w:t>
      </w:r>
      <w:r>
        <w:t xml:space="preserve">), which rely on the parametric estimation of the unconditional income distribution. While these approaches can be used to obtain general measures of poverty and inequality for the population as a whole, their use is limited for analyzing the heterogeneity across individual characteristics.</w:t>
      </w:r>
    </w:p>
    <w:p>
      <w:pPr>
        <w:pStyle w:val="BodyText"/>
      </w:pPr>
      <w:r>
        <w:t xml:space="preserve">In our paper</w:t>
      </w:r>
      <w:r>
        <w:t xml:space="preserve"> </w:t>
      </w:r>
      <w:hyperlink r:id="rId20">
        <w:r>
          <w:rPr>
            <w:rStyle w:val="Hyperlink"/>
          </w:rPr>
          <w:t xml:space="preserve">Canavire-Bacarreza, Rios-Avila, and Sacco-Capurro (2022)</w:t>
        </w:r>
      </w:hyperlink>
      <w:r>
        <w:t xml:space="preserve">, we propose an alternative solution to the problem of analyzing interval-censored data that should be easy to implement using already available software. Our method extends the application of Multiple Imputation with interval-regression estimator proposed in</w:t>
      </w:r>
      <w:r>
        <w:t xml:space="preserve"> </w:t>
      </w:r>
      <w:r>
        <w:t xml:space="preserve">Royston (2007)</w:t>
      </w:r>
      <w:r>
        <w:t xml:space="preserve">, that is already built-in in many statistical software packages including</w:t>
      </w:r>
      <w:r>
        <w:t xml:space="preserve"> </w:t>
      </w:r>
      <w:r>
        <w:rPr>
          <w:rStyle w:val="VerbatimChar"/>
        </w:rPr>
        <w:t xml:space="preserve">Stata</w:t>
      </w:r>
      <w:r>
        <w:t xml:space="preserve">. Specifically, we suggest that using a</w:t>
      </w:r>
      <w:r>
        <w:t xml:space="preserve"> </w:t>
      </w:r>
      <w:r>
        <w:rPr>
          <w:bCs/>
          <w:b/>
        </w:rPr>
        <w:t xml:space="preserve">flexible</w:t>
      </w:r>
      <w:r>
        <w:t xml:space="preserve"> </w:t>
      </w:r>
      <w:r>
        <w:t xml:space="preserve">enough interval regression estimator that allows for heteroskedastic errors can be used to characterized the conditional distribution of the censored data. One the model is estimated, we can use multiple imputation to create syntethic data, which can be analyzed using standard econometric or statistic tools.</w:t>
      </w:r>
    </w:p>
    <w:bookmarkEnd w:id="21"/>
    <w:bookmarkStart w:id="42" w:name="understanding-the-problem"/>
    <w:p>
      <w:pPr>
        <w:pStyle w:val="Heading2"/>
      </w:pPr>
      <w:r>
        <w:t xml:space="preserve">Understanding the Problem</w:t>
      </w:r>
    </w:p>
    <w:p>
      <w:pPr>
        <w:pStyle w:val="FirstParagraph"/>
      </w:pPr>
      <w:r>
        <w:t xml:space="preserve">To illustrate the problem, we use an excerpt of the Swiss Labor Force Survey 1998, which is available online and has the type of data and variables applied econometricians may use. Assume we are interested in analyzing the relationship between hourly wages (dependent variable) and four independent variables: years of education, age of the respondent, years of job tenure, and gender. However, data on wages per hour were not collected directly, but rather it was collected by people indicating if their earnings belong to a list of income brackets. Thus, we only know the category of where a person’s wage per hour would fall, making it difficult to relate our variables of interest with wages per hour.</w:t>
      </w:r>
    </w:p>
    <w:tbl>
      <w:tblPr>
        <w:tblStyle w:val="Table"/>
        <w:tblW w:type="pct" w:w="5000"/>
        <w:tblLook w:firstRow="0" w:lastRow="0" w:firstColumn="0" w:lastColumn="0" w:noHBand="0" w:noVBand="0" w:val="0000"/>
        <w:jc w:val="start"/>
      </w:tblPr>
      <w:tblGrid>
        <w:gridCol w:w="7920"/>
      </w:tblGrid>
      <w:tr>
        <w:tc>
          <w:tcPr/>
          <w:bookmarkStart w:id="30" w:name="fig-corr1"/>
          <w:tbl>
            <w:tblPr>
              <w:tblStyle w:val="Table"/>
              <w:tblW w:type="pct" w:w="5000"/>
              <w:tblLook w:firstRow="0" w:lastRow="0" w:firstColumn="0" w:lastColumn="0" w:noHBand="0" w:noVBand="0" w:val="0000"/>
              <w:jc w:val="start"/>
            </w:tblPr>
            <w:tblGrid>
              <w:gridCol w:w="3960"/>
              <w:gridCol w:w="3960"/>
            </w:tblGrid>
            <w:tr>
              <w:tc>
                <w:tcPr/>
                <w:tbl>
                  <w:tblPr>
                    <w:tblStyle w:val="Table"/>
                    <w:tblW w:type="pct" w:w="5000"/>
                    <w:tblLook w:firstRow="0" w:lastRow="0" w:firstColumn="0" w:lastColumn="0" w:noHBand="0" w:noVBand="0" w:val="0000"/>
                    <w:jc w:val="start"/>
                  </w:tblPr>
                  <w:tblGrid>
                    <w:gridCol w:w="7920"/>
                  </w:tblGrid>
                  <w:tr>
                    <w:tc>
                      <w:tcPr/>
                      <w:bookmarkStart w:id="25" w:name="fig-corr1-1"/>
                      <w:p>
                        <w:pPr>
                          <w:jc w:val="center"/>
                          <w:jc w:val="center"/>
                          <w:jc w:val="center"/>
                        </w:pPr>
                        <w:r>
                          <w:drawing>
                            <wp:inline>
                              <wp:extent cx="2971800" cy="2968828"/>
                              <wp:effectExtent b="0" l="0" r="0" t="0"/>
                              <wp:docPr descr="" title="" id="23" name="Picture"/>
                              <a:graphic>
                                <a:graphicData uri="http://schemas.openxmlformats.org/drawingml/2006/picture">
                                  <pic:pic>
                                    <pic:nvPicPr>
                                      <pic:cNvPr descr="intreg_mi1.png" id="24" name="Picture"/>
                                      <pic:cNvPicPr>
                                        <a:picLocks noChangeArrowheads="1" noChangeAspect="1"/>
                                      </pic:cNvPicPr>
                                    </pic:nvPicPr>
                                    <pic:blipFill>
                                      <a:blip r:embed="rId22"/>
                                      <a:stretch>
                                        <a:fillRect/>
                                      </a:stretch>
                                    </pic:blipFill>
                                    <pic:spPr bwMode="auto">
                                      <a:xfrm>
                                        <a:off x="0" y="0"/>
                                        <a:ext cx="2971800" cy="2968828"/>
                                      </a:xfrm>
                                      <a:prstGeom prst="rect">
                                        <a:avLst/>
                                      </a:prstGeom>
                                      <a:noFill/>
                                      <a:ln w="9525">
                                        <a:noFill/>
                                        <a:headEnd/>
                                        <a:tailEnd/>
                                      </a:ln>
                                    </pic:spPr>
                                  </pic:pic>
                                </a:graphicData>
                              </a:graphic>
                            </wp:inline>
                          </w:drawing>
                        </w:r>
                      </w:p>
                      <w:p>
                        <w:pPr>
                          <w:jc w:val="center"/>
                          <w:jc w:val="center"/>
                          <w:jc w:val="center"/>
                        </w:pPr>
                        <w:pPr>
                          <w:jc w:val="start"/>
                          <w:spacing w:before="200"/>
                          <w:pStyle w:val="ImageCaption"/>
                        </w:pPr>
                        <w:r>
                          <w:t xml:space="preserve">(a) Fully Observed</w:t>
                        </w:r>
                      </w:p>
                      <w:bookmarkEnd w:id="25"/>
                    </w:tc>
                  </w:tr>
                </w:tbl>
                <w:p/>
              </w:tc>
              <w:tc>
                <w:tcPr/>
                <w:p>
                  <w:pPr>
                    <w:jc w:val="center"/>
                    <w:jc w:val="center"/>
                  </w:pPr>
                  <w:r>
                    <w:t xml:space="preserve"> </w:t>
                  </w:r>
                </w:p>
              </w:tc>
            </w:tr>
          </w:tbl>
          <w:p>
            <w:pPr>
              <w:framePr w:w="0" w:h="0" w:vAnchor="margin" w:hAnchor="margin" w:xAlign="right" w:yAlign="top"/>
            </w:pPr>
          </w:p>
          <w:tbl>
            <w:tblPr>
              <w:tblStyle w:val="Table"/>
              <w:tblW w:type="pct" w:w="2500"/>
              <w:tblLook w:firstRow="0" w:lastRow="0" w:firstColumn="0" w:lastColumn="0" w:noHBand="0" w:noVBand="0" w:val="0000"/>
              <w:jc w:val="start"/>
            </w:tblPr>
            <w:tblGrid>
              <w:gridCol w:w="3960"/>
            </w:tblGrid>
            <w:tr>
              <w:tc>
                <w:tcPr/>
                <w:tbl>
                  <w:tblPr>
                    <w:tblStyle w:val="Table"/>
                    <w:tblW w:type="pct" w:w="5000"/>
                    <w:tblLook w:firstRow="0" w:lastRow="0" w:firstColumn="0" w:lastColumn="0" w:noHBand="0" w:noVBand="0" w:val="0000"/>
                    <w:jc w:val="start"/>
                  </w:tblPr>
                  <w:tblGrid>
                    <w:gridCol w:w="7920"/>
                  </w:tblGrid>
                  <w:tr>
                    <w:tc>
                      <w:tcPr/>
                      <w:bookmarkStart w:id="29" w:name="fig-corr1-2"/>
                      <w:p>
                        <w:pPr>
                          <w:jc w:val="center"/>
                          <w:jc w:val="center"/>
                          <w:jc w:val="center"/>
                        </w:pPr>
                        <w:r>
                          <w:drawing>
                            <wp:inline>
                              <wp:extent cx="2971800" cy="2968828"/>
                              <wp:effectExtent b="0" l="0" r="0" t="0"/>
                              <wp:docPr descr="" title="" id="27" name="Picture"/>
                              <a:graphic>
                                <a:graphicData uri="http://schemas.openxmlformats.org/drawingml/2006/picture">
                                  <pic:pic>
                                    <pic:nvPicPr>
                                      <pic:cNvPr descr="intreg_mi2.png" id="28" name="Picture"/>
                                      <pic:cNvPicPr>
                                        <a:picLocks noChangeArrowheads="1" noChangeAspect="1"/>
                                      </pic:cNvPicPr>
                                    </pic:nvPicPr>
                                    <pic:blipFill>
                                      <a:blip r:embed="rId26"/>
                                      <a:stretch>
                                        <a:fillRect/>
                                      </a:stretch>
                                    </pic:blipFill>
                                    <pic:spPr bwMode="auto">
                                      <a:xfrm>
                                        <a:off x="0" y="0"/>
                                        <a:ext cx="2971800" cy="2968828"/>
                                      </a:xfrm>
                                      <a:prstGeom prst="rect">
                                        <a:avLst/>
                                      </a:prstGeom>
                                      <a:noFill/>
                                      <a:ln w="9525">
                                        <a:noFill/>
                                        <a:headEnd/>
                                        <a:tailEnd/>
                                      </a:ln>
                                    </pic:spPr>
                                  </pic:pic>
                                </a:graphicData>
                              </a:graphic>
                            </wp:inline>
                          </w:drawing>
                        </w:r>
                      </w:p>
                      <w:p>
                        <w:pPr>
                          <w:jc w:val="center"/>
                          <w:jc w:val="center"/>
                          <w:jc w:val="center"/>
                        </w:pPr>
                        <w:pPr>
                          <w:jc w:val="start"/>
                          <w:spacing w:before="200"/>
                          <w:pStyle w:val="ImageCaption"/>
                        </w:pPr>
                        <w:r>
                          <w:t xml:space="preserve">(b) Censored</w:t>
                        </w:r>
                      </w:p>
                      <w:bookmarkEnd w:id="29"/>
                    </w:tc>
                  </w:tr>
                </w:tbl>
                <w:p/>
              </w:tc>
            </w:tr>
          </w:tbl>
          <w:p>
            <w:pPr>
              <w:jc w:val="center"/>
            </w:pPr>
            <w:pPr>
              <w:jc w:val="start"/>
              <w:spacing w:before="200"/>
              <w:pStyle w:val="ImageCaption"/>
            </w:pPr>
            <w:pPr>
              <w:spacing w:before="200"/>
              <w:pStyle w:val="ImageCaption"/>
            </w:pPr>
            <w:r>
              <w:t xml:space="preserve">Figure 1: Wages vs Education, Age and Tenure</w:t>
            </w:r>
          </w:p>
          <w:bookmarkEnd w:id="30"/>
        </w:tc>
      </w:tr>
    </w:tbl>
    <w:p>
      <w:pPr>
        <w:pStyle w:val="BodyText"/>
      </w:pPr>
      <w:hyperlink w:anchor="fig-corr1">
        <w:r>
          <w:rPr>
            <w:rStyle w:val="Hyperlink"/>
          </w:rPr>
          <w:t xml:space="preserve">Figure 1</w:t>
        </w:r>
      </w:hyperlink>
      <w:r>
        <w:t xml:space="preserve"> </w:t>
      </w:r>
      <w:r>
        <w:t xml:space="preserve">presents information on the visual correlations between wages and three of the varialbes of interest.</w:t>
      </w:r>
      <w:r>
        <w:t xml:space="preserve"> </w:t>
      </w:r>
      <w:hyperlink w:anchor="fig-corr1-1">
        <w:r>
          <w:rPr>
            <w:rStyle w:val="Hyperlink"/>
          </w:rPr>
          <w:t xml:space="preserve">Figure 1 (a)</w:t>
        </w:r>
      </w:hyperlink>
      <w:r>
        <w:t xml:space="preserve"> </w:t>
      </w:r>
      <w:r>
        <w:t xml:space="preserve">provides scatter plots of the fully observed wages agains the explanatory variables, whereas</w:t>
      </w:r>
      <w:r>
        <w:t xml:space="preserve"> </w:t>
      </w:r>
      <w:hyperlink w:anchor="fig-corr1-2">
        <w:r>
          <w:rPr>
            <w:rStyle w:val="Hyperlink"/>
          </w:rPr>
          <w:t xml:space="preserve">Figure 1 (b)</w:t>
        </w:r>
      </w:hyperlink>
      <w:r>
        <w:t xml:space="preserve"> </w:t>
      </w:r>
      <w:r>
        <w:t xml:space="preserve">does the same, but using the bracket censored data.</w:t>
      </w:r>
    </w:p>
    <w:p>
      <w:pPr>
        <w:pStyle w:val="BodyText"/>
      </w:pPr>
      <w:r>
        <w:t xml:space="preserve">If one is interested in analyzing other moments, such as conditional quantiles, current methods would not allow for it, since they are mostly focused on explaining conditional means. However, that is where our approach comes into place. We start by using the</w:t>
      </w:r>
      <w:r>
        <w:t xml:space="preserve"> </w:t>
      </w:r>
      <w:r>
        <w:rPr>
          <w:rStyle w:val="VerbatimChar"/>
        </w:rPr>
        <w:t xml:space="preserve">intreg, het()</w:t>
      </w:r>
      <w:r>
        <w:t xml:space="preserve"> </w:t>
      </w:r>
      <w:r>
        <w:t xml:space="preserve">command to model both the conditional mean and conditional variance. The latter is important because it allows us to explicitly model relationships between the dependent and independent variables that vary across the distribution. After we estimate the parameters for the conditional distribution, we can use it to generate multiple syntethic datasets (multiple imputation) with our command</w:t>
      </w:r>
      <w:r>
        <w:t xml:space="preserve"> </w:t>
      </w:r>
      <w:r>
        <w:rPr>
          <w:rStyle w:val="VerbatimChar"/>
        </w:rPr>
        <w:t xml:space="preserve">intreg_mi</w:t>
      </w:r>
      <w:r>
        <w:t xml:space="preserve">. This multiple imputed data can later be analyzed using standard econometric tools.</w:t>
      </w:r>
    </w:p>
    <w:p>
      <w:pPr>
        <w:pStyle w:val="BodyText"/>
      </w:pPr>
      <w:r>
        <w:t xml:space="preserve">We use this strategy with the data from</w:t>
      </w:r>
      <w:r>
        <w:t xml:space="preserve"> </w:t>
      </w:r>
      <w:hyperlink w:anchor="fig-corr1-2">
        <w:r>
          <w:rPr>
            <w:rStyle w:val="Hyperlink"/>
          </w:rPr>
          <w:t xml:space="preserve">Figure 1 (b)</w:t>
        </w:r>
      </w:hyperlink>
      <w:r>
        <w:t xml:space="preserve">, and generate multiple synthetic datasets to reconstruct the censored data. For completeness, we impute directly</w:t>
      </w:r>
      <w:r>
        <w:t xml:space="preserve"> </w:t>
      </w:r>
      <w:r>
        <w:rPr>
          <w:bCs/>
          <w:b/>
        </w:rPr>
        <w:t xml:space="preserve">wages</w:t>
      </w:r>
      <w:r>
        <w:t xml:space="preserve"> </w:t>
      </w:r>
      <w:r>
        <w:t xml:space="preserve">as well as</w:t>
      </w:r>
      <w:r>
        <w:t xml:space="preserve"> </w:t>
      </w:r>
      <w:r>
        <w:rPr>
          <w:bCs/>
          <w:b/>
        </w:rPr>
        <w:t xml:space="preserve">log(wages)</w:t>
      </w:r>
      <w:r>
        <w:t xml:space="preserve">. To inspect how well the imputed data replicates the original data, we plot their density functions in</w:t>
      </w:r>
      <w:r>
        <w:t xml:space="preserve"> </w:t>
      </w:r>
      <w:hyperlink w:anchor="fig-den">
        <w:r>
          <w:rPr>
            <w:rStyle w:val="Hyperlink"/>
          </w:rPr>
          <w:t xml:space="preserve">Figure 2</w:t>
        </w:r>
      </w:hyperlink>
      <w:r>
        <w:t xml:space="preserve">. The yellow line representing the true wage distribution, and the blue lines corresponding to the imputed data. And of this scenario, it seems that imputed log(wages), or wages directly has little effect in the replicating the wage distribution.</w:t>
      </w:r>
    </w:p>
    <w:tbl>
      <w:tblPr>
        <w:tblStyle w:val="Table"/>
        <w:tblW w:type="pct" w:w="5000"/>
        <w:tblLook w:firstRow="0" w:lastRow="0" w:firstColumn="0" w:lastColumn="0" w:noHBand="0" w:noVBand="0" w:val="0000"/>
        <w:jc w:val="start"/>
      </w:tblPr>
      <w:tblGrid>
        <w:gridCol w:w="7920"/>
      </w:tblGrid>
      <w:tr>
        <w:tc>
          <w:tcPr/>
          <w:bookmarkStart w:id="34" w:name="fig-den"/>
          <w:p>
            <w:pPr>
              <w:jc w:val="center"/>
            </w:pPr>
            <w:r>
              <w:drawing>
                <wp:inline>
                  <wp:extent cx="5334000" cy="2665332"/>
                  <wp:effectExtent b="0" l="0" r="0" t="0"/>
                  <wp:docPr descr="" title="" id="32" name="Picture"/>
                  <a:graphic>
                    <a:graphicData uri="http://schemas.openxmlformats.org/drawingml/2006/picture">
                      <pic:pic>
                        <pic:nvPicPr>
                          <pic:cNvPr descr="intreg_mi3.png" id="33" name="Picture"/>
                          <pic:cNvPicPr>
                            <a:picLocks noChangeArrowheads="1" noChangeAspect="1"/>
                          </pic:cNvPicPr>
                        </pic:nvPicPr>
                        <pic:blipFill>
                          <a:blip r:embed="rId31"/>
                          <a:stretch>
                            <a:fillRect/>
                          </a:stretch>
                        </pic:blipFill>
                        <pic:spPr bwMode="auto">
                          <a:xfrm>
                            <a:off x="0" y="0"/>
                            <a:ext cx="5334000" cy="26653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Observed vs Imputed Wages</w:t>
            </w:r>
          </w:p>
          <w:bookmarkEnd w:id="34"/>
        </w:tc>
      </w:tr>
    </w:tbl>
    <w:p>
      <w:pPr>
        <w:pStyle w:val="BodyText"/>
      </w:pPr>
      <w:r>
        <w:t xml:space="preserve">After creating the multiple-imputed synthethic datasets, they can be analyzed applying standard aggregation rules. In</w:t>
      </w:r>
      <w:r>
        <w:t xml:space="preserve"> </w:t>
      </w:r>
      <w:r>
        <w:rPr>
          <w:rStyle w:val="VerbatimChar"/>
        </w:rPr>
        <w:t xml:space="preserve">Stata</w:t>
      </w:r>
      <w:r>
        <w:t xml:space="preserve">, this can be done using</w:t>
      </w:r>
      <w:r>
        <w:t xml:space="preserve"> </w:t>
      </w:r>
      <w:r>
        <w:rPr>
          <w:rStyle w:val="VerbatimChar"/>
        </w:rPr>
        <w:t xml:space="preserve">mi</w:t>
      </w:r>
      <w:r>
        <w:t xml:space="preserve"> </w:t>
      </w:r>
      <w:r>
        <w:t xml:space="preserve">commands. Because multiple imputation would provide no added value to the estimation of conditional means (linear regression), we compare esitmates using conditional quantile regressions.</w:t>
      </w:r>
    </w:p>
    <w:tbl>
      <w:tblPr>
        <w:tblStyle w:val="Table"/>
        <w:tblW w:type="pct" w:w="5000"/>
        <w:tblLook w:firstRow="0" w:lastRow="0" w:firstColumn="0" w:lastColumn="0" w:noHBand="0" w:noVBand="0" w:val="0000"/>
        <w:jc w:val="start"/>
      </w:tblPr>
      <w:tblGrid>
        <w:gridCol w:w="7920"/>
      </w:tblGrid>
      <w:tr>
        <w:tc>
          <w:tcPr/>
          <w:bookmarkStart w:id="38" w:name="fig-qret"/>
          <w:p>
            <w:pPr>
              <w:jc w:val="center"/>
            </w:pPr>
            <w:r>
              <w:drawing>
                <wp:inline>
                  <wp:extent cx="5334000" cy="3553036"/>
                  <wp:effectExtent b="0" l="0" r="0" t="0"/>
                  <wp:docPr descr="" title="" id="36" name="Picture"/>
                  <a:graphic>
                    <a:graphicData uri="http://schemas.openxmlformats.org/drawingml/2006/picture">
                      <pic:pic>
                        <pic:nvPicPr>
                          <pic:cNvPr descr="intreg_mi4.png" id="37" name="Picture"/>
                          <pic:cNvPicPr>
                            <a:picLocks noChangeArrowheads="1" noChangeAspect="1"/>
                          </pic:cNvPicPr>
                        </pic:nvPicPr>
                        <pic:blipFill>
                          <a:blip r:embed="rId35"/>
                          <a:stretch>
                            <a:fillRect/>
                          </a:stretch>
                        </pic:blipFill>
                        <pic:spPr bwMode="auto">
                          <a:xfrm>
                            <a:off x="0" y="0"/>
                            <a:ext cx="5334000" cy="355303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Quantile Regression Coefficients</w:t>
            </w:r>
          </w:p>
          <w:bookmarkEnd w:id="38"/>
        </w:tc>
      </w:tr>
    </w:tbl>
    <w:p>
      <w:pPr>
        <w:pStyle w:val="BodyText"/>
      </w:pPr>
      <w:hyperlink w:anchor="fig-qret">
        <w:r>
          <w:rPr>
            <w:rStyle w:val="Hyperlink"/>
          </w:rPr>
          <w:t xml:space="preserve">Figure 3</w:t>
        </w:r>
      </w:hyperlink>
      <w:r>
        <w:t xml:space="preserve"> </w:t>
      </w:r>
      <w:r>
        <w:t xml:space="preserve">contrasts the results of the quantile regression coefficients, using the fully observed data, as well as the two imputed data options. In general, while the estimated parameters using imputed data does not replicate the quantile regression coefficients perfectly, it captures most of the observed trends across the distribution. Considering that we start with only limited information of wages in brackets, the fact that we can obtain good approximations of the unobserved effects is a considerable advantage.</w:t>
      </w:r>
    </w:p>
    <w:p>
      <w:pPr>
        <w:pStyle w:val="BodyText"/>
      </w:pPr>
      <w:r>
        <w:t xml:space="preserve">The imputed data can be utilized in other ways. Policy analysists may be interested in analyzing the role of covariates on distributional statistics other than the mean. For example, they may be interested in analyzing income distribution using unconditional quantiles, Gini coefficients across groups, as well as other measures of income inequality.</w:t>
      </w:r>
    </w:p>
    <w:bookmarkStart w:id="41" w:name="tbl-ineq"/>
    <w:tbl>
      <w:tblPr>
        <w:tblStyle w:val="Table"/>
        <w:tblW w:type="pct" w:w="5000"/>
        <w:tblLook w:firstRow="0" w:lastRow="0" w:firstColumn="0" w:lastColumn="0" w:noHBand="0" w:noVBand="0" w:val="0000"/>
        <w:jc w:val="start"/>
      </w:tblPr>
      <w:tblGrid>
        <w:gridCol w:w="3960"/>
        <w:gridCol w:w="3960"/>
      </w:tblGrid>
      <w:tr>
        <w:tc>
          <w:tcPr/>
          <w:bookmarkStart w:id="39" w:name="tbl-ineq1"/>
          <w:p>
            <w:pPr>
              <w:jc w:val="left"/>
            </w:pPr>
            <w:pPr>
              <w:jc w:val="center"/>
              <w:spacing w:before="200"/>
              <w:pStyle w:val="ImageCaption"/>
            </w:pPr>
            <w:r>
              <w:t xml:space="preserve">(a) Men</w:t>
            </w:r>
          </w:p>
          <w:tbl>
            <w:tblPr>
              <w:tblStyle w:val="Table"/>
              <w:tblW w:type="pct" w:w="4900"/>
              <w:tblLook w:firstRow="1" w:lastRow="0" w:firstColumn="0" w:lastColumn="0" w:noHBand="0" w:noVBand="0" w:val="0020"/>
              <w:jc w:val="start"/>
            </w:tblPr>
            <w:tblGrid>
              <w:gridCol w:w="1940"/>
              <w:gridCol w:w="1940"/>
              <w:gridCol w:w="1940"/>
              <w:gridCol w:w="1940"/>
            </w:tblGrid>
            <w:tr>
              <w:trPr>
                <w:tblHeader w:val="true"/>
              </w:trPr>
              <w:tc>
                <w:tcPr/>
                <w:p>
                  <w:pPr>
                    <w:pStyle w:val="Compact"/>
                  </w:pPr>
                </w:p>
              </w:tc>
              <w:tc>
                <w:tcPr/>
                <w:p>
                  <w:pPr>
                    <w:pStyle w:val="Compact"/>
                    <w:jc w:val="right"/>
                    <w:jc w:val="left"/>
                  </w:pPr>
                  <w:r>
                    <w:t xml:space="preserve">Fully Observed</w:t>
                  </w:r>
                </w:p>
              </w:tc>
              <w:tc>
                <w:tcPr/>
                <w:p>
                  <w:pPr>
                    <w:pStyle w:val="Compact"/>
                    <w:jc w:val="right"/>
                    <w:jc w:val="left"/>
                  </w:pPr>
                  <w:r>
                    <w:t xml:space="preserve">Imp-log_w</w:t>
                  </w:r>
                </w:p>
              </w:tc>
              <w:tc>
                <w:tcPr/>
                <w:p>
                  <w:pPr>
                    <w:pStyle w:val="Compact"/>
                    <w:jc w:val="right"/>
                    <w:jc w:val="left"/>
                  </w:pPr>
                  <w:r>
                    <w:t xml:space="preserve">Imp-wage</w:t>
                  </w:r>
                </w:p>
              </w:tc>
            </w:tr>
            <w:tr>
              <w:tc>
                <w:tcPr/>
                <w:p>
                  <w:pPr>
                    <w:pStyle w:val="Compact"/>
                    <w:jc w:val="left"/>
                    <w:jc w:val="left"/>
                  </w:pPr>
                  <w:r>
                    <w:t xml:space="preserve">Q_10</w:t>
                  </w:r>
                </w:p>
              </w:tc>
              <w:tc>
                <w:tcPr/>
                <w:p>
                  <w:pPr>
                    <w:pStyle w:val="Compact"/>
                    <w:jc w:val="right"/>
                    <w:jc w:val="left"/>
                  </w:pPr>
                  <w:r>
                    <w:t xml:space="preserve">20.35</w:t>
                  </w:r>
                </w:p>
              </w:tc>
              <w:tc>
                <w:tcPr/>
                <w:p>
                  <w:pPr>
                    <w:pStyle w:val="Compact"/>
                    <w:jc w:val="right"/>
                    <w:jc w:val="left"/>
                  </w:pPr>
                  <w:r>
                    <w:t xml:space="preserve">20.22</w:t>
                  </w:r>
                </w:p>
              </w:tc>
              <w:tc>
                <w:tcPr/>
                <w:p>
                  <w:pPr>
                    <w:pStyle w:val="Compact"/>
                    <w:jc w:val="right"/>
                    <w:jc w:val="left"/>
                  </w:pPr>
                  <w:r>
                    <w:t xml:space="preserve">20.25</w:t>
                  </w:r>
                </w:p>
              </w:tc>
            </w:tr>
            <w:tr>
              <w:tc>
                <w:tcPr/>
                <w:p>
                  <w:pPr>
                    <w:pStyle w:val="Compact"/>
                  </w:pPr>
                </w:p>
              </w:tc>
              <w:tc>
                <w:tcPr/>
                <w:p>
                  <w:pPr>
                    <w:pStyle w:val="Compact"/>
                    <w:jc w:val="right"/>
                    <w:jc w:val="left"/>
                  </w:pPr>
                  <w:r>
                    <w:t xml:space="preserve">(0.568)</w:t>
                  </w:r>
                </w:p>
              </w:tc>
              <w:tc>
                <w:tcPr/>
                <w:p>
                  <w:pPr>
                    <w:pStyle w:val="Compact"/>
                    <w:jc w:val="right"/>
                    <w:jc w:val="left"/>
                  </w:pPr>
                  <w:r>
                    <w:t xml:space="preserve">(0.570)</w:t>
                  </w:r>
                </w:p>
              </w:tc>
              <w:tc>
                <w:tcPr/>
                <w:p>
                  <w:pPr>
                    <w:pStyle w:val="Compact"/>
                    <w:jc w:val="right"/>
                    <w:jc w:val="left"/>
                  </w:pPr>
                  <w:r>
                    <w:t xml:space="preserve">(0.605)</w:t>
                  </w:r>
                </w:p>
              </w:tc>
            </w:tr>
            <w:tr>
              <w:tc>
                <w:tcPr/>
                <w:p>
                  <w:pPr>
                    <w:pStyle w:val="Compact"/>
                    <w:jc w:val="left"/>
                    <w:jc w:val="left"/>
                  </w:pPr>
                  <w:r>
                    <w:t xml:space="preserve">Q_90</w:t>
                  </w:r>
                </w:p>
              </w:tc>
              <w:tc>
                <w:tcPr/>
                <w:p>
                  <w:pPr>
                    <w:pStyle w:val="Compact"/>
                    <w:jc w:val="right"/>
                    <w:jc w:val="left"/>
                  </w:pPr>
                  <w:r>
                    <w:t xml:space="preserve">52.72</w:t>
                  </w:r>
                </w:p>
              </w:tc>
              <w:tc>
                <w:tcPr/>
                <w:p>
                  <w:pPr>
                    <w:pStyle w:val="Compact"/>
                    <w:jc w:val="right"/>
                    <w:jc w:val="left"/>
                  </w:pPr>
                  <w:r>
                    <w:t xml:space="preserve">52.51</w:t>
                  </w:r>
                </w:p>
              </w:tc>
              <w:tc>
                <w:tcPr/>
                <w:p>
                  <w:pPr>
                    <w:pStyle w:val="Compact"/>
                    <w:jc w:val="right"/>
                    <w:jc w:val="left"/>
                  </w:pPr>
                  <w:r>
                    <w:t xml:space="preserve">52.37</w:t>
                  </w:r>
                </w:p>
              </w:tc>
            </w:tr>
            <w:tr>
              <w:tc>
                <w:tcPr/>
                <w:p>
                  <w:pPr>
                    <w:pStyle w:val="Compact"/>
                  </w:pPr>
                </w:p>
              </w:tc>
              <w:tc>
                <w:tcPr/>
                <w:p>
                  <w:pPr>
                    <w:pStyle w:val="Compact"/>
                    <w:jc w:val="right"/>
                    <w:jc w:val="left"/>
                  </w:pPr>
                  <w:r>
                    <w:t xml:space="preserve">(1.126)</w:t>
                  </w:r>
                </w:p>
              </w:tc>
              <w:tc>
                <w:tcPr/>
                <w:p>
                  <w:pPr>
                    <w:pStyle w:val="Compact"/>
                    <w:jc w:val="right"/>
                    <w:jc w:val="left"/>
                  </w:pPr>
                  <w:r>
                    <w:t xml:space="preserve">(1.561)</w:t>
                  </w:r>
                </w:p>
              </w:tc>
              <w:tc>
                <w:tcPr/>
                <w:p>
                  <w:pPr>
                    <w:pStyle w:val="Compact"/>
                    <w:jc w:val="right"/>
                    <w:jc w:val="left"/>
                  </w:pPr>
                  <w:r>
                    <w:t xml:space="preserve">(1.295)</w:t>
                  </w:r>
                </w:p>
              </w:tc>
            </w:tr>
            <w:tr>
              <w:tc>
                <w:tcPr/>
                <w:p>
                  <w:pPr>
                    <w:pStyle w:val="Compact"/>
                    <w:jc w:val="left"/>
                    <w:jc w:val="left"/>
                  </w:pPr>
                  <w:r>
                    <w:t xml:space="preserve">Gini</w:t>
                  </w:r>
                </w:p>
              </w:tc>
              <w:tc>
                <w:tcPr/>
                <w:p>
                  <w:pPr>
                    <w:pStyle w:val="Compact"/>
                    <w:jc w:val="right"/>
                    <w:jc w:val="left"/>
                  </w:pPr>
                  <w:r>
                    <w:t xml:space="preserve">0.221</w:t>
                  </w:r>
                </w:p>
              </w:tc>
              <w:tc>
                <w:tcPr/>
                <w:p>
                  <w:pPr>
                    <w:pStyle w:val="Compact"/>
                    <w:jc w:val="right"/>
                    <w:jc w:val="left"/>
                  </w:pPr>
                  <w:r>
                    <w:t xml:space="preserve">0.222</w:t>
                  </w:r>
                </w:p>
              </w:tc>
              <w:tc>
                <w:tcPr/>
                <w:p>
                  <w:pPr>
                    <w:pStyle w:val="Compact"/>
                    <w:jc w:val="right"/>
                    <w:jc w:val="left"/>
                  </w:pPr>
                  <w:r>
                    <w:t xml:space="preserve">0.216</w:t>
                  </w:r>
                </w:p>
              </w:tc>
            </w:tr>
            <w:tr>
              <w:tc>
                <w:tcPr/>
                <w:p>
                  <w:pPr>
                    <w:pStyle w:val="Compact"/>
                  </w:pPr>
                </w:p>
              </w:tc>
              <w:tc>
                <w:tcPr/>
                <w:p>
                  <w:pPr>
                    <w:pStyle w:val="Compact"/>
                    <w:jc w:val="right"/>
                    <w:jc w:val="left"/>
                  </w:pPr>
                  <w:r>
                    <w:t xml:space="preserve">(0.00677)</w:t>
                  </w:r>
                </w:p>
              </w:tc>
              <w:tc>
                <w:tcPr/>
                <w:p>
                  <w:pPr>
                    <w:pStyle w:val="Compact"/>
                    <w:jc w:val="right"/>
                    <w:jc w:val="left"/>
                  </w:pPr>
                  <w:r>
                    <w:t xml:space="preserve">(0.00759)</w:t>
                  </w:r>
                </w:p>
              </w:tc>
              <w:tc>
                <w:tcPr/>
                <w:p>
                  <w:pPr>
                    <w:pStyle w:val="Compact"/>
                    <w:jc w:val="right"/>
                    <w:jc w:val="left"/>
                  </w:pPr>
                  <w:r>
                    <w:t xml:space="preserve">(0.00672)</w:t>
                  </w:r>
                </w:p>
              </w:tc>
            </w:tr>
            <w:tr>
              <w:tc>
                <w:tcPr/>
                <w:p>
                  <w:pPr>
                    <w:pStyle w:val="Compact"/>
                    <w:jc w:val="left"/>
                    <w:jc w:val="left"/>
                  </w:pPr>
                  <w:r>
                    <w:t xml:space="preserve">Coeff of Variation</w:t>
                  </w:r>
                </w:p>
              </w:tc>
              <w:tc>
                <w:tcPr/>
                <w:p>
                  <w:pPr>
                    <w:pStyle w:val="Compact"/>
                    <w:jc w:val="right"/>
                    <w:jc w:val="left"/>
                  </w:pPr>
                  <w:r>
                    <w:t xml:space="preserve">0.413</w:t>
                  </w:r>
                </w:p>
              </w:tc>
              <w:tc>
                <w:tcPr/>
                <w:p>
                  <w:pPr>
                    <w:pStyle w:val="Compact"/>
                    <w:jc w:val="right"/>
                    <w:jc w:val="left"/>
                  </w:pPr>
                  <w:r>
                    <w:t xml:space="preserve">0.422</w:t>
                  </w:r>
                </w:p>
              </w:tc>
              <w:tc>
                <w:tcPr/>
                <w:p>
                  <w:pPr>
                    <w:pStyle w:val="Compact"/>
                    <w:jc w:val="right"/>
                    <w:jc w:val="left"/>
                  </w:pPr>
                  <w:r>
                    <w:t xml:space="preserve">0.392</w:t>
                  </w:r>
                </w:p>
              </w:tc>
            </w:tr>
            <w:tr>
              <w:tc>
                <w:tcPr/>
                <w:p>
                  <w:pPr>
                    <w:pStyle w:val="Compact"/>
                  </w:pPr>
                </w:p>
              </w:tc>
              <w:tc>
                <w:tcPr/>
                <w:p>
                  <w:pPr>
                    <w:pStyle w:val="Compact"/>
                    <w:jc w:val="right"/>
                    <w:jc w:val="left"/>
                  </w:pPr>
                  <w:r>
                    <w:t xml:space="preserve">(0.0148)</w:t>
                  </w:r>
                </w:p>
              </w:tc>
              <w:tc>
                <w:tcPr/>
                <w:p>
                  <w:pPr>
                    <w:pStyle w:val="Compact"/>
                    <w:jc w:val="right"/>
                    <w:jc w:val="left"/>
                  </w:pPr>
                  <w:r>
                    <w:t xml:space="preserve">(0.0197)</w:t>
                  </w:r>
                </w:p>
              </w:tc>
              <w:tc>
                <w:tcPr/>
                <w:p>
                  <w:pPr>
                    <w:pStyle w:val="Compact"/>
                    <w:jc w:val="right"/>
                    <w:jc w:val="left"/>
                  </w:pPr>
                  <w:r>
                    <w:t xml:space="preserve">(0.0121)</w:t>
                  </w:r>
                </w:p>
              </w:tc>
            </w:tr>
            <w:tr>
              <w:tc>
                <w:tcPr/>
                <w:p>
                  <w:pPr>
                    <w:pStyle w:val="Compact"/>
                    <w:jc w:val="left"/>
                    <w:jc w:val="left"/>
                  </w:pPr>
                  <w:r>
                    <w:t xml:space="preserve">Log Variance</w:t>
                  </w:r>
                </w:p>
              </w:tc>
              <w:tc>
                <w:tcPr/>
                <w:p>
                  <w:pPr>
                    <w:pStyle w:val="Compact"/>
                    <w:jc w:val="right"/>
                    <w:jc w:val="left"/>
                  </w:pPr>
                  <w:r>
                    <w:t xml:space="preserve">0.238</w:t>
                  </w:r>
                </w:p>
              </w:tc>
              <w:tc>
                <w:tcPr/>
                <w:p>
                  <w:pPr>
                    <w:pStyle w:val="Compact"/>
                    <w:jc w:val="right"/>
                    <w:jc w:val="left"/>
                  </w:pPr>
                  <w:r>
                    <w:t xml:space="preserve">0.221</w:t>
                  </w:r>
                </w:p>
              </w:tc>
              <w:tc>
                <w:tcPr/>
                <w:p>
                  <w:pPr>
                    <w:pStyle w:val="Compact"/>
                    <w:jc w:val="right"/>
                    <w:jc w:val="left"/>
                  </w:pPr>
                  <w:r>
                    <w:t xml:space="preserve">0.268</w:t>
                  </w:r>
                </w:p>
              </w:tc>
            </w:tr>
            <w:tr>
              <w:tc>
                <w:tcPr/>
                <w:p>
                  <w:pPr>
                    <w:pStyle w:val="Compact"/>
                  </w:pPr>
                </w:p>
              </w:tc>
              <w:tc>
                <w:tcPr/>
                <w:p>
                  <w:pPr>
                    <w:pStyle w:val="Compact"/>
                    <w:jc w:val="right"/>
                    <w:jc w:val="left"/>
                  </w:pPr>
                  <w:r>
                    <w:t xml:space="preserve">(0.0230)</w:t>
                  </w:r>
                </w:p>
              </w:tc>
              <w:tc>
                <w:tcPr/>
                <w:p>
                  <w:pPr>
                    <w:pStyle w:val="Compact"/>
                    <w:jc w:val="right"/>
                    <w:jc w:val="left"/>
                  </w:pPr>
                  <w:r>
                    <w:t xml:space="preserve">(0.0242)</w:t>
                  </w:r>
                </w:p>
              </w:tc>
              <w:tc>
                <w:tcPr/>
                <w:p>
                  <w:pPr>
                    <w:pStyle w:val="Compact"/>
                    <w:jc w:val="right"/>
                    <w:jc w:val="left"/>
                  </w:pPr>
                  <w:r>
                    <w:t xml:space="preserve">(0.0535)</w:t>
                  </w:r>
                </w:p>
              </w:tc>
            </w:tr>
          </w:tbl>
          <w:bookmarkEnd w:id="39"/>
          <w:p/>
        </w:tc>
        <w:tc>
          <w:tcPr/>
          <w:p>
            <w:pPr>
              <w:jc w:val="center"/>
            </w:pPr>
            <w:r>
              <w:t xml:space="preserve"> </w:t>
            </w:r>
          </w:p>
        </w:tc>
      </w:tr>
    </w:tbl>
    <w:p>
      <w:pPr>
        <w:framePr w:w="0" w:h="0" w:vAnchor="margin" w:hAnchor="margin" w:xAlign="right" w:yAlign="top"/>
      </w:pPr>
    </w:p>
    <w:tbl>
      <w:tblPr>
        <w:tblStyle w:val="Table"/>
        <w:tblW w:type="pct" w:w="5000"/>
        <w:tblLook w:firstRow="0" w:lastRow="0" w:firstColumn="0" w:lastColumn="0" w:noHBand="0" w:noVBand="0" w:val="0000"/>
        <w:jc w:val="start"/>
      </w:tblPr>
      <w:tblGrid>
        <w:gridCol w:w="3960"/>
        <w:gridCol w:w="3960"/>
      </w:tblGrid>
      <w:tr>
        <w:tc>
          <w:tcPr/>
          <w:bookmarkStart w:id="40" w:name="tbl-ineq2"/>
          <w:p>
            <w:pPr>
              <w:jc w:val="left"/>
            </w:pPr>
            <w:pPr>
              <w:jc w:val="center"/>
              <w:spacing w:before="200"/>
              <w:pStyle w:val="ImageCaption"/>
            </w:pPr>
            <w:r>
              <w:t xml:space="preserve">(b) Women</w:t>
            </w:r>
          </w:p>
          <w:tbl>
            <w:tblPr>
              <w:tblStyle w:val="Table"/>
              <w:tblW w:type="pct" w:w="4900"/>
              <w:tblLook w:firstRow="1" w:lastRow="0" w:firstColumn="0" w:lastColumn="0" w:noHBand="0" w:noVBand="0" w:val="0020"/>
              <w:jc w:val="start"/>
            </w:tblPr>
            <w:tblGrid>
              <w:gridCol w:w="1940"/>
              <w:gridCol w:w="1940"/>
              <w:gridCol w:w="1940"/>
              <w:gridCol w:w="1940"/>
            </w:tblGrid>
            <w:tr>
              <w:trPr>
                <w:tblHeader w:val="true"/>
              </w:trPr>
              <w:tc>
                <w:tcPr/>
                <w:p>
                  <w:pPr>
                    <w:pStyle w:val="Compact"/>
                  </w:pPr>
                </w:p>
              </w:tc>
              <w:tc>
                <w:tcPr/>
                <w:p>
                  <w:pPr>
                    <w:pStyle w:val="Compact"/>
                    <w:jc w:val="right"/>
                    <w:jc w:val="left"/>
                  </w:pPr>
                  <w:r>
                    <w:t xml:space="preserve">Fully Observed</w:t>
                  </w:r>
                </w:p>
              </w:tc>
              <w:tc>
                <w:tcPr/>
                <w:p>
                  <w:pPr>
                    <w:pStyle w:val="Compact"/>
                    <w:jc w:val="right"/>
                    <w:jc w:val="left"/>
                  </w:pPr>
                  <w:r>
                    <w:t xml:space="preserve">Imp-log_w</w:t>
                  </w:r>
                </w:p>
              </w:tc>
              <w:tc>
                <w:tcPr/>
                <w:p>
                  <w:pPr>
                    <w:pStyle w:val="Compact"/>
                    <w:jc w:val="right"/>
                    <w:jc w:val="left"/>
                  </w:pPr>
                  <w:r>
                    <w:t xml:space="preserve">Imp-wage</w:t>
                  </w:r>
                </w:p>
              </w:tc>
            </w:tr>
            <w:tr>
              <w:tc>
                <w:tcPr/>
                <w:p>
                  <w:pPr>
                    <w:pStyle w:val="Compact"/>
                    <w:jc w:val="left"/>
                    <w:jc w:val="left"/>
                  </w:pPr>
                  <w:r>
                    <w:t xml:space="preserve">Q_10</w:t>
                  </w:r>
                </w:p>
              </w:tc>
              <w:tc>
                <w:tcPr/>
                <w:p>
                  <w:pPr>
                    <w:pStyle w:val="Compact"/>
                    <w:jc w:val="right"/>
                    <w:jc w:val="left"/>
                  </w:pPr>
                  <w:r>
                    <w:t xml:space="preserve">15.87</w:t>
                  </w:r>
                </w:p>
              </w:tc>
              <w:tc>
                <w:tcPr/>
                <w:p>
                  <w:pPr>
                    <w:pStyle w:val="Compact"/>
                    <w:jc w:val="right"/>
                    <w:jc w:val="left"/>
                  </w:pPr>
                  <w:r>
                    <w:t xml:space="preserve">13.98</w:t>
                  </w:r>
                </w:p>
              </w:tc>
              <w:tc>
                <w:tcPr/>
                <w:p>
                  <w:pPr>
                    <w:pStyle w:val="Compact"/>
                    <w:jc w:val="right"/>
                    <w:jc w:val="left"/>
                  </w:pPr>
                  <w:r>
                    <w:t xml:space="preserve">13.57</w:t>
                  </w:r>
                </w:p>
              </w:tc>
            </w:tr>
            <w:tr>
              <w:tc>
                <w:tcPr/>
                <w:p>
                  <w:pPr>
                    <w:pStyle w:val="Compact"/>
                  </w:pPr>
                </w:p>
              </w:tc>
              <w:tc>
                <w:tcPr/>
                <w:p>
                  <w:pPr>
                    <w:pStyle w:val="Compact"/>
                    <w:jc w:val="right"/>
                    <w:jc w:val="left"/>
                  </w:pPr>
                  <w:r>
                    <w:t xml:space="preserve">(0.576)</w:t>
                  </w:r>
                </w:p>
              </w:tc>
              <w:tc>
                <w:tcPr/>
                <w:p>
                  <w:pPr>
                    <w:pStyle w:val="Compact"/>
                    <w:jc w:val="right"/>
                    <w:jc w:val="left"/>
                  </w:pPr>
                  <w:r>
                    <w:t xml:space="preserve">(0.850)</w:t>
                  </w:r>
                </w:p>
              </w:tc>
              <w:tc>
                <w:tcPr/>
                <w:p>
                  <w:pPr>
                    <w:pStyle w:val="Compact"/>
                    <w:jc w:val="right"/>
                    <w:jc w:val="left"/>
                  </w:pPr>
                  <w:r>
                    <w:t xml:space="preserve">(0.815)</w:t>
                  </w:r>
                </w:p>
              </w:tc>
            </w:tr>
            <w:tr>
              <w:tc>
                <w:tcPr/>
                <w:p>
                  <w:pPr>
                    <w:pStyle w:val="Compact"/>
                    <w:jc w:val="left"/>
                    <w:jc w:val="left"/>
                  </w:pPr>
                  <w:r>
                    <w:t xml:space="preserve">Q_90</w:t>
                  </w:r>
                </w:p>
              </w:tc>
              <w:tc>
                <w:tcPr/>
                <w:p>
                  <w:pPr>
                    <w:pStyle w:val="Compact"/>
                    <w:jc w:val="right"/>
                    <w:jc w:val="left"/>
                  </w:pPr>
                  <w:r>
                    <w:t xml:space="preserve">45.92</w:t>
                  </w:r>
                </w:p>
              </w:tc>
              <w:tc>
                <w:tcPr/>
                <w:p>
                  <w:pPr>
                    <w:pStyle w:val="Compact"/>
                    <w:jc w:val="right"/>
                    <w:jc w:val="left"/>
                  </w:pPr>
                  <w:r>
                    <w:t xml:space="preserve">46.19</w:t>
                  </w:r>
                </w:p>
              </w:tc>
              <w:tc>
                <w:tcPr/>
                <w:p>
                  <w:pPr>
                    <w:pStyle w:val="Compact"/>
                    <w:jc w:val="right"/>
                    <w:jc w:val="left"/>
                  </w:pPr>
                  <w:r>
                    <w:t xml:space="preserve">46.54</w:t>
                  </w:r>
                </w:p>
              </w:tc>
            </w:tr>
            <w:tr>
              <w:tc>
                <w:tcPr/>
                <w:p>
                  <w:pPr>
                    <w:pStyle w:val="Compact"/>
                  </w:pPr>
                </w:p>
              </w:tc>
              <w:tc>
                <w:tcPr/>
                <w:p>
                  <w:pPr>
                    <w:pStyle w:val="Compact"/>
                    <w:jc w:val="right"/>
                    <w:jc w:val="left"/>
                  </w:pPr>
                  <w:r>
                    <w:t xml:space="preserve">(1.442)</w:t>
                  </w:r>
                </w:p>
              </w:tc>
              <w:tc>
                <w:tcPr/>
                <w:p>
                  <w:pPr>
                    <w:pStyle w:val="Compact"/>
                    <w:jc w:val="right"/>
                    <w:jc w:val="left"/>
                  </w:pPr>
                  <w:r>
                    <w:t xml:space="preserve">(1.541)</w:t>
                  </w:r>
                </w:p>
              </w:tc>
              <w:tc>
                <w:tcPr/>
                <w:p>
                  <w:pPr>
                    <w:pStyle w:val="Compact"/>
                    <w:jc w:val="right"/>
                    <w:jc w:val="left"/>
                  </w:pPr>
                  <w:r>
                    <w:t xml:space="preserve">(1.412)</w:t>
                  </w:r>
                </w:p>
              </w:tc>
            </w:tr>
            <w:tr>
              <w:tc>
                <w:tcPr/>
                <w:p>
                  <w:pPr>
                    <w:pStyle w:val="Compact"/>
                    <w:jc w:val="left"/>
                    <w:jc w:val="left"/>
                  </w:pPr>
                  <w:r>
                    <w:t xml:space="preserve">Gini</w:t>
                  </w:r>
                </w:p>
              </w:tc>
              <w:tc>
                <w:tcPr/>
                <w:p>
                  <w:pPr>
                    <w:pStyle w:val="Compact"/>
                    <w:jc w:val="right"/>
                    <w:jc w:val="left"/>
                  </w:pPr>
                  <w:r>
                    <w:t xml:space="preserve">0.267</w:t>
                  </w:r>
                </w:p>
              </w:tc>
              <w:tc>
                <w:tcPr/>
                <w:p>
                  <w:pPr>
                    <w:pStyle w:val="Compact"/>
                    <w:jc w:val="right"/>
                    <w:jc w:val="left"/>
                  </w:pPr>
                  <w:r>
                    <w:t xml:space="preserve">0.254</w:t>
                  </w:r>
                </w:p>
              </w:tc>
              <w:tc>
                <w:tcPr/>
                <w:p>
                  <w:pPr>
                    <w:pStyle w:val="Compact"/>
                    <w:jc w:val="right"/>
                    <w:jc w:val="left"/>
                  </w:pPr>
                  <w:r>
                    <w:t xml:space="preserve">0.249</w:t>
                  </w:r>
                </w:p>
              </w:tc>
            </w:tr>
            <w:tr>
              <w:tc>
                <w:tcPr/>
                <w:p>
                  <w:pPr>
                    <w:pStyle w:val="Compact"/>
                  </w:pPr>
                </w:p>
              </w:tc>
              <w:tc>
                <w:tcPr/>
                <w:p>
                  <w:pPr>
                    <w:pStyle w:val="Compact"/>
                    <w:jc w:val="right"/>
                    <w:jc w:val="left"/>
                  </w:pPr>
                  <w:r>
                    <w:t xml:space="preserve">(0.0117)</w:t>
                  </w:r>
                </w:p>
              </w:tc>
              <w:tc>
                <w:tcPr/>
                <w:p>
                  <w:pPr>
                    <w:pStyle w:val="Compact"/>
                    <w:jc w:val="right"/>
                    <w:jc w:val="left"/>
                  </w:pPr>
                  <w:r>
                    <w:t xml:space="preserve">(0.00950)</w:t>
                  </w:r>
                </w:p>
              </w:tc>
              <w:tc>
                <w:tcPr/>
                <w:p>
                  <w:pPr>
                    <w:pStyle w:val="Compact"/>
                    <w:jc w:val="right"/>
                    <w:jc w:val="left"/>
                  </w:pPr>
                  <w:r>
                    <w:t xml:space="preserve">(0.00773)</w:t>
                  </w:r>
                </w:p>
              </w:tc>
            </w:tr>
            <w:tr>
              <w:tc>
                <w:tcPr/>
                <w:p>
                  <w:pPr>
                    <w:pStyle w:val="Compact"/>
                    <w:jc w:val="left"/>
                    <w:jc w:val="left"/>
                  </w:pPr>
                  <w:r>
                    <w:t xml:space="preserve">Coeff of Variation</w:t>
                  </w:r>
                </w:p>
              </w:tc>
              <w:tc>
                <w:tcPr/>
                <w:p>
                  <w:pPr>
                    <w:pStyle w:val="Compact"/>
                    <w:jc w:val="right"/>
                    <w:jc w:val="left"/>
                  </w:pPr>
                  <w:r>
                    <w:t xml:space="preserve">0.587</w:t>
                  </w:r>
                </w:p>
              </w:tc>
              <w:tc>
                <w:tcPr/>
                <w:p>
                  <w:pPr>
                    <w:pStyle w:val="Compact"/>
                    <w:jc w:val="right"/>
                    <w:jc w:val="left"/>
                  </w:pPr>
                  <w:r>
                    <w:t xml:space="preserve">0.493</w:t>
                  </w:r>
                </w:p>
              </w:tc>
              <w:tc>
                <w:tcPr/>
                <w:p>
                  <w:pPr>
                    <w:pStyle w:val="Compact"/>
                    <w:jc w:val="right"/>
                    <w:jc w:val="left"/>
                  </w:pPr>
                  <w:r>
                    <w:t xml:space="preserve">0.453</w:t>
                  </w:r>
                </w:p>
              </w:tc>
            </w:tr>
            <w:tr>
              <w:tc>
                <w:tcPr/>
                <w:p>
                  <w:pPr>
                    <w:pStyle w:val="Compact"/>
                  </w:pPr>
                </w:p>
              </w:tc>
              <w:tc>
                <w:tcPr/>
                <w:p>
                  <w:pPr>
                    <w:pStyle w:val="Compact"/>
                    <w:jc w:val="right"/>
                    <w:jc w:val="left"/>
                  </w:pPr>
                  <w:r>
                    <w:t xml:space="preserve">(0.0461)</w:t>
                  </w:r>
                </w:p>
              </w:tc>
              <w:tc>
                <w:tcPr/>
                <w:p>
                  <w:pPr>
                    <w:pStyle w:val="Compact"/>
                    <w:jc w:val="right"/>
                    <w:jc w:val="left"/>
                  </w:pPr>
                  <w:r>
                    <w:t xml:space="preserve">(0.0603)</w:t>
                  </w:r>
                </w:p>
              </w:tc>
              <w:tc>
                <w:tcPr/>
                <w:p>
                  <w:pPr>
                    <w:pStyle w:val="Compact"/>
                    <w:jc w:val="right"/>
                    <w:jc w:val="left"/>
                  </w:pPr>
                  <w:r>
                    <w:t xml:space="preserve">(0.0141)</w:t>
                  </w:r>
                </w:p>
              </w:tc>
            </w:tr>
            <w:tr>
              <w:tc>
                <w:tcPr/>
                <w:p>
                  <w:pPr>
                    <w:pStyle w:val="Compact"/>
                    <w:jc w:val="left"/>
                    <w:jc w:val="left"/>
                  </w:pPr>
                  <w:r>
                    <w:t xml:space="preserve">Log Variance</w:t>
                  </w:r>
                </w:p>
              </w:tc>
              <w:tc>
                <w:tcPr/>
                <w:p>
                  <w:pPr>
                    <w:pStyle w:val="Compact"/>
                    <w:jc w:val="right"/>
                    <w:jc w:val="left"/>
                  </w:pPr>
                  <w:r>
                    <w:t xml:space="preserve">0.345</w:t>
                  </w:r>
                </w:p>
              </w:tc>
              <w:tc>
                <w:tcPr/>
                <w:p>
                  <w:pPr>
                    <w:pStyle w:val="Compact"/>
                    <w:jc w:val="right"/>
                    <w:jc w:val="left"/>
                  </w:pPr>
                  <w:r>
                    <w:t xml:space="preserve">0.301</w:t>
                  </w:r>
                </w:p>
              </w:tc>
              <w:tc>
                <w:tcPr/>
                <w:p>
                  <w:pPr>
                    <w:pStyle w:val="Compact"/>
                    <w:jc w:val="right"/>
                    <w:jc w:val="left"/>
                  </w:pPr>
                  <w:r>
                    <w:t xml:space="preserve">0.363</w:t>
                  </w:r>
                </w:p>
              </w:tc>
            </w:tr>
            <w:tr>
              <w:tc>
                <w:tcPr/>
                <w:p>
                  <w:pPr>
                    <w:pStyle w:val="Compact"/>
                  </w:pPr>
                </w:p>
              </w:tc>
              <w:tc>
                <w:tcPr/>
                <w:p>
                  <w:pPr>
                    <w:pStyle w:val="Compact"/>
                    <w:jc w:val="right"/>
                    <w:jc w:val="left"/>
                  </w:pPr>
                  <w:r>
                    <w:t xml:space="preserve">(0.0347)</w:t>
                  </w:r>
                </w:p>
              </w:tc>
              <w:tc>
                <w:tcPr/>
                <w:p>
                  <w:pPr>
                    <w:pStyle w:val="Compact"/>
                    <w:jc w:val="right"/>
                    <w:jc w:val="left"/>
                  </w:pPr>
                  <w:r>
                    <w:t xml:space="preserve">(0.0506)</w:t>
                  </w:r>
                </w:p>
              </w:tc>
              <w:tc>
                <w:tcPr/>
                <w:p>
                  <w:pPr>
                    <w:pStyle w:val="Compact"/>
                    <w:jc w:val="right"/>
                    <w:jc w:val="left"/>
                  </w:pPr>
                  <w:r>
                    <w:t xml:space="preserve">(0.0637)</w:t>
                  </w:r>
                </w:p>
              </w:tc>
            </w:tr>
          </w:tbl>
          <w:bookmarkEnd w:id="40"/>
          <w:p/>
        </w:tc>
        <w:tc>
          <w:tcPr/>
          <w:p>
            <w:pPr>
              <w:jc w:val="center"/>
            </w:pPr>
            <w:r>
              <w:t xml:space="preserve">Note: Standard Errors in Parenthesis</w:t>
            </w:r>
          </w:p>
        </w:tc>
      </w:tr>
    </w:tbl>
    <w:p>
      <w:pPr>
        <w:pStyle w:val="BodyText"/>
      </w:pPr>
      <w:pPr>
        <w:spacing w:before="200"/>
        <w:pStyle w:val="ImageCaption"/>
      </w:pPr>
      <w:r>
        <w:t xml:space="preserve">Table 1: Inequality Statistics by Gender</w:t>
      </w:r>
    </w:p>
    <w:bookmarkEnd w:id="41"/>
    <w:p>
      <w:pPr>
        <w:pStyle w:val="BodyText"/>
      </w:pPr>
      <w:r>
        <w:t xml:space="preserve">With this excercise in mind,</w:t>
      </w:r>
      <w:r>
        <w:t xml:space="preserve"> </w:t>
      </w:r>
      <w:hyperlink w:anchor="tbl-ineq">
        <w:r>
          <w:rPr>
            <w:rStyle w:val="Hyperlink"/>
          </w:rPr>
          <w:t xml:space="preserve">Table 1</w:t>
        </w:r>
      </w:hyperlink>
      <w:r>
        <w:t xml:space="preserve"> </w:t>
      </w:r>
      <w:r>
        <w:t xml:space="preserve">presents a few distributional statistics using the obseved and imputed data for men (</w:t>
      </w:r>
      <w:hyperlink w:anchor="tbl-ineq1">
        <w:r>
          <w:rPr>
            <w:rStyle w:val="Hyperlink"/>
          </w:rPr>
          <w:t xml:space="preserve">Table 1 (a)</w:t>
        </w:r>
      </w:hyperlink>
      <w:r>
        <w:t xml:space="preserve">) and women (</w:t>
      </w:r>
      <w:hyperlink w:anchor="tbl-ineq2">
        <w:r>
          <w:rPr>
            <w:rStyle w:val="Hyperlink"/>
          </w:rPr>
          <w:t xml:space="preserve">Table 1 (b)</w:t>
        </w:r>
      </w:hyperlink>
      <w:r>
        <w:t xml:space="preserve">). In all cases we obtain good approximations to the true statistics using the imputed data.</w:t>
      </w:r>
    </w:p>
    <w:bookmarkEnd w:id="42"/>
    <w:bookmarkStart w:id="43" w:name="conclusions"/>
    <w:p>
      <w:pPr>
        <w:pStyle w:val="Heading2"/>
      </w:pPr>
      <w:r>
        <w:t xml:space="preserve">Conclusions</w:t>
      </w:r>
    </w:p>
    <w:p>
      <w:pPr>
        <w:pStyle w:val="FirstParagraph"/>
      </w:pPr>
      <w:r>
        <w:t xml:space="preserve">In our</w:t>
      </w:r>
      <w:r>
        <w:t xml:space="preserve"> </w:t>
      </w:r>
      <w:hyperlink r:id="rId20">
        <w:r>
          <w:rPr>
            <w:rStyle w:val="Hyperlink"/>
          </w:rPr>
          <w:t xml:space="preserve">paper</w:t>
        </w:r>
      </w:hyperlink>
      <w:r>
        <w:t xml:space="preserve">, we propose a method that makes better use of interval-censored. We propose using multiple imputation based on an interval-regression estimator with heteroskedastic errors, extending the work</w:t>
      </w:r>
      <w:r>
        <w:t xml:space="preserve"> </w:t>
      </w:r>
      <w:r>
        <w:t xml:space="preserve">Royston (2007)</w:t>
      </w:r>
      <w:r>
        <w:t xml:space="preserve">. The multiple imputed data can be used to analyze the heterogeneity across individual characteristics using regression tools such as conditional or unconditional quantile regressions.</w:t>
      </w:r>
    </w:p>
    <w:p>
      <w:pPr>
        <w:pStyle w:val="BodyText"/>
      </w:pPr>
      <w:r>
        <w:t xml:space="preserve">In this note, we provide a small excercise of the type of analysis one could do using our approach. In the paper, we include further simulation evidence on the performance of the methodology, as well as real case study using data for the developing country of Grenada.</w:t>
      </w:r>
    </w:p>
    <w:p>
      <w:pPr>
        <w:pStyle w:val="BodyText"/>
      </w:pPr>
      <w:r>
        <w:t xml:space="preserve">We believe that our method has important applications in economics and other social sciences, where interval-censored data are commonly used to capture income variables. Our method can also be used to analyze other types of censored data, such as duration data or survival data. We hope that our method will encourage more researchers to utilize interval-censored data in their research, and to develop more flexible and robust methods for analyzing such data.</w:t>
      </w:r>
    </w:p>
    <w:bookmarkEnd w:id="43"/>
    <w:bookmarkStart w:id="54" w:name="software"/>
    <w:p>
      <w:pPr>
        <w:pStyle w:val="Heading2"/>
      </w:pPr>
      <w:r>
        <w:t xml:space="preserve">Software</w:t>
      </w:r>
    </w:p>
    <w:p>
      <w:pPr>
        <w:pStyle w:val="FirstParagraph"/>
      </w:pPr>
      <w:r>
        <w:t xml:space="preserve">The excercise presented here was produce using</w:t>
      </w:r>
      <w:r>
        <w:t xml:space="preserve"> </w:t>
      </w:r>
      <w:r>
        <w:rPr>
          <w:rStyle w:val="VerbatimChar"/>
        </w:rPr>
        <w:t xml:space="preserve">Stata</w:t>
      </w:r>
      <w:r>
        <w:t xml:space="preserve">. The modeling was done using the official commands</w:t>
      </w:r>
      <w:r>
        <w:t xml:space="preserve"> </w:t>
      </w:r>
      <w:r>
        <w:rPr>
          <w:rStyle w:val="VerbatimChar"/>
        </w:rPr>
        <w:t xml:space="preserve">intreg</w:t>
      </w:r>
      <w:r>
        <w:t xml:space="preserve">. The imputed values were generated our command</w:t>
      </w:r>
      <w:r>
        <w:t xml:space="preserve"> </w:t>
      </w:r>
      <w:hyperlink r:id="rId44">
        <w:r>
          <w:rPr>
            <w:rStyle w:val="VerbatimChar"/>
          </w:rPr>
          <w:t xml:space="preserve">intreg_mi</w:t>
        </w:r>
      </w:hyperlink>
      <w:r>
        <w:t xml:space="preserve">. The analysis of the data was performed using</w:t>
      </w:r>
      <w:r>
        <w:t xml:space="preserve"> </w:t>
      </w:r>
      <w:r>
        <w:rPr>
          <w:rStyle w:val="VerbatimChar"/>
        </w:rPr>
        <w:t xml:space="preserve">mi</w:t>
      </w:r>
      <w:r>
        <w:t xml:space="preserve">,</w:t>
      </w:r>
      <w:r>
        <w:t xml:space="preserve"> </w:t>
      </w:r>
      <w:r>
        <w:rPr>
          <w:rStyle w:val="VerbatimChar"/>
        </w:rPr>
        <w:t xml:space="preserve">qreg</w:t>
      </w:r>
      <w:r>
        <w:t xml:space="preserve"> </w:t>
      </w:r>
      <w:r>
        <w:t xml:space="preserve">and</w:t>
      </w:r>
      <w:r>
        <w:t xml:space="preserve"> </w:t>
      </w:r>
      <w:r>
        <w:rPr>
          <w:rStyle w:val="VerbatimChar"/>
        </w:rPr>
        <w:t xml:space="preserve">rifhdreg</w:t>
      </w:r>
      <w:r>
        <w:t xml:space="preserve">.</w:t>
      </w:r>
    </w:p>
    <w:bookmarkStart w:id="53" w:name="refs"/>
    <w:bookmarkStart w:id="46" w:name="ref-rios_canavire_intregmi"/>
    <w:p>
      <w:pPr>
        <w:pStyle w:val="Bibliography"/>
      </w:pPr>
      <w:r>
        <w:t xml:space="preserve">Canavire-Bacarreza, Gustavo, Fernando Rios-Avila, and Flavia Sacco-Capurro. 2022.</w:t>
      </w:r>
      <w:r>
        <w:t xml:space="preserve"> </w:t>
      </w:r>
      <w:r>
        <w:t xml:space="preserve">“Recovering</w:t>
      </w:r>
      <w:r>
        <w:t xml:space="preserve"> </w:t>
      </w:r>
      <w:r>
        <w:t xml:space="preserve">Income</w:t>
      </w:r>
      <w:r>
        <w:t xml:space="preserve"> </w:t>
      </w:r>
      <w:r>
        <w:t xml:space="preserve">Distribution</w:t>
      </w:r>
      <w:r>
        <w:t xml:space="preserve"> </w:t>
      </w:r>
      <w:r>
        <w:t xml:space="preserve">in the</w:t>
      </w:r>
      <w:r>
        <w:t xml:space="preserve"> </w:t>
      </w:r>
      <w:r>
        <w:t xml:space="preserve">Presence</w:t>
      </w:r>
      <w:r>
        <w:t xml:space="preserve"> </w:t>
      </w:r>
      <w:r>
        <w:t xml:space="preserve">of</w:t>
      </w:r>
      <w:r>
        <w:t xml:space="preserve"> </w:t>
      </w:r>
      <w:r>
        <w:t xml:space="preserve">Interval</w:t>
      </w:r>
      <w:r>
        <w:t xml:space="preserve">-</w:t>
      </w:r>
      <w:r>
        <w:t xml:space="preserve">Censored</w:t>
      </w:r>
      <w:r>
        <w:t xml:space="preserve"> </w:t>
      </w:r>
      <w:r>
        <w:t xml:space="preserve">Data</w:t>
      </w:r>
      <w:r>
        <w:t xml:space="preserve">.”</w:t>
      </w:r>
      <w:r>
        <w:t xml:space="preserve"> </w:t>
      </w:r>
      <w:r>
        <w:rPr>
          <w:iCs/>
          <w:i/>
        </w:rPr>
        <w:t xml:space="preserve">Policy Research Working Paper 10147</w:t>
      </w:r>
      <w:r>
        <w:t xml:space="preserve">.</w:t>
      </w:r>
      <w:r>
        <w:t xml:space="preserve"> </w:t>
      </w:r>
      <w:hyperlink r:id="rId45">
        <w:r>
          <w:rPr>
            <w:rStyle w:val="Hyperlink"/>
          </w:rPr>
          <w:t xml:space="preserve">https://documents.worldbank.org/en/publication/documents-reports/documentdetail/099724408222262517/idu04f787105008b604f5108f1a061fe88def833</w:t>
        </w:r>
      </w:hyperlink>
      <w:r>
        <w:t xml:space="preserve">.</w:t>
      </w:r>
    </w:p>
    <w:bookmarkEnd w:id="46"/>
    <w:bookmarkStart w:id="48" w:name="ref-jargowsky_estimating_2018"/>
    <w:p>
      <w:pPr>
        <w:pStyle w:val="Bibliography"/>
      </w:pPr>
      <w:r>
        <w:t xml:space="preserve">Jargowsky, Paul A., and Christopher A. Wheeler. 2018.</w:t>
      </w:r>
      <w:r>
        <w:t xml:space="preserve"> </w:t>
      </w:r>
      <w:r>
        <w:t xml:space="preserve">“Estimating</w:t>
      </w:r>
      <w:r>
        <w:t xml:space="preserve"> </w:t>
      </w:r>
      <w:r>
        <w:t xml:space="preserve">Income</w:t>
      </w:r>
      <w:r>
        <w:t xml:space="preserve"> </w:t>
      </w:r>
      <w:r>
        <w:t xml:space="preserve">Statistics</w:t>
      </w:r>
      <w:r>
        <w:t xml:space="preserve"> </w:t>
      </w:r>
      <w:r>
        <w:t xml:space="preserve">from</w:t>
      </w:r>
      <w:r>
        <w:t xml:space="preserve"> </w:t>
      </w:r>
      <w:r>
        <w:t xml:space="preserve">Grouped</w:t>
      </w:r>
      <w:r>
        <w:t xml:space="preserve"> </w:t>
      </w:r>
      <w:r>
        <w:t xml:space="preserve">Data</w:t>
      </w:r>
      <w:r>
        <w:t xml:space="preserve">:</w:t>
      </w:r>
      <w:r>
        <w:t xml:space="preserve"> </w:t>
      </w:r>
      <w:r>
        <w:t xml:space="preserve">Mean</w:t>
      </w:r>
      <w:r>
        <w:t xml:space="preserve">-Constrained</w:t>
      </w:r>
      <w:r>
        <w:t xml:space="preserve"> </w:t>
      </w:r>
      <w:r>
        <w:t xml:space="preserve">Integration</w:t>
      </w:r>
      <w:r>
        <w:t xml:space="preserve"> </w:t>
      </w:r>
      <w:r>
        <w:t xml:space="preserve">over</w:t>
      </w:r>
      <w:r>
        <w:t xml:space="preserve"> </w:t>
      </w:r>
      <w:r>
        <w:t xml:space="preserve">Brackets</w:t>
      </w:r>
      <w:r>
        <w:t xml:space="preserve">.”</w:t>
      </w:r>
      <w:r>
        <w:t xml:space="preserve"> </w:t>
      </w:r>
      <w:r>
        <w:rPr>
          <w:iCs/>
          <w:i/>
        </w:rPr>
        <w:t xml:space="preserve">Sociological Methodology</w:t>
      </w:r>
      <w:r>
        <w:t xml:space="preserve"> </w:t>
      </w:r>
      <w:r>
        <w:t xml:space="preserve">48 (1): 337–74.</w:t>
      </w:r>
      <w:r>
        <w:t xml:space="preserve"> </w:t>
      </w:r>
      <w:hyperlink r:id="rId47">
        <w:r>
          <w:rPr>
            <w:rStyle w:val="Hyperlink"/>
          </w:rPr>
          <w:t xml:space="preserve">https://doi.org/10.1177/0081175018782579</w:t>
        </w:r>
      </w:hyperlink>
      <w:r>
        <w:t xml:space="preserve">.</w:t>
      </w:r>
    </w:p>
    <w:bookmarkEnd w:id="48"/>
    <w:bookmarkStart w:id="50" w:name="ref-jenkins_measuring_2011"/>
    <w:p>
      <w:pPr>
        <w:pStyle w:val="Bibliography"/>
      </w:pPr>
      <w:r>
        <w:t xml:space="preserve">Jenkins, Stephen P., Richard V. Burkhauser, Shuaizhang Feng, and Jeff Larrimore. 2011.</w:t>
      </w:r>
      <w:r>
        <w:t xml:space="preserve"> </w:t>
      </w:r>
      <w:r>
        <w:t xml:space="preserve">“Measuring Inequality Using Censored Data: A Multiple-Imputation Approach to Estimation and Inference.”</w:t>
      </w:r>
      <w:r>
        <w:t xml:space="preserve"> </w:t>
      </w:r>
      <w:r>
        <w:rPr>
          <w:iCs/>
          <w:i/>
        </w:rPr>
        <w:t xml:space="preserve">Journal of the Royal Statistical Society: Series A (Statistics in Society)</w:t>
      </w:r>
      <w:r>
        <w:t xml:space="preserve"> </w:t>
      </w:r>
      <w:r>
        <w:t xml:space="preserve">174 (1): 63–81.</w:t>
      </w:r>
      <w:r>
        <w:t xml:space="preserve"> </w:t>
      </w:r>
      <w:hyperlink r:id="rId49">
        <w:r>
          <w:rPr>
            <w:rStyle w:val="Hyperlink"/>
          </w:rPr>
          <w:t xml:space="preserve">https://doi.org/10.1111/j.1467-985X.2010.00655.x</w:t>
        </w:r>
      </w:hyperlink>
      <w:r>
        <w:t xml:space="preserve">.</w:t>
      </w:r>
    </w:p>
    <w:bookmarkEnd w:id="50"/>
    <w:bookmarkStart w:id="52" w:name="ref-royston_multiple_2007"/>
    <w:p>
      <w:pPr>
        <w:pStyle w:val="Bibliography"/>
      </w:pPr>
      <w:r>
        <w:t xml:space="preserve">Royston, Patrick. 2007.</w:t>
      </w:r>
      <w:r>
        <w:t xml:space="preserve"> </w:t>
      </w:r>
      <w:r>
        <w:t xml:space="preserve">“Multiple</w:t>
      </w:r>
      <w:r>
        <w:t xml:space="preserve"> </w:t>
      </w:r>
      <w:r>
        <w:t xml:space="preserve">Imputation</w:t>
      </w:r>
      <w:r>
        <w:t xml:space="preserve"> </w:t>
      </w:r>
      <w:r>
        <w:t xml:space="preserve">of</w:t>
      </w:r>
      <w:r>
        <w:t xml:space="preserve"> </w:t>
      </w:r>
      <w:r>
        <w:t xml:space="preserve">Missing</w:t>
      </w:r>
      <w:r>
        <w:t xml:space="preserve"> </w:t>
      </w:r>
      <w:r>
        <w:t xml:space="preserve">Values</w:t>
      </w:r>
      <w:r>
        <w:t xml:space="preserve">:</w:t>
      </w:r>
      <w:r>
        <w:t xml:space="preserve"> </w:t>
      </w:r>
      <w:r>
        <w:t xml:space="preserve">Further</w:t>
      </w:r>
      <w:r>
        <w:t xml:space="preserve"> </w:t>
      </w:r>
      <w:r>
        <w:t xml:space="preserve">Update</w:t>
      </w:r>
      <w:r>
        <w:t xml:space="preserve"> </w:t>
      </w:r>
      <w:r>
        <w:t xml:space="preserve">of</w:t>
      </w:r>
      <w:r>
        <w:t xml:space="preserve"> </w:t>
      </w:r>
      <w:r>
        <w:t xml:space="preserve">Ice</w:t>
      </w:r>
      <w:r>
        <w:t xml:space="preserve">, with an</w:t>
      </w:r>
      <w:r>
        <w:t xml:space="preserve"> </w:t>
      </w:r>
      <w:r>
        <w:t xml:space="preserve">Emphasis</w:t>
      </w:r>
      <w:r>
        <w:t xml:space="preserve"> </w:t>
      </w:r>
      <w:r>
        <w:t xml:space="preserve">on</w:t>
      </w:r>
      <w:r>
        <w:t xml:space="preserve"> </w:t>
      </w:r>
      <w:r>
        <w:t xml:space="preserve">Interval</w:t>
      </w:r>
      <w:r>
        <w:t xml:space="preserve"> </w:t>
      </w:r>
      <w:r>
        <w:t xml:space="preserve">Censoring</w:t>
      </w:r>
      <w:r>
        <w:t xml:space="preserve">.”</w:t>
      </w:r>
      <w:r>
        <w:t xml:space="preserve"> </w:t>
      </w:r>
      <w:r>
        <w:rPr>
          <w:iCs/>
          <w:i/>
        </w:rPr>
        <w:t xml:space="preserve">The Stata Journal</w:t>
      </w:r>
      <w:r>
        <w:t xml:space="preserve"> </w:t>
      </w:r>
      <w:r>
        <w:t xml:space="preserve">7 (4): 445–64.</w:t>
      </w:r>
      <w:r>
        <w:t xml:space="preserve"> </w:t>
      </w:r>
      <w:hyperlink r:id="rId51">
        <w:r>
          <w:rPr>
            <w:rStyle w:val="Hyperlink"/>
          </w:rPr>
          <w:t xml:space="preserve">https://doi.org/10.1177/1536867X0800700401</w:t>
        </w:r>
      </w:hyperlink>
      <w:r>
        <w:t xml:space="preserv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hyperlink" Id="rId45" Target="https://documents.worldbank.org/en/publication/documents-reports/documentdetail/099724408222262517/idu04f787105008b604f5108f1a061fe88def833" TargetMode="External" /><Relationship Type="http://schemas.openxmlformats.org/officeDocument/2006/relationships/hyperlink" Id="rId20" Target="https://documents1.worldbank.org/curated/en/099724408222262517/pdf/IDU04f787105008b604f5108f1a061fe88def833.pdf" TargetMode="External" /><Relationship Type="http://schemas.openxmlformats.org/officeDocument/2006/relationships/hyperlink" Id="rId49" Target="https://doi.org/10.1111/j.1467-985X.2010.00655.x" TargetMode="External" /><Relationship Type="http://schemas.openxmlformats.org/officeDocument/2006/relationships/hyperlink" Id="rId47" Target="https://doi.org/10.1177/0081175018782579" TargetMode="External" /><Relationship Type="http://schemas.openxmlformats.org/officeDocument/2006/relationships/hyperlink" Id="rId51" Target="https://doi.org/10.1177/1536867X0800700401" TargetMode="External" /><Relationship Type="http://schemas.openxmlformats.org/officeDocument/2006/relationships/hyperlink" Id="rId44" Target="https://github.com/friosavila/stpackages/tree/main/intreg_mi" TargetMode="External" /></Relationships>
</file>

<file path=word/_rels/footnotes.xml.rels><?xml version="1.0" encoding="UTF-8"?><Relationships xmlns="http://schemas.openxmlformats.org/package/2006/relationships"><Relationship Type="http://schemas.openxmlformats.org/officeDocument/2006/relationships/hyperlink" Id="rId45" Target="https://documents.worldbank.org/en/publication/documents-reports/documentdetail/099724408222262517/idu04f787105008b604f5108f1a061fe88def833" TargetMode="External" /><Relationship Type="http://schemas.openxmlformats.org/officeDocument/2006/relationships/hyperlink" Id="rId20" Target="https://documents1.worldbank.org/curated/en/099724408222262517/pdf/IDU04f787105008b604f5108f1a061fe88def833.pdf" TargetMode="External" /><Relationship Type="http://schemas.openxmlformats.org/officeDocument/2006/relationships/hyperlink" Id="rId49" Target="https://doi.org/10.1111/j.1467-985X.2010.00655.x" TargetMode="External" /><Relationship Type="http://schemas.openxmlformats.org/officeDocument/2006/relationships/hyperlink" Id="rId47" Target="https://doi.org/10.1177/0081175018782579" TargetMode="External" /><Relationship Type="http://schemas.openxmlformats.org/officeDocument/2006/relationships/hyperlink" Id="rId51" Target="https://doi.org/10.1177/1536867X0800700401" TargetMode="External" /><Relationship Type="http://schemas.openxmlformats.org/officeDocument/2006/relationships/hyperlink" Id="rId44" Target="https://github.com/friosavila/stpackages/tree/main/intreg_m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better use of interval-censored data</dc:title>
  <dc:creator>Fernando Rios-Avila; Gustavo Canavire-Bacarreza; Flavia Sacco Capurro</dc:creator>
  <cp:keywords/>
  <dcterms:created xsi:type="dcterms:W3CDTF">2023-04-10T14:41:38Z</dcterms:created>
  <dcterms:modified xsi:type="dcterms:W3CDTF">2023-04-10T14:41:38Z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jupyter">
    <vt:lpwstr>nbstata</vt:lpwstr>
  </property>
  <property fmtid="{D5CDD505-2E9C-101B-9397-08002B2CF9AE}" pid="10" name="labels">
    <vt:lpwstr/>
  </property>
  <property fmtid="{D5CDD505-2E9C-101B-9397-08002B2CF9AE}" pid="11" name="subtitle">
    <vt:lpwstr>Introducing intreg_mi</vt:lpwstr>
  </property>
  <property fmtid="{D5CDD505-2E9C-101B-9397-08002B2CF9AE}" pid="12" name="toc-title">
    <vt:lpwstr>Table of contents</vt:lpwstr>
  </property>
</Properties>
</file>