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Tankar</w:t>
      </w:r>
      <w:r>
        <w:fldChar w:fldCharType="end"/>
      </w:r>
    </w:p>
    <w:p>
      <w:pPr>
        <w:pStyle w:val="OrgSubtitle"/>
        <w:rPr/>
      </w:pPr>
      <w:r>
        <w:rPr/>
      </w:r>
    </w:p>
    <w:p>
      <w:pPr>
        <w:pStyle w:val="OrgSubtitle"/>
        <w:rPr/>
      </w:pPr>
      <w:r>
        <w:rPr/>
      </w:r>
    </w:p>
    <w:p>
      <w:pPr>
        <w:pStyle w:val="OrgSubtitle"/>
        <w:rPr/>
      </w:pPr>
      <w:r>
        <w:rPr/>
      </w:r>
    </w:p>
    <w:p>
      <w:pPr>
        <w:pStyle w:val="TextBody"/>
        <w:rPr/>
      </w:pPr>
      <w:r>
        <w:rPr/>
        <w:t xml:space="preserve">En undersökning och analys av begreppsanvändning inom musikfältet för att ringa in ett möjligt gemensamt område med många olika uttryck, vart och ett möjligtvis med sina egna metoder. En begreppshistoria och en analys av de typer av kunskapssyn som återfinns i dessa discipliner. Musikpedagogik har till exempel endast undantagsvis haft djupare utbyte med konstnärlig forskning i musik. Något mer med musikvetenskap samtidigt som en disciplin som musikpsykologi har haft en ganska isolerad position. Musikpedagogiken och den konstnärliga forskningen har sin hemvist på musikhögskolorna medan musikvetenskap tillhör humaniora. Hur mycket påverkar det? Är det rent av negativt för musikpedagogiken att vara ensam som vetenskaplig disciplin på musikhögskolorna? </w:t>
      </w:r>
    </w:p>
    <w:p>
      <w:pPr>
        <w:pStyle w:val="TextBody"/>
        <w:rPr/>
      </w:pPr>
      <w:r>
        <w:rPr/>
        <w:t xml:space="preserve">Om man föreställer sig ett fält som innehåller flera discipliner inom musikforskningen måste man se till konsekvenserna: </w:t>
      </w:r>
    </w:p>
    <w:p>
      <w:pPr>
        <w:pStyle w:val="TextBody"/>
        <w:numPr>
          <w:ilvl w:val="0"/>
          <w:numId w:val="3"/>
        </w:numPr>
        <w:tabs>
          <w:tab w:val="left" w:pos="0" w:leader="none"/>
        </w:tabs>
        <w:ind w:left="720" w:hanging="360"/>
        <w:rPr/>
      </w:pPr>
      <w:r>
        <w:rPr/>
        <w:t xml:space="preserve">Konstnärlig forskning kommer sannolikt röra sig bort från det generella konstnärliga forskningsfältet (den kopplingen är svag idag?) </w:t>
      </w:r>
    </w:p>
    <w:p>
      <w:pPr>
        <w:pStyle w:val="TextBody"/>
        <w:numPr>
          <w:ilvl w:val="0"/>
          <w:numId w:val="3"/>
        </w:numPr>
        <w:tabs>
          <w:tab w:val="left" w:pos="0" w:leader="none"/>
        </w:tabs>
        <w:ind w:left="720" w:hanging="360"/>
        <w:rPr/>
      </w:pPr>
      <w:r>
        <w:rPr/>
        <w:t xml:space="preserve">Musikpedagogikområdet kan vinna på att komma närmare den i övrigt vetenskapligt orienterade forskningen men kan därigenom förlora kontakten till den musikaliska praktiken (denna är svag idag?) </w:t>
      </w:r>
    </w:p>
    <w:p>
      <w:pPr>
        <w:pStyle w:val="TextBody"/>
        <w:numPr>
          <w:ilvl w:val="0"/>
          <w:numId w:val="3"/>
        </w:numPr>
        <w:tabs>
          <w:tab w:val="left" w:pos="0" w:leader="none"/>
        </w:tabs>
        <w:ind w:left="720" w:hanging="360"/>
        <w:rPr/>
      </w:pPr>
      <w:r>
        <w:rPr/>
        <w:t xml:space="preserve">Musikteknikområdet är kanske det fält som är mest öppet för interaktion med de andra fälten. </w:t>
      </w:r>
    </w:p>
    <w:p>
      <w:pPr>
        <w:pStyle w:val="TextBody"/>
        <w:rPr/>
      </w:pPr>
      <w:r>
        <w:rPr/>
        <w:t xml:space="preserve">Konstnärlig forskning har velat vara "för sig själv" i en uppbyggnadsfas. Hur ser det ut nu? Den konstnärliga bedömningsgrunden brukar framhållas som viktig, men är den annorlunda från annan ämnesspecifik kompetens i samband med examination och bedömning? Hur ser kvalitetsarbetet ut i de olika disciplinerna och vilka konsekvenser skulle det bli med ett tätare konstituerat multidisciplinärt fält? </w:t>
      </w:r>
    </w:p>
    <w:p>
      <w:pPr>
        <w:pStyle w:val="TextBody"/>
        <w:spacing w:before="0" w:after="120"/>
        <w:rPr/>
      </w:pPr>
      <w:r>
        <w:rPr/>
        <w:t xml:space="preserve">Om konstnärlig forskniong ses som ett subjektivt orienterat kunskapsfält, hur ser de andra områdena ut (pedagogik och musikvetenskap?) Är skillnaden inte i realiteten en metodskillnad snarare än en identitetsskillnad? Att metoddiskussionen i KF fortfarande är ganska svag kanske påverkar detta? MAO, om den konstnärliga forskningsmetoden och dess diskussion utvecklades skulle särskillnaden mellan konstnärlig och vetenskaplig forskning i musik bli mindre utan att KF förlorade den öppenhet i angreppssätten som den är beroende av? </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Text Body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First Line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Complimentary Close"/>
    <w:basedOn w:val="Normal"/>
    <w:pPr>
      <w:suppressLineNumber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 w:type="paragraph" w:styleId="Contents4">
    <w:name w:val="Contents 4"/>
    <w:basedOn w:val="Index"/>
    <w:pPr>
      <w:tabs>
        <w:tab w:val="right" w:pos="8789" w:leader="dot"/>
      </w:tabs>
      <w:ind w:left="849" w:right="0" w:hanging="0"/>
    </w:pPr>
    <w:rPr/>
  </w:style>
  <w:style w:type="paragraph" w:styleId="Contents5">
    <w:name w:val="Contents 5"/>
    <w:basedOn w:val="Index"/>
    <w:pPr>
      <w:tabs>
        <w:tab w:val="right" w:pos="8506" w:leader="dot"/>
      </w:tabs>
      <w:ind w:left="1132" w:right="0" w:hanging="0"/>
    </w:pPr>
    <w:rPr/>
  </w:style>
  <w:style w:type="paragraph" w:styleId="Contents6">
    <w:name w:val="Contents 6"/>
    <w:basedOn w:val="Index"/>
    <w:pPr>
      <w:tabs>
        <w:tab w:val="right" w:pos="8223" w:leader="dot"/>
      </w:tabs>
      <w:ind w:left="1415" w:right="0" w:hanging="0"/>
    </w:pPr>
    <w:rPr/>
  </w:style>
  <w:style w:type="paragraph" w:styleId="Contents7">
    <w:name w:val="Contents 7"/>
    <w:basedOn w:val="Index"/>
    <w:pPr>
      <w:tabs>
        <w:tab w:val="right" w:pos="7940" w:leader="dot"/>
      </w:tabs>
      <w:ind w:left="1698" w:right="0" w:hanging="0"/>
    </w:pPr>
    <w:rPr/>
  </w:style>
  <w:style w:type="paragraph" w:styleId="Contents8">
    <w:name w:val="Contents 8"/>
    <w:basedOn w:val="Index"/>
    <w:pPr>
      <w:tabs>
        <w:tab w:val="right" w:pos="7657" w:leader="dot"/>
      </w:tabs>
      <w:ind w:left="1981" w:right="0" w:hanging="0"/>
    </w:pPr>
    <w:rPr/>
  </w:style>
  <w:style w:type="paragraph" w:styleId="Contents9">
    <w:name w:val="Contents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suppressAutoHyphens w:val="tru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386" w:leader="none"/>
        <w:tab w:val="right" w:pos="10772" w:leader="none"/>
      </w:tabs>
    </w:pPr>
    <w:rPr/>
  </w:style>
  <w:style w:type="numbering" w:styleId="Numbering1">
    <w:name w:val="Numbering 1"/>
  </w:style>
  <w:style w:type="numbering" w:styleId="List1">
    <w:name w:val="List 1"/>
  </w:style>
  <w:style w:type="numbering" w:styleId="OrgNumberedList">
    <w:name w:val="OrgNumberedList"/>
  </w:style>
  <w:style w:type="numbering" w:styleId="OrgBulletedList">
    <w:name w:val="OrgBulletedList"/>
  </w:style>
  <w:style w:type="numbering" w:styleId="OrgDescriptionList">
    <w:name w:val="OrgDescriptionList"/>
  </w:style>
  <w:style w:type="numbering" w:styleId="OrgSrcBlockNumberedLine">
    <w:name w:val="OrgSrcBlockNumberedLin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LibreOffice_project/40$Build-2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2017-04-08T19:44:12Z</dcterms:created>
  <dc:creator>Henrik Frisk</dc:creator>
  <dc:language>sv-SE</dc:language>
  <cp:lastModifiedBy>Henrik Frisk</cp:lastModifiedBy>
  <dcterms:modified xsi:type="dcterms:W3CDTF">2017-04-08T19:46:17Z</dcterms:modified>
  <cp:revision>1</cp:revision>
  <dc:title>Tankar</dc:title>
</cp:coreProperties>
</file>