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t>Vandrande ljud</w:t>
      </w:r>
    </w:p>
    <w:p>
      <w:pPr>
        <w:pStyle w:val="OrgTitle"/>
        <w:rPr/>
      </w:pPr>
      <w:r>
        <w:rPr/>
      </w:r>
    </w:p>
    <w:p>
      <w:pPr>
        <w:pStyle w:val="OrgSubtitle"/>
        <w:rPr/>
      </w:pPr>
      <w:r>
        <w:rPr/>
        <w:fldChar w:fldCharType="begin"/>
      </w:r>
      <w:r>
        <w:instrText> AUTHOR </w:instrText>
      </w:r>
      <w:r>
        <w:fldChar w:fldCharType="separate"/>
      </w:r>
      <w:r>
        <w:t>Henrik Frisk</w:t>
      </w:r>
      <w:r>
        <w:fldChar w:fldCharType="end"/>
      </w:r>
    </w:p>
    <w:p>
      <w:pPr>
        <w:pStyle w:val="OrgSubtitle"/>
        <w:rPr/>
      </w:pPr>
      <w:r>
        <w:rPr/>
      </w:r>
    </w:p>
    <w:p>
      <w:pPr>
        <w:pStyle w:val="OrgSubtitle"/>
        <w:rPr/>
      </w:pPr>
      <w:r>
        <w:rPr/>
      </w:r>
    </w:p>
    <w:p>
      <w:pPr>
        <w:pStyle w:val="TextBody"/>
        <w:rPr/>
      </w:pPr>
      <w:r>
        <w:rPr/>
        <w:t xml:space="preserve">Att elektroakustisk musik är intressant också för att den är interdisciplinär är naturligtvis inget nytt för de som är bekanta med genren. Tekniken och konsten är sammanvävd på ett sätt som gör att utveckling på det ena området kan få stor inverkan även inom det andra. När John Chowning upptäcker hur frekvensmodulation kan användas för tids- och processoreffektiv ljudsyntes i slutet av sextiotalet så får det stor betydelse för musiklivet. I omvänd riktning är det uppenbart att konsten har påverkat, och fortfarande påverkar, hur tekniken utvecklas även om man inte särskådar relationerna. Else Marie Pades </w:t>
      </w:r>
      <w:r>
        <w:rPr>
          <w:rStyle w:val="Emphasis"/>
        </w:rPr>
        <w:t>En dag på Dyrehavsbakken</w:t>
      </w:r>
      <w:r>
        <w:rPr/>
        <w:t xml:space="preserve">, Karl Heinz Stockhausens </w:t>
      </w:r>
      <w:r>
        <w:rPr>
          <w:rStyle w:val="Emphasis"/>
        </w:rPr>
        <w:t>Kurzwellen</w:t>
      </w:r>
      <w:r>
        <w:rPr/>
        <w:t xml:space="preserve"> och vår tids DIY projekt visar på musikens användning och kritiska ifrågasättande av teknikens olika roller och funktioner - även om det finns exempel på många okritiska perspektiv också. </w:t>
      </w:r>
    </w:p>
    <w:p>
      <w:pPr>
        <w:pStyle w:val="TextBody"/>
        <w:rPr/>
      </w:pPr>
      <w:r>
        <w:rPr/>
        <w:t xml:space="preserve">Det som på ett kunskapsfilosofiskt plan kanske gör det svårt att förstå hur det är möjligt att teknik och konst kan samexistera är att de kan ses ha väldigt olika förutsättningar. För mig som tonsättare </w:t>
      </w:r>
      <w:r>
        <w:rPr>
          <w:rStyle w:val="Bold"/>
        </w:rPr>
        <w:t>behöver</w:t>
      </w:r>
      <w:r>
        <w:rPr/>
        <w:t xml:space="preserve"> jag inte kunna något om det material jag använder, jag behöver strikt sett bara konstnärligt motivera att jag använder det. Därför behöver jag inte förstå hur en tongenerator fungerar för att använda den i musik. Jag kan utgå från den helt specifika applikationen av teknologin och sedan lära mig bara precis det jag behöver av tekniken för att uppfylla mina behov. Min kunskapsutveckling, för att göra mitt teknikanvändande bättre, kan komma senare och efter hand. Från ett tekniskt perspektiv däremot framstår det som lärprocessen ofta är omvänd och utgår från den mest generella kunskapen. Denna leder sedan till en mer specifik modell - till exempel en abstrakt definition av en tongenerator, som inte nödvändigtvis ens leder till en tillämpning. Den matematiska definitionen av en sinusvåg utgör grunden för en eventuell implementation av en tongenerator. Tekniskt är det svårt att göra en tongenerator om jag inte förstår vad en sinusvåg är, men konstnärligt kan jag använda den utan någon som helst kunskap om den underliggande matematiken. </w:t>
      </w:r>
    </w:p>
    <w:p>
      <w:pPr>
        <w:pStyle w:val="TextBody"/>
        <w:rPr/>
      </w:pPr>
      <w:r>
        <w:rPr/>
        <w:t xml:space="preserve">För att teknik och konst ändå ska kunna samverka, som den har gjort i musik sedan femtiotalet, så krävs det ändå att det finns konstnärer som är intresserade av att närma sig ett teknologiskt paradigm liksom tekniker som är intresserade att göra det omvända. Men det krävs också att det finns en terminologi som fungerar. Kjell Stensson och Knut Wiggens lilla ordbok från 1957 är intressant ur flera perspektiv men bland kan man tänka sig att den är en terminologisk gemensam grund för teknik och konst. Ett försök att börja skapa en plattform för tänkande som kan ena både tekniker och kompositörer. </w:t>
      </w:r>
    </w:p>
    <w:p>
      <w:pPr>
        <w:pStyle w:val="TextBody"/>
        <w:rPr/>
      </w:pPr>
      <w:r>
        <w:rPr/>
        <w:t xml:space="preserve">Ordboken är benämnd "Elektronisk ordbok" men flera av begreppen som tas upp har en betydelse som är oberoende av det elektroniska. En ordbok för både tekniker och konstnärer, där teknikerna får en möjlighet att lära sig betydelsen av centrala kompositoriska begrepp vid den här tiden, såsom "aleatorik" och "seriell musik" och kompositörer får lära sig vetenskapligt orienterade begrepp som "informationsteori"? Eller så är den ett försök att ringa in ett område. Den ger hursomhelst skickligt ett bud på ett språk som fungerar i detta hybridfält genom att varken sky teknisk terminologi eller gå vilse i den. En tongenerator betecknas torrt som en "elektronisk apparat för alstring av sinustoner." Som kompositör är det faktisk allt jag initialt behöver veta för att börja komponera. </w:t>
      </w:r>
    </w:p>
    <w:p>
      <w:pPr>
        <w:pStyle w:val="TextBody"/>
        <w:rPr/>
      </w:pPr>
      <w:r>
        <w:rPr/>
        <w:t xml:space="preserve">Den sista termen i ordlistan, "vandrande ljud", syftar på det som vi idag oftast kallar spatialisering, eller panorering, är tankeväckande. Den visar på hur detta är ett område där det har hänt mycket och där teknikutvecklingen har påverkat terminologin (en tongenerator är trots allt fortfarande en tongenerator, även om den oftast är digital nu förtiden). Flerkanalssystem är vanligare och teknikerna för att få ljudet "att vandra" har satt fokus på just rumsligheten snarare än ljudets rörelse. Men det finns en metaforisk poetik i det vandrande ljudet som blir en behaglig kontrast till bilden av de slipsprydda männen, alternativt även iklädda vita rockar, som befolkade den sterila laboratoriemiljön som elektronmusikstudion utgjorde vid den här tiden. </w:t>
      </w:r>
    </w:p>
    <w:p>
      <w:pPr>
        <w:pStyle w:val="TextBody"/>
        <w:spacing w:before="0" w:after="120"/>
        <w:rPr/>
      </w:pPr>
      <w:r>
        <w:rPr/>
        <w:t xml:space="preserve">Låt ljuden vandra. Och låt oss komma ihåg att ett fälts utveckling i viss mån alltid styrs av hur vi talar om det. </w:t>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4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Text Body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First Line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Complimentary Close"/>
    <w:basedOn w:val="Normal"/>
    <w:pPr>
      <w:suppressLineNumber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3">
    <w:name w:val="Contents 3"/>
    <w:basedOn w:val="Index"/>
    <w:pPr>
      <w:tabs>
        <w:tab w:val="right" w:pos="9072" w:leader="dot"/>
      </w:tabs>
      <w:ind w:left="566" w:right="0" w:hanging="0"/>
    </w:pPr>
    <w:rPr/>
  </w:style>
  <w:style w:type="paragraph" w:styleId="Contents4">
    <w:name w:val="Contents 4"/>
    <w:basedOn w:val="Index"/>
    <w:pPr>
      <w:tabs>
        <w:tab w:val="right" w:pos="8789" w:leader="dot"/>
      </w:tabs>
      <w:ind w:left="849" w:right="0" w:hanging="0"/>
    </w:pPr>
    <w:rPr/>
  </w:style>
  <w:style w:type="paragraph" w:styleId="Contents5">
    <w:name w:val="Contents 5"/>
    <w:basedOn w:val="Index"/>
    <w:pPr>
      <w:tabs>
        <w:tab w:val="right" w:pos="8506" w:leader="dot"/>
      </w:tabs>
      <w:ind w:left="1132" w:right="0" w:hanging="0"/>
    </w:pPr>
    <w:rPr/>
  </w:style>
  <w:style w:type="paragraph" w:styleId="Contents6">
    <w:name w:val="Contents 6"/>
    <w:basedOn w:val="Index"/>
    <w:pPr>
      <w:tabs>
        <w:tab w:val="right" w:pos="8223" w:leader="dot"/>
      </w:tabs>
      <w:ind w:left="1415" w:right="0" w:hanging="0"/>
    </w:pPr>
    <w:rPr/>
  </w:style>
  <w:style w:type="paragraph" w:styleId="Contents7">
    <w:name w:val="Contents 7"/>
    <w:basedOn w:val="Index"/>
    <w:pPr>
      <w:tabs>
        <w:tab w:val="right" w:pos="7940" w:leader="dot"/>
      </w:tabs>
      <w:ind w:left="1698" w:right="0" w:hanging="0"/>
    </w:pPr>
    <w:rPr/>
  </w:style>
  <w:style w:type="paragraph" w:styleId="Contents8">
    <w:name w:val="Contents 8"/>
    <w:basedOn w:val="Index"/>
    <w:pPr>
      <w:tabs>
        <w:tab w:val="right" w:pos="7657" w:leader="dot"/>
      </w:tabs>
      <w:ind w:left="1981" w:right="0" w:hanging="0"/>
    </w:pPr>
    <w:rPr/>
  </w:style>
  <w:style w:type="paragraph" w:styleId="Contents9">
    <w:name w:val="Contents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suppressAutoHyphens w:val="tru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386" w:leader="none"/>
        <w:tab w:val="right" w:pos="10772" w:leader="none"/>
      </w:tabs>
    </w:pPr>
    <w:rPr/>
  </w:style>
  <w:style w:type="numbering" w:styleId="Numbering1">
    <w:name w:val="Numbering 1"/>
  </w:style>
  <w:style w:type="numbering" w:styleId="List1">
    <w:name w:val="List 1"/>
  </w:style>
  <w:style w:type="numbering" w:styleId="OrgNumberedList">
    <w:name w:val="OrgNumberedList"/>
  </w:style>
  <w:style w:type="numbering" w:styleId="OrgBulletedList">
    <w:name w:val="OrgBulletedList"/>
  </w:style>
  <w:style w:type="numbering" w:styleId="OrgDescriptionList">
    <w:name w:val="OrgDescriptionList"/>
  </w:style>
  <w:style w:type="numbering" w:styleId="OrgSrcBlockNumberedLine">
    <w:name w:val="OrgSrcBlockNumberedLin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LibreOffice/4.4.7.2$Linux_X86_64 LibreOffice_project/40$Build-2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2016-10-21T11:04:29Z</dcterms:created>
  <dc:creator>Henrik Frisk</dc:creator>
  <dc:language>sv-SE</dc:language>
  <cp:lastModifiedBy>Henrik Frisk</cp:lastModifiedBy>
  <dcterms:modified xsi:type="dcterms:W3CDTF">2016-10-21T11:07:19Z</dcterms:modified>
  <cp:revision>1</cp:revision>
  <dc:title>Liten elektronisk ordbok - vandrande ljud</dc:title>
</cp:coreProperties>
</file>