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2904" w14:textId="07F68FFF" w:rsidR="0067666A" w:rsidRDefault="00695B4C">
      <w:pPr>
        <w:pStyle w:val="Title"/>
      </w:pPr>
      <w:r>
        <w:t xml:space="preserve">On the care of the self in </w:t>
      </w:r>
      <w:r w:rsidR="00D66B65">
        <w:t xml:space="preserve">the ethics of </w:t>
      </w:r>
      <w:r>
        <w:t>artistic practices</w:t>
      </w:r>
      <w:r w:rsidR="00D66B65">
        <w:t xml:space="preserve"> in music</w:t>
      </w:r>
    </w:p>
    <w:p w14:paraId="3B1254C5" w14:textId="77777777" w:rsidR="0067666A" w:rsidRDefault="00695B4C">
      <w:pPr>
        <w:pStyle w:val="Author"/>
      </w:pPr>
      <w:r>
        <w:t>Henrik Frisk</w:t>
      </w:r>
    </w:p>
    <w:p w14:paraId="5A72CDE6" w14:textId="77777777" w:rsidR="0067666A" w:rsidRDefault="00695B4C">
      <w:pPr>
        <w:pStyle w:val="Heading1"/>
      </w:pPr>
      <w:bookmarkStart w:id="0" w:name="abstract"/>
      <w:r>
        <w:t>Abstract</w:t>
      </w:r>
    </w:p>
    <w:p w14:paraId="0151D38A" w14:textId="77777777" w:rsidR="0067666A" w:rsidRDefault="00695B4C">
      <w:pPr>
        <w:pStyle w:val="FirstParagraph"/>
      </w:pPr>
      <w:r>
        <w:t>In Western society of the beginning of the twenty first century most questions and relations are entangled with economy, and thereby to some degree mutilated. The power relations between the arts and the control structures of capitalism are, in an understatement, unequal. The possiblity for interpretations of moral questions is shrinking. In only a little more than a decade the panoptic control structures of social-media have become second nature and they offer an understanding of ethics that is both normat</w:t>
      </w:r>
      <w:r>
        <w:t xml:space="preserve">ive and irrational. Departing from this rather dense scenario I will introduce ideas about how artistic practice in music can be part of a method with which a set of different values may be proposed. Values that may offer an interesting opposition, or tension, to those proposed by the dominant capitalist structures. These are not necessarily 'better' but can help to reveal how a multiplicity of perspectives can be applied to questions of what it means to make </w:t>
      </w:r>
      <w:r>
        <w:rPr>
          <w:i/>
          <w:iCs/>
        </w:rPr>
        <w:t>good decisions</w:t>
      </w:r>
      <w:r>
        <w:t xml:space="preserve"> and be a </w:t>
      </w:r>
      <w:r>
        <w:rPr>
          <w:i/>
          <w:iCs/>
        </w:rPr>
        <w:t>good human being</w:t>
      </w:r>
      <w:r>
        <w:t>.</w:t>
      </w:r>
    </w:p>
    <w:p w14:paraId="3B2D0696" w14:textId="77777777" w:rsidR="0067666A" w:rsidRDefault="00695B4C">
      <w:pPr>
        <w:pStyle w:val="BodyText"/>
      </w:pPr>
      <w:r>
        <w:t>Both music and ethics lack clear definitions, yet they play an important role in the life of most people. They are necessary parts of the human condition and have been so for many thousands of years. There is also a strong connection between them. The point I will pursue in this paper is how ethics in artistic practice, that is, the moral values that are expressed through artistic practices in music, may complement traditional views on ethics. Furthermore, the hypothesis is that the results of such explorat</w:t>
      </w:r>
      <w:r>
        <w:t xml:space="preserve">ion may contribute to the understanding of how we perceive ethics in a more general sense. In turn, this could potentially have an impact on how artistic practices are esteemed in contemporary Western societies. The notion of the </w:t>
      </w:r>
      <w:r>
        <w:rPr>
          <w:i/>
          <w:iCs/>
        </w:rPr>
        <w:t>Care of the Self</w:t>
      </w:r>
      <w:r>
        <w:t xml:space="preserve"> is used as a method to approach this complex area. </w:t>
      </w:r>
      <w:r>
        <w:rPr>
          <w:i/>
          <w:iCs/>
        </w:rPr>
        <w:t>The Care of the Self</w:t>
      </w:r>
      <w:r>
        <w:t xml:space="preserve"> is discussed in Michel Foucault's </w:t>
      </w:r>
      <w:r>
        <w:lastRenderedPageBreak/>
        <w:t xml:space="preserve">Volume Three of the </w:t>
      </w:r>
      <w:r>
        <w:rPr>
          <w:i/>
          <w:iCs/>
        </w:rPr>
        <w:t>History of Sexuality</w:t>
      </w:r>
      <w:r>
        <w:t xml:space="preserve"> which is the theoretical point of departure for this paper.</w:t>
      </w:r>
    </w:p>
    <w:p w14:paraId="49627DD6" w14:textId="77777777" w:rsidR="0067666A" w:rsidRDefault="00695B4C">
      <w:pPr>
        <w:pStyle w:val="BodyText"/>
      </w:pPr>
      <w:r>
        <w:t xml:space="preserve">Ethics of artistic practice is described here as a form of play, and the main point of entry is that the artistic practice enables new ethical perspectives. The artist is not playing because they will accomplish a goal external to the play. The </w:t>
      </w:r>
      <w:r>
        <w:rPr>
          <w:i/>
          <w:iCs/>
        </w:rPr>
        <w:t>play</w:t>
      </w:r>
      <w:r>
        <w:t xml:space="preserve"> is for the sake of playing and the bi-product is knowledge and the discovery of the meaning of concepts outside of the play. This characteristic, its dimension of play, is what makes it the antidote of capitalist consumption, which is always transactional. The former creates freedom and the latter consumes it. I present a few examples in the text from my own work that illustrate how ethics in artistic practice may play out and how it may be understood. Though judgments such as right and wrong are in es</w:t>
      </w:r>
      <w:r>
        <w:t>sence both difficult and useless to employ in music, they are in fact equally difficult to determine in ethics. In both cases there is a need for a framework through which the judgements may be applied. Artistic practice as a way of life, developed through the care of the self, is proposed as such a framework.</w:t>
      </w:r>
    </w:p>
    <w:p w14:paraId="62825BC6" w14:textId="77777777" w:rsidR="0067666A" w:rsidRDefault="00695B4C">
      <w:pPr>
        <w:pStyle w:val="Heading1"/>
      </w:pPr>
      <w:bookmarkStart w:id="1" w:name="key-words"/>
      <w:bookmarkEnd w:id="0"/>
      <w:r>
        <w:t>Key words</w:t>
      </w:r>
    </w:p>
    <w:p w14:paraId="3E079D63" w14:textId="77777777" w:rsidR="0067666A" w:rsidRDefault="00695B4C">
      <w:pPr>
        <w:pStyle w:val="FirstParagraph"/>
      </w:pPr>
      <w:r>
        <w:t>Ethics, Experimental music, Artistic practice, Listening, Free play</w:t>
      </w:r>
    </w:p>
    <w:p w14:paraId="452DAC5E" w14:textId="77777777" w:rsidR="0067666A" w:rsidRDefault="00695B4C">
      <w:pPr>
        <w:pStyle w:val="Heading1"/>
      </w:pPr>
      <w:bookmarkStart w:id="2" w:name="biography"/>
      <w:bookmarkEnd w:id="1"/>
      <w:r>
        <w:t>Biography</w:t>
      </w:r>
    </w:p>
    <w:p w14:paraId="043A5DFB" w14:textId="77777777" w:rsidR="0067666A" w:rsidRDefault="00695B4C">
      <w:pPr>
        <w:pStyle w:val="FirstParagraph"/>
      </w:pPr>
      <w:r>
        <w:t>Henrik Frisk is an active performer of improvised and contemporary music and a composer of electroacoustic music. As a professor at the Royal College of Music in Stockholm he is the head of programs for electroacoustic music and research. His own research is concerned with improvisation, interactivity, spatialisation and collaborative practices. Henrik has performed in many countries in Europe, North America and Asia, and as a composer he has received commissions from many institutions, ensembles and musici</w:t>
      </w:r>
      <w:r>
        <w:t>ans. Numerous recordings, mostly collaborations, are available on American, Canadian, Swedish and Danish record labels.</w:t>
      </w:r>
    </w:p>
    <w:p w14:paraId="4E3412C4" w14:textId="77777777" w:rsidR="0067666A" w:rsidRDefault="00695B4C">
      <w:pPr>
        <w:pStyle w:val="Heading1"/>
      </w:pPr>
      <w:bookmarkStart w:id="3" w:name="the-relation-of-the-text-to-questions"/>
      <w:bookmarkEnd w:id="2"/>
      <w:r>
        <w:lastRenderedPageBreak/>
        <w:t>The relation of the text to questions</w:t>
      </w:r>
    </w:p>
    <w:p w14:paraId="3EC0C5F7" w14:textId="77777777" w:rsidR="0067666A" w:rsidRDefault="00695B4C">
      <w:pPr>
        <w:pStyle w:val="Compact"/>
        <w:numPr>
          <w:ilvl w:val="0"/>
          <w:numId w:val="2"/>
        </w:numPr>
      </w:pPr>
      <w:r>
        <w:t>How can ethical perspectives in artistic research be related and analyzed in the context of artistic freedom? The text discusses how an ethics of artist practices can be understood and how it may be related to a more general understanding of ethics. The text argues that a multiplicity of ethical perspectives is important, and the there is an opposing tendency towards a narrowing heterogeneity in hyper-capitalist societies structured in the logic of social media.</w:t>
      </w:r>
    </w:p>
    <w:p w14:paraId="047769A1" w14:textId="77777777" w:rsidR="0067666A" w:rsidRDefault="00695B4C">
      <w:pPr>
        <w:pStyle w:val="Compact"/>
        <w:numPr>
          <w:ilvl w:val="0"/>
          <w:numId w:val="2"/>
        </w:numPr>
      </w:pPr>
      <w:r>
        <w:t>What happens to the ethical framework when art moves into academia, and how is the question of artistic freedom then affected? At the end the I discuss how artistic research in some cases can appear to be in conflict with academic research ethics. This may happen in all research fields and it should not be seen as a problem, but an asset. Hence, artistic research is an arena on which the understanding of ethics may be expanded.</w:t>
      </w:r>
    </w:p>
    <w:p w14:paraId="741BF13E" w14:textId="77777777" w:rsidR="0067666A" w:rsidRDefault="00695B4C">
      <w:pPr>
        <w:pStyle w:val="Heading1"/>
      </w:pPr>
      <w:bookmarkStart w:id="4" w:name="ethics"/>
      <w:bookmarkEnd w:id="3"/>
      <w:r>
        <w:t>Ethics</w:t>
      </w:r>
    </w:p>
    <w:p w14:paraId="6F02DAB8" w14:textId="77777777" w:rsidR="0067666A" w:rsidRDefault="00695B4C">
      <w:pPr>
        <w:pStyle w:val="FirstParagraph"/>
      </w:pPr>
      <w:r>
        <w:t>The research in which this paper has been produced is performed as part of my employment at the Royal College of Music in Stockholm (KMH) and is following the code of conduct defined by KMH. All unnamed parties in the example discussed here are informed and have accepted to be part of the paper.</w:t>
      </w:r>
    </w:p>
    <w:p w14:paraId="5B8DC725" w14:textId="77777777" w:rsidR="0067666A" w:rsidRDefault="00695B4C">
      <w:pPr>
        <w:pStyle w:val="Heading1"/>
      </w:pPr>
      <w:bookmarkStart w:id="5" w:name="introduction"/>
      <w:bookmarkEnd w:id="4"/>
      <w:r>
        <w:t>Introduction</w:t>
      </w:r>
    </w:p>
    <w:p w14:paraId="691DAB7C" w14:textId="3D07AE9C" w:rsidR="00A77790" w:rsidRDefault="00695B4C">
      <w:pPr>
        <w:pStyle w:val="FirstParagraph"/>
      </w:pPr>
      <w:r>
        <w:t xml:space="preserve">It is fair to assume that both music and ethics lack a clear definition yet play an important role in the life of most people. They are necessary parts of the human condition and have been so for many thousands of years. There is also a strong connection between them as pointed out in the opening of the book </w:t>
      </w:r>
      <w:r>
        <w:rPr>
          <w:i/>
          <w:iCs/>
        </w:rPr>
        <w:t>Music and Ethics</w:t>
      </w:r>
      <w:r>
        <w:t xml:space="preserve"> by Cobussen and Nielsen : "The relationship between ethics and music is one of the oldest topics in philosophical discussions of music dating at least as far back as Plato"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 xml:space="preserve">1). The point I will pursue in this paper is that exploring ethics in artistic practice may complement traditional views on ethics in ways that may be of general interest. This could potentially have an impact on how artistic practices </w:t>
      </w:r>
      <w:r>
        <w:lastRenderedPageBreak/>
        <w:t xml:space="preserve">are esteemed in contemporary Western societies. The notion of the </w:t>
      </w:r>
      <w:r>
        <w:rPr>
          <w:i/>
          <w:iCs/>
        </w:rPr>
        <w:t>Care of the Self</w:t>
      </w:r>
      <w:r>
        <w:t xml:space="preserve"> as discussed by Michel Foucault, mainly in </w:t>
      </w:r>
      <w:r>
        <w:rPr>
          <w:i/>
          <w:iCs/>
        </w:rPr>
        <w:t>The History of Sexuality</w:t>
      </w:r>
      <w:r>
        <w:t xml:space="preserve"> (</w:t>
      </w:r>
      <w:hyperlink w:anchor="citeproc_bib_item_7">
        <w:r>
          <w:rPr>
            <w:rStyle w:val="Hyperlink"/>
          </w:rPr>
          <w:t>Foucault 1988</w:t>
        </w:r>
      </w:hyperlink>
      <w:r>
        <w:t>)</w:t>
      </w:r>
      <w:bookmarkEnd w:id="5"/>
      <w:r w:rsidR="00A77790">
        <w:rPr>
          <w:rStyle w:val="EndnoteReference"/>
        </w:rPr>
        <w:endnoteReference w:id="1"/>
      </w:r>
      <w:r w:rsidR="00A77790">
        <w:t xml:space="preserve"> is used as a method to approach this complex area.</w:t>
      </w:r>
    </w:p>
    <w:p w14:paraId="3248941B" w14:textId="77777777" w:rsidR="00A77790" w:rsidRDefault="00A77790">
      <w:pPr>
        <w:pStyle w:val="BodyText"/>
      </w:pPr>
      <w:r>
        <w:t xml:space="preserve">The power relations between the arts and current capitalist and networked culture in the West of the 21st century, are unequal, to say the least. When all questions and relations are entangled with economy, and thereby to some degree mutilated, the </w:t>
      </w:r>
      <w:proofErr w:type="spellStart"/>
      <w:r>
        <w:t>possiblity</w:t>
      </w:r>
      <w:proofErr w:type="spellEnd"/>
      <w:r>
        <w:t xml:space="preserve"> for alternative understandings of moral questions is shrinking. In only a little more than a decade the panoptic control structures of </w:t>
      </w:r>
      <w:proofErr w:type="gramStart"/>
      <w:r>
        <w:t>social-media</w:t>
      </w:r>
      <w:proofErr w:type="gramEnd"/>
      <w:r>
        <w:t xml:space="preserve"> have become second nature and they offer an understanding of ethics that is both normative and irrational. Departing from this rather impenetrable scenario I will introduce ideas about how artistic practice in music can be part of a method with which some of these challenges may be confronted, as well as introduce different values. Values that may offer an interesting opposition, or tension, to those proposed by the dominant neo-capitalist structures. These are not necessarily 'better' but can help to reveal how a multiplicity of perspectives can be applied to questions of what it means to make </w:t>
      </w:r>
      <w:r>
        <w:rPr>
          <w:i/>
          <w:iCs/>
        </w:rPr>
        <w:t>good decisions</w:t>
      </w:r>
      <w:r>
        <w:t xml:space="preserve"> and be a </w:t>
      </w:r>
      <w:r>
        <w:rPr>
          <w:i/>
          <w:iCs/>
        </w:rPr>
        <w:t>good human being</w:t>
      </w:r>
      <w:r>
        <w:t>. In this text I primarily refer to an ethics of artistic practice as a form of play which may not be completely in line with other ethical theories, but my point of entry is the artistic practice first and foremost, and how it enables ethical perspectives.</w:t>
      </w:r>
    </w:p>
    <w:p w14:paraId="2566A468" w14:textId="77777777" w:rsidR="00A77790" w:rsidRDefault="00A77790">
      <w:pPr>
        <w:pStyle w:val="BodyText"/>
      </w:pPr>
      <w:r>
        <w:t>To approach this difficult matter Foucault's thoughts about the ethical condition of the care of the self (</w:t>
      </w:r>
      <w:hyperlink w:anchor="citeproc_bib_item_7">
        <w:r>
          <w:rPr>
            <w:rStyle w:val="Hyperlink"/>
          </w:rPr>
          <w:t>Foucault 1988</w:t>
        </w:r>
      </w:hyperlink>
      <w:r>
        <w:t>) provides the background to the definition of the main question: How can an approach to ethics be developed using artistic practice as a research activity, despite the complexities of contemporary social and political systems? In this short format only the surface of this field will be scratched. The main empirical source is my own artistic work from which I extract experiences, some of which have been previously discussed (</w:t>
      </w:r>
      <w:hyperlink w:anchor="citeproc_bib_item_8">
        <w:r>
          <w:rPr>
            <w:rStyle w:val="Hyperlink"/>
          </w:rPr>
          <w:t>Frisk 2013</w:t>
        </w:r>
      </w:hyperlink>
      <w:r>
        <w:t xml:space="preserve">, </w:t>
      </w:r>
      <w:hyperlink w:anchor="citeproc_bib_item_9">
        <w:r>
          <w:rPr>
            <w:rStyle w:val="Hyperlink"/>
          </w:rPr>
          <w:t>2014</w:t>
        </w:r>
      </w:hyperlink>
      <w:r>
        <w:t>).</w:t>
      </w:r>
    </w:p>
    <w:p w14:paraId="6DBDE007" w14:textId="77777777" w:rsidR="00A77790" w:rsidRDefault="00A77790">
      <w:pPr>
        <w:pStyle w:val="BodyText"/>
      </w:pPr>
      <w:r>
        <w:t xml:space="preserve">Here, the term </w:t>
      </w:r>
      <w:r>
        <w:rPr>
          <w:i/>
          <w:iCs/>
        </w:rPr>
        <w:t>artistic practice in music</w:t>
      </w:r>
      <w:r>
        <w:t xml:space="preserve"> encapsulates all the things a musician</w:t>
      </w:r>
      <w:r>
        <w:rPr>
          <w:rStyle w:val="EndnoteReference"/>
        </w:rPr>
        <w:endnoteReference w:id="2"/>
      </w:r>
      <w:r>
        <w:t xml:space="preserve"> do when they engage in making music, preparing for making music, thinking about making music and thinking back on past activities involving music. Similarly, any reference to </w:t>
      </w:r>
      <w:r>
        <w:rPr>
          <w:i/>
          <w:iCs/>
        </w:rPr>
        <w:t>musician</w:t>
      </w:r>
      <w:r>
        <w:t xml:space="preserve"> should be understood to include any kind of musician including, but not limited to </w:t>
      </w:r>
      <w:r>
        <w:lastRenderedPageBreak/>
        <w:t xml:space="preserve">composers, producers and sound artist. There is very little in the activity of a musician that is not part of the artistic practice which is the reason I sometimes refer to it as </w:t>
      </w:r>
      <w:proofErr w:type="gramStart"/>
      <w:r>
        <w:t>an</w:t>
      </w:r>
      <w:proofErr w:type="gramEnd"/>
      <w:r>
        <w:t xml:space="preserve"> </w:t>
      </w:r>
      <w:r>
        <w:rPr>
          <w:i/>
          <w:iCs/>
        </w:rPr>
        <w:t>hybrid practice</w:t>
      </w:r>
      <w:r>
        <w:t>.</w:t>
      </w:r>
      <w:r>
        <w:rPr>
          <w:rStyle w:val="EndnoteReference"/>
        </w:rPr>
        <w:endnoteReference w:id="3"/>
      </w:r>
      <w:r>
        <w:t xml:space="preserve"> What distinguishes it from other kinds of practices is the central role playfulness has, and the lack of order or destination in some phases of the work. What I mean by this is that intimately tied to being an artist is that even if activities may be geared towards a particular end or goal, such as a commission or a concert, it is always possible to change direction at any time, and that this freedom characterizes artistic practices. This freedom conflicts with the interests of capitalism, the desire of which it is to narrow down the fields of possibilities. Contemporary music since the twentieth century and earlier, including popular music, is full of examples of this: unexpected and random turns, erratic behavior and unpredictability are qualities that have been revered and supported by the field.</w:t>
      </w:r>
      <w:r>
        <w:rPr>
          <w:rStyle w:val="EndnoteReference"/>
        </w:rPr>
        <w:endnoteReference w:id="4"/>
      </w:r>
    </w:p>
    <w:p w14:paraId="284859DD" w14:textId="77777777" w:rsidR="00A77790" w:rsidRDefault="00A77790">
      <w:pPr>
        <w:pStyle w:val="Heading2"/>
      </w:pPr>
      <w:bookmarkStart w:id="6" w:name="the-ambiguity-of-listening"/>
      <w:r>
        <w:t>The ambiguity of listening</w:t>
      </w:r>
    </w:p>
    <w:p w14:paraId="7AAC4DB8" w14:textId="7A892E74" w:rsidR="00A77790" w:rsidRDefault="00A77790">
      <w:pPr>
        <w:pStyle w:val="FirstParagraph"/>
      </w:pPr>
      <w:r>
        <w:t>There is an ambiguous relation between artistic practice in music on the one hand and listening to music on the other. This has some impact on the current discussion. It is ambiguous because any creative act in music obviously has an accompanying act of listening. To be creative in music always involves listening, and a listener always engages in a creative activity when listening. One of the reasons the distinction between the different kinds of creativity–listening and creating–matters here has partly to do with the way the field of aesthetics has had a focus on the perception of art rather than the creation. Furthermore, if aesthetics originally was coined by the German philosopher Alexander Gottlieb Baumgarten as the science of sensible knowledge (</w:t>
      </w:r>
      <w:hyperlink w:anchor="citeproc_bib_item_5">
        <w:r>
          <w:rPr>
            <w:rStyle w:val="Hyperlink"/>
          </w:rPr>
          <w:t>Danius, Sjöholm, and Wallenstein 2012</w:t>
        </w:r>
      </w:hyperlink>
      <w:r>
        <w:t>, 32) it has come to be used in relation to a range of different topics, such as nature, engineering, mathematics, law and order, and much more. In artistic practice it can extend to aspects of creativity other than strictly perceptual or sensible properties, including the beauty of the design of the music, the systems of creation, and the way the patterns are developing in the construction.</w:t>
      </w:r>
      <w:r>
        <w:rPr>
          <w:rStyle w:val="EndnoteReference"/>
        </w:rPr>
        <w:endnoteReference w:id="5"/>
      </w:r>
      <w:r>
        <w:t xml:space="preserve"> Some of these aesthetic characteristics of the music may or may not be obvious or necessary for the listener, while at the same time they may have had a great impact on the creative processes of the artist. They contribute to an individual aesthetics, a set of properties </w:t>
      </w:r>
      <w:r>
        <w:lastRenderedPageBreak/>
        <w:t>defined by a method of working, and, in this case the aesthetics is not necessarily what is sensible but what shapes the sensibility of the practice.</w:t>
      </w:r>
    </w:p>
    <w:p w14:paraId="3F2E9543" w14:textId="77777777" w:rsidR="00A77790" w:rsidRDefault="00A77790">
      <w:pPr>
        <w:pStyle w:val="BodyText"/>
      </w:pPr>
      <w:r>
        <w:t xml:space="preserve">The difference between the experience within the creative act and the sensation of listening to it, introduces an aesthetic distance between the musician and the listener that at first may seem to match the musical semantics of </w:t>
      </w:r>
      <w:proofErr w:type="spellStart"/>
      <w:r>
        <w:t>Nattiez</w:t>
      </w:r>
      <w:proofErr w:type="spellEnd"/>
      <w:r>
        <w:t xml:space="preserve"> (</w:t>
      </w:r>
      <w:hyperlink w:anchor="citeproc_bib_item_15">
        <w:r>
          <w:rPr>
            <w:rStyle w:val="Hyperlink"/>
          </w:rPr>
          <w:t>1990</w:t>
        </w:r>
      </w:hyperlink>
      <w:r>
        <w:t>) and Molino (</w:t>
      </w:r>
      <w:hyperlink w:anchor="citeproc_bib_item_14">
        <w:r>
          <w:rPr>
            <w:rStyle w:val="Hyperlink"/>
          </w:rPr>
          <w:t>1990</w:t>
        </w:r>
      </w:hyperlink>
      <w:r>
        <w:t xml:space="preserve">). Their </w:t>
      </w:r>
      <w:proofErr w:type="spellStart"/>
      <w:r>
        <w:t>semiological</w:t>
      </w:r>
      <w:proofErr w:type="spellEnd"/>
      <w:r>
        <w:t xml:space="preserve"> theory is concerned with an analytical understanding of the musical work based on its symbolic fact divided in three separate processes. The first and third constitute: (1) the poietic level which may be understood as the stage of creation where many types of external traces are introduced and produced, all of which pertain to the construction of the work, and (2) the </w:t>
      </w:r>
      <w:proofErr w:type="spellStart"/>
      <w:r>
        <w:t>esthesic</w:t>
      </w:r>
      <w:proofErr w:type="spellEnd"/>
      <w:r>
        <w:t xml:space="preserve"> level which is inductive in nature and "grounds itself in perceptive introspection" (, </w:t>
      </w:r>
      <w:hyperlink w:anchor="citeproc_bib_item_15">
        <w:proofErr w:type="spellStart"/>
        <w:r>
          <w:rPr>
            <w:rStyle w:val="Hyperlink"/>
          </w:rPr>
          <w:t>Nattiez</w:t>
        </w:r>
        <w:proofErr w:type="spellEnd"/>
        <w:r>
          <w:rPr>
            <w:rStyle w:val="Hyperlink"/>
          </w:rPr>
          <w:t xml:space="preserve"> 1990, 140</w:t>
        </w:r>
      </w:hyperlink>
      <w:r>
        <w:t>).</w:t>
      </w:r>
    </w:p>
    <w:p w14:paraId="79210A1F" w14:textId="77777777" w:rsidR="00A77790" w:rsidRDefault="00A77790">
      <w:pPr>
        <w:pStyle w:val="BodyText"/>
      </w:pPr>
      <w:r>
        <w:t>Susanne Langer (</w:t>
      </w:r>
      <w:hyperlink w:anchor="citeproc_bib_item_13">
        <w:r>
          <w:rPr>
            <w:rStyle w:val="Hyperlink"/>
          </w:rPr>
          <w:t>2009</w:t>
        </w:r>
      </w:hyperlink>
      <w:r>
        <w:t xml:space="preserve">) has an at first very similar perspective on this. What she labels the </w:t>
      </w:r>
      <w:r>
        <w:rPr>
          <w:i/>
          <w:iCs/>
        </w:rPr>
        <w:t>unconsummated symbol</w:t>
      </w:r>
      <w:r>
        <w:t xml:space="preserve"> in her book </w:t>
      </w:r>
      <w:r>
        <w:rPr>
          <w:i/>
          <w:iCs/>
        </w:rPr>
        <w:t>Philosophy in a New Key</w:t>
      </w:r>
      <w:r>
        <w:t xml:space="preserve"> is related to the way Molino (</w:t>
      </w:r>
      <w:hyperlink w:anchor="citeproc_bib_item_14">
        <w:r>
          <w:rPr>
            <w:rStyle w:val="Hyperlink"/>
          </w:rPr>
          <w:t>1990</w:t>
        </w:r>
      </w:hyperlink>
      <w:r>
        <w:t xml:space="preserve">) reasons: music does not represent an idea or a fixed meaning. The apprehension of music may even result in contradictory experiences within the listeners, all of which are </w:t>
      </w:r>
      <w:r>
        <w:rPr>
          <w:i/>
          <w:iCs/>
        </w:rPr>
        <w:t>true</w:t>
      </w:r>
      <w:r>
        <w:t xml:space="preserve"> in the meaning that they are subjectively valid. Even so, they may still make universal claims. On this matter music and the </w:t>
      </w:r>
      <w:proofErr w:type="gramStart"/>
      <w:r>
        <w:t>arts</w:t>
      </w:r>
      <w:proofErr w:type="gramEnd"/>
      <w:r>
        <w:t xml:space="preserve"> in general offers a vantage point rather different from a social context: one symbol can give rise to several contradicting evaluations of which all can be 'right'. In most types of communication symbolic meanings are consumed, and there needs to be an agreed correspondence between sign, signifier and signified. In successful communication the sign is communicated and consumed, whereby the receiver understands what the communicators were saying. If not, we may assert that this communication failed. When listening to music, not only does it not appear to matter if one knows the aesthetic of the musician, but it also does not matter if the message is communicated properly. There may not even be a message, and this has consequences for the ethical relations that may develop in such contexts.</w:t>
      </w:r>
    </w:p>
    <w:p w14:paraId="038E3EDA" w14:textId="433ADBAB" w:rsidR="00A77790" w:rsidRDefault="00A77790">
      <w:pPr>
        <w:pStyle w:val="BodyText"/>
      </w:pPr>
      <w:r>
        <w:t xml:space="preserve">Following this a possibly even more radical assertion can be made. The sounding trace in music may not even be an unconsummated sign, as Langer says, it may be seen as a proxy, or a becoming. It is a potential that may generate symbolic meaning, but the </w:t>
      </w:r>
      <w:r>
        <w:lastRenderedPageBreak/>
        <w:t>symbols are not translated in a systematic manner and are not bi-directional. For the artist the associations are organized through a playful manner, and it is this free play of associations, "this uncritical fusion of impressions, that exercise the powers of symbolic transformation" (</w:t>
      </w:r>
      <w:hyperlink w:anchor="citeproc_bib_item_13">
        <w:r>
          <w:rPr>
            <w:rStyle w:val="Hyperlink"/>
          </w:rPr>
          <w:t>Langer 2009</w:t>
        </w:r>
      </w:hyperlink>
      <w:r>
        <w:t>, 124) which will be the main context for the following discussion.</w:t>
      </w:r>
    </w:p>
    <w:p w14:paraId="030DE0C7" w14:textId="77777777" w:rsidR="00A77790" w:rsidRDefault="00A77790">
      <w:pPr>
        <w:pStyle w:val="Heading2"/>
      </w:pPr>
      <w:bookmarkStart w:id="7" w:name="the-play-act"/>
      <w:bookmarkEnd w:id="6"/>
      <w:r>
        <w:t>The play act</w:t>
      </w:r>
    </w:p>
    <w:p w14:paraId="4674F2E2" w14:textId="77777777" w:rsidR="00A77790" w:rsidRDefault="00A77790">
      <w:pPr>
        <w:pStyle w:val="FirstParagraph"/>
      </w:pPr>
      <w:r>
        <w:t xml:space="preserve">The </w:t>
      </w:r>
      <w:proofErr w:type="spellStart"/>
      <w:r>
        <w:t>semiological</w:t>
      </w:r>
      <w:proofErr w:type="spellEnd"/>
      <w:r>
        <w:t xml:space="preserve"> models of both </w:t>
      </w:r>
      <w:proofErr w:type="spellStart"/>
      <w:r>
        <w:t>Nattiez</w:t>
      </w:r>
      <w:proofErr w:type="spellEnd"/>
      <w:r>
        <w:t xml:space="preserve"> and Molino, as well as Langer, are problematic in their own ways, and they are included here mainly to attempt to unwrap the complicated topic of aesthetics in perception and creativity. In the discussion of artistic practice and ethics below I will reduce this broad view and focus on the aesthetic aspect from the point of view of the artist while engaged in practice, or what Langer (</w:t>
      </w:r>
      <w:hyperlink w:anchor="citeproc_bib_item_13">
        <w:r>
          <w:rPr>
            <w:rStyle w:val="Hyperlink"/>
          </w:rPr>
          <w:t>2009</w:t>
        </w:r>
      </w:hyperlink>
      <w:r>
        <w:t xml:space="preserve">) calls the </w:t>
      </w:r>
      <w:r>
        <w:rPr>
          <w:i/>
          <w:iCs/>
        </w:rPr>
        <w:t>artistic import</w:t>
      </w:r>
      <w:r>
        <w:t>:</w:t>
      </w:r>
    </w:p>
    <w:p w14:paraId="0F96919D" w14:textId="4DDEAFDE" w:rsidR="00A77790" w:rsidRDefault="00A77790">
      <w:pPr>
        <w:pStyle w:val="BlockText"/>
      </w:pPr>
      <w:r>
        <w:t xml:space="preserve">This artistic import is what painters and sculptors and forwards express through the depiction of objects and events. Its semantic is the play of lines, masses, </w:t>
      </w:r>
      <w:proofErr w:type="spellStart"/>
      <w:r>
        <w:t>colours</w:t>
      </w:r>
      <w:proofErr w:type="spellEnd"/>
      <w:r>
        <w:t>, textures in plastic hearts, or the play of images, the tension release of ideas, the speed and arrest […] (</w:t>
      </w:r>
      <w:hyperlink w:anchor="citeproc_bib_item_13">
        <w:r>
          <w:rPr>
            <w:rStyle w:val="Hyperlink"/>
          </w:rPr>
          <w:t>Langer 2009</w:t>
        </w:r>
      </w:hyperlink>
      <w:r>
        <w:t>, 257)</w:t>
      </w:r>
    </w:p>
    <w:p w14:paraId="1E5CDF6C" w14:textId="77777777" w:rsidR="00A77790" w:rsidRDefault="00A77790">
      <w:pPr>
        <w:pStyle w:val="FirstParagraph"/>
      </w:pPr>
      <w:r>
        <w:t xml:space="preserve">Play is at the center of this artistic practice. The musician's activities are essentially play acts, also beyond the obvious meaning of </w:t>
      </w:r>
      <w:r>
        <w:rPr>
          <w:i/>
          <w:iCs/>
        </w:rPr>
        <w:t>play</w:t>
      </w:r>
      <w:r>
        <w:t xml:space="preserve"> in music, and they allow the listener to experience a connection to similar individual play acts that are </w:t>
      </w:r>
      <w:proofErr w:type="gramStart"/>
      <w:r>
        <w:t>opened up</w:t>
      </w:r>
      <w:proofErr w:type="gramEnd"/>
      <w:r>
        <w:t xml:space="preserve"> by the free and non-conceptual associations that the music allows for. This notion of play has had a long history and was emphasized by Kant (</w:t>
      </w:r>
      <w:hyperlink w:anchor="citeproc_bib_item_12">
        <w:r>
          <w:rPr>
            <w:rStyle w:val="Hyperlink"/>
          </w:rPr>
          <w:t>2007</w:t>
        </w:r>
      </w:hyperlink>
      <w:r>
        <w:t xml:space="preserve">) in </w:t>
      </w:r>
      <w:r>
        <w:rPr>
          <w:i/>
          <w:iCs/>
        </w:rPr>
        <w:t>The Critiques of Judgement</w:t>
      </w:r>
      <w:r>
        <w:t>. The basic premise for Kant is that aesthetic appreciation is not rooted in concepts but instead give rise to a free play of associations, which is in essence also what Langer is referring to above. This gives aesthetic communication a somewhat privileged status that is distinct from, say, language and rational thinking, both of which are deeply rooted in symbolic terminology. It is privileged because it allows for a type of freedom that promotes actions that would not have been allowed otherwise. Schiller, heavily influenced by Kant, goes further and writes that:</w:t>
      </w:r>
    </w:p>
    <w:p w14:paraId="6BF3EC3A" w14:textId="77777777" w:rsidR="00A77790" w:rsidRDefault="00A77790">
      <w:pPr>
        <w:pStyle w:val="BlockText"/>
      </w:pPr>
      <w:r>
        <w:t xml:space="preserve">the object of the play impulse, conceived in a general notion, can therefore be called living shape, a concept which serves to denote all aesthetic qualities of </w:t>
      </w:r>
      <w:r>
        <w:lastRenderedPageBreak/>
        <w:t xml:space="preserve">phenomena and–in a word–what we call </w:t>
      </w:r>
      <w:r>
        <w:rPr>
          <w:i/>
          <w:iCs/>
        </w:rPr>
        <w:t>Beauty</w:t>
      </w:r>
      <w:r>
        <w:t xml:space="preserve"> in the widest sense of the term. (</w:t>
      </w:r>
      <w:hyperlink w:anchor="citeproc_bib_item_17">
        <w:r>
          <w:rPr>
            <w:rStyle w:val="Hyperlink"/>
          </w:rPr>
          <w:t>Schiller 2004</w:t>
        </w:r>
      </w:hyperlink>
      <w:r>
        <w:t xml:space="preserve"> 15th letter, 2nd para.)</w:t>
      </w:r>
    </w:p>
    <w:p w14:paraId="07BA5D8B" w14:textId="77777777" w:rsidR="00A77790" w:rsidRDefault="00A77790" w:rsidP="00505E67">
      <w:pPr>
        <w:pStyle w:val="FirstParagraph"/>
      </w:pPr>
      <w:r>
        <w:t xml:space="preserve">The complex interplay between conscious and subconscious activities is a driving force behind this play. Play </w:t>
      </w:r>
      <w:proofErr w:type="gramStart"/>
      <w:r>
        <w:t>as a means to</w:t>
      </w:r>
      <w:proofErr w:type="gramEnd"/>
      <w:r>
        <w:t xml:space="preserve"> learn and discover with mental </w:t>
      </w:r>
      <w:proofErr w:type="spellStart"/>
      <w:r>
        <w:t>efficiancy</w:t>
      </w:r>
      <w:proofErr w:type="spellEnd"/>
      <w:r>
        <w:t xml:space="preserve">, but without symbolic transactions. The artist is not playing to accomplish a goal external to the play. The </w:t>
      </w:r>
      <w:r>
        <w:rPr>
          <w:i/>
          <w:iCs/>
        </w:rPr>
        <w:t>play</w:t>
      </w:r>
      <w:r>
        <w:t xml:space="preserve"> is for the sake of playing and the biproduct is knowledge and the discovery of the meaning of concepts outside of the play. Free associations and free play are essential to creative practice, and it appears to be so both in terms of the level of creativity in the process, and to the quality of the outcome. In short, the level of play affects both. Perhaps it goes without saying that this is very different depending on the context. In most creative situations there is a sensible balance between the interference the artist may impose on their processes in the form of play, and the level of structure they maintain. It is interestingly difficult to tell how that balance will play out in practice. The freedom that this process generates should in the following be understood as primarily valid in the context of the play of free association in artistic practices.</w:t>
      </w:r>
    </w:p>
    <w:p w14:paraId="13A34357" w14:textId="77777777" w:rsidR="00A77790" w:rsidRPr="00505E67" w:rsidRDefault="00A77790" w:rsidP="00505E67">
      <w:pPr>
        <w:pStyle w:val="BodyText"/>
        <w:rPr>
          <w:rFonts w:cs="Arial"/>
        </w:rPr>
      </w:pPr>
      <w:r w:rsidRPr="00505E67">
        <w:rPr>
          <w:rFonts w:cs="Arial"/>
        </w:rPr>
        <w:t>Susanne Langer (</w:t>
      </w:r>
      <w:hyperlink w:anchor="citeproc_bib_item_13">
        <w:r w:rsidRPr="00505E67">
          <w:rPr>
            <w:rStyle w:val="Hyperlink"/>
            <w:rFonts w:cs="Arial"/>
          </w:rPr>
          <w:t>2009</w:t>
        </w:r>
      </w:hyperlink>
      <w:r w:rsidRPr="00505E67">
        <w:rPr>
          <w:rFonts w:cs="Arial"/>
        </w:rPr>
        <w:t>) explores play in a wide variety of ways in her texts, and points to the fact that it ceases to be important to us only when essential needs are not taken care of:</w:t>
      </w:r>
    </w:p>
    <w:p w14:paraId="795B09AA" w14:textId="72E57179" w:rsidR="00A77790" w:rsidRDefault="00A77790">
      <w:pPr>
        <w:pStyle w:val="BlockText"/>
      </w:pPr>
      <w:r>
        <w:t xml:space="preserve">Only people who feel that play displaces something more vital can disapprove of it; otherwise, if the bare necessities were taken care of, work </w:t>
      </w:r>
      <w:proofErr w:type="gramStart"/>
      <w:r>
        <w:t>in itself could</w:t>
      </w:r>
      <w:proofErr w:type="gramEnd"/>
      <w:r>
        <w:t xml:space="preserve"> command no respect, and we would play with all the freedom in the world, if practical work and sheer enjoyment were our only alternatives. (</w:t>
      </w:r>
      <w:hyperlink w:anchor="citeproc_bib_item_13">
        <w:r>
          <w:rPr>
            <w:rStyle w:val="Hyperlink"/>
          </w:rPr>
          <w:t>Langer 2009</w:t>
        </w:r>
      </w:hyperlink>
      <w:r>
        <w:t>, 158)</w:t>
      </w:r>
    </w:p>
    <w:p w14:paraId="348EAD47" w14:textId="77777777" w:rsidR="00A77790" w:rsidRDefault="00A77790">
      <w:pPr>
        <w:pStyle w:val="FirstParagraph"/>
      </w:pPr>
      <w:r>
        <w:t xml:space="preserve">Put in different words, those that engage in play can rejoice in freedom, but only if there is space for it. This points to a class aspect of engaging in musical practice. Play is important, but not more important than food on the table, and as such it is a privilege to those who can afford it. There is a sacrifice that one needs to be willing to offer, a price, insignificant to those that can afford and insurmountable to others. However, it is not due to this </w:t>
      </w:r>
      <w:proofErr w:type="gramStart"/>
      <w:r>
        <w:t>particular economy</w:t>
      </w:r>
      <w:proofErr w:type="gramEnd"/>
      <w:r>
        <w:t xml:space="preserve"> that play is the deviation from the norm.</w:t>
      </w:r>
    </w:p>
    <w:p w14:paraId="609A53A2" w14:textId="77777777" w:rsidR="00A77790" w:rsidRPr="00505E67" w:rsidRDefault="00A77790" w:rsidP="00505E67">
      <w:pPr>
        <w:pStyle w:val="BodyText"/>
        <w:rPr>
          <w:rFonts w:cs="Arial"/>
        </w:rPr>
      </w:pPr>
      <w:r w:rsidRPr="00505E67">
        <w:rPr>
          <w:rFonts w:cs="Arial"/>
        </w:rPr>
        <w:t xml:space="preserve">The abundance of accessible media is also an obstacle to play. When the landscape is saturated with media the play may appear obscure, and the thing more vital than play </w:t>
      </w:r>
      <w:r w:rsidRPr="00505E67">
        <w:rPr>
          <w:rFonts w:cs="Arial"/>
        </w:rPr>
        <w:lastRenderedPageBreak/>
        <w:t xml:space="preserve">can be all these outlets for which there is no need to enroll in active relations. The commodified art object is a neoliberal found object, ready to be consumed as is, and it makes it easy to disapprove of the play. Its economy and apparent value is in stark contrast to the slowly developing play of artistic practice. There is an obvious disagreement between the capacity of the freedom of play and the dominant market features of neo-capitalism. Despite the unbalanced power relation between the art field and the neo-capitalist market force, the latter nevertheless fears the freedom of play that art enables and sees it as a threat to the thing most precious to capitalism, the commodified objects market value. As an art form music offers an opportunity to share the playfulness of artistic creativity with </w:t>
      </w:r>
      <w:proofErr w:type="gramStart"/>
      <w:r w:rsidRPr="00505E67">
        <w:rPr>
          <w:rFonts w:cs="Arial"/>
        </w:rPr>
        <w:t>listeners, but</w:t>
      </w:r>
      <w:proofErr w:type="gramEnd"/>
      <w:r w:rsidRPr="00505E67">
        <w:rPr>
          <w:rFonts w:cs="Arial"/>
        </w:rPr>
        <w:t xml:space="preserve"> is oddly disparaged by the media object of neo-capitalism. I will return to how this </w:t>
      </w:r>
      <w:proofErr w:type="spellStart"/>
      <w:r w:rsidRPr="00505E67">
        <w:rPr>
          <w:rFonts w:cs="Arial"/>
        </w:rPr>
        <w:t>imacts</w:t>
      </w:r>
      <w:proofErr w:type="spellEnd"/>
      <w:r w:rsidRPr="00505E67">
        <w:rPr>
          <w:rFonts w:cs="Arial"/>
        </w:rPr>
        <w:t xml:space="preserve"> on the way that play </w:t>
      </w:r>
      <w:proofErr w:type="spellStart"/>
      <w:r w:rsidRPr="00505E67">
        <w:rPr>
          <w:rFonts w:cs="Arial"/>
        </w:rPr>
        <w:t>developes</w:t>
      </w:r>
      <w:proofErr w:type="spellEnd"/>
      <w:r w:rsidRPr="00505E67">
        <w:rPr>
          <w:rFonts w:cs="Arial"/>
        </w:rPr>
        <w:t xml:space="preserve"> through ethics.</w:t>
      </w:r>
    </w:p>
    <w:p w14:paraId="1B875BB3" w14:textId="77777777" w:rsidR="00A77790" w:rsidRDefault="00A77790">
      <w:pPr>
        <w:pStyle w:val="Heading2"/>
      </w:pPr>
      <w:bookmarkStart w:id="8" w:name="play-ethics"/>
      <w:bookmarkEnd w:id="7"/>
      <w:r>
        <w:t>Play ethics</w:t>
      </w:r>
    </w:p>
    <w:p w14:paraId="32D5A072" w14:textId="0B0B8C3E" w:rsidR="00A77790" w:rsidRDefault="00A77790">
      <w:pPr>
        <w:pStyle w:val="FirstParagraph"/>
      </w:pPr>
      <w:r>
        <w:t>What are the new ethical possibilities and relations in this play act, and how do they differ from the traditional views of morality?</w:t>
      </w:r>
      <w:r>
        <w:rPr>
          <w:rStyle w:val="EndnoteReference"/>
        </w:rPr>
        <w:endnoteReference w:id="6"/>
      </w:r>
      <w:r>
        <w:t xml:space="preserve"> As part of my method I will situate the musicians' practice in the light of Foucault's idea of the care of the self: a method for developing an ethics through engaging with the self's relation to the self, a self that is rooted in "practices of freedom" (</w:t>
      </w:r>
      <w:hyperlink w:anchor="citeproc_bib_item_6">
        <w:r>
          <w:rPr>
            <w:rStyle w:val="Hyperlink"/>
          </w:rPr>
          <w:t>Foucault, Rabinow, and Hurley 1997</w:t>
        </w:r>
      </w:hyperlink>
      <w:r>
        <w:t>, 283): "Freedom is the ontological condition of ethics. But ethics is the considered form that freedom takes when it is informed by reflection" (</w:t>
      </w:r>
      <w:hyperlink w:anchor="citeproc_bib_item_6">
        <w:r>
          <w:rPr>
            <w:rStyle w:val="Hyperlink"/>
          </w:rPr>
          <w:t>Foucault, Rabinow, and Hurley 1997</w:t>
        </w:r>
      </w:hyperlink>
      <w:r>
        <w:t xml:space="preserve">, 284). Following the discussion in the previous section, and grounding it on this statement by Foucault, I wish to promote the following idea: The free play of artistic practice institutes an expression of freedom that allows for a particular kind of ethics because it is informed by the reflection that the free play encourages. The free play of artistic practice is an activity of the care of the self and the freedom that is generated should not be seen as general. It is rather locally constituted. The care of the self allows for a multiplicity of ethical relations which stand out in strong contrast to the homogeneity </w:t>
      </w:r>
      <w:proofErr w:type="spellStart"/>
      <w:r>
        <w:t>favoured</w:t>
      </w:r>
      <w:proofErr w:type="spellEnd"/>
      <w:r>
        <w:t xml:space="preserve"> by contemporary capitalism.</w:t>
      </w:r>
    </w:p>
    <w:p w14:paraId="4878F4A7" w14:textId="009514D7" w:rsidR="00A77790" w:rsidRPr="00505E67" w:rsidRDefault="00A77790" w:rsidP="00505E67">
      <w:pPr>
        <w:pStyle w:val="BodyText"/>
        <w:rPr>
          <w:rFonts w:cs="Arial"/>
        </w:rPr>
      </w:pPr>
      <w:r w:rsidRPr="00505E67">
        <w:rPr>
          <w:rFonts w:cs="Arial"/>
        </w:rPr>
        <w:t xml:space="preserve">The care of the self also has a dialectical and ontological relation to the wider known paradigm to </w:t>
      </w:r>
      <w:r w:rsidRPr="00505E67">
        <w:rPr>
          <w:rFonts w:cs="Arial"/>
          <w:i/>
          <w:iCs/>
        </w:rPr>
        <w:t>know oneself</w:t>
      </w:r>
      <w:r w:rsidRPr="00505E67">
        <w:rPr>
          <w:rFonts w:cs="Arial"/>
        </w:rPr>
        <w:t xml:space="preserve"> and Foucault claims that the former is the condition for the </w:t>
      </w:r>
      <w:r w:rsidRPr="00505E67">
        <w:rPr>
          <w:rFonts w:cs="Arial"/>
        </w:rPr>
        <w:lastRenderedPageBreak/>
        <w:t>latter: "To take care of oneself consists of knowing oneself. Knowing oneself becomes the object of the quest of concern for self" Foucault, Rabinow, and Hurley (</w:t>
      </w:r>
      <w:hyperlink w:anchor="citeproc_bib_item_6">
        <w:r w:rsidRPr="00505E67">
          <w:rPr>
            <w:rStyle w:val="Hyperlink"/>
            <w:rFonts w:cs="Arial"/>
          </w:rPr>
          <w:t>1997</w:t>
        </w:r>
      </w:hyperlink>
      <w:r w:rsidRPr="00505E67">
        <w:rPr>
          <w:rFonts w:cs="Arial"/>
        </w:rPr>
        <w:t>, 231). Hence, the care of the self can serve here as an activity within which the playful nature of artistic practice takes place in a particular kind of freedom that is the precursor of ethics. Although I would hesitate to make any general claims on these relations I will later point to a few examples from my own practice where this link is established. These examples explore the issue both from the judicial and political perspectives where the artist develops their self-agency, as well as a in contexts described by Foucault where "one exercises over oneself an authority that nothing limits or threatens" Foucault (</w:t>
      </w:r>
      <w:hyperlink w:anchor="citeproc_bib_item_7">
        <w:r w:rsidRPr="00505E67">
          <w:rPr>
            <w:rStyle w:val="Hyperlink"/>
            <w:rFonts w:cs="Arial"/>
          </w:rPr>
          <w:t>1988</w:t>
        </w:r>
      </w:hyperlink>
      <w:r w:rsidRPr="00505E67">
        <w:rPr>
          <w:rFonts w:cs="Arial"/>
        </w:rPr>
        <w:t>, 64). When the subject is freed from external pressures, free from ambition and free from future, past experiences and past practices; new relations with past and future are made possible (</w:t>
      </w:r>
      <w:hyperlink w:anchor="citeproc_bib_item_7">
        <w:r w:rsidRPr="00505E67">
          <w:rPr>
            <w:rStyle w:val="Hyperlink"/>
            <w:rFonts w:cs="Arial"/>
          </w:rPr>
          <w:t>Foucault 1988</w:t>
        </w:r>
      </w:hyperlink>
      <w:r w:rsidRPr="00505E67">
        <w:rPr>
          <w:rFonts w:cs="Arial"/>
        </w:rPr>
        <w:t>, 65). In essence this is a process of subjectification that is not an imprisonment, but a possibility for change. The particular property of the artistic work process as something one may delight oneself in, is of special interest in the care of the self. It is not necessarily the actual object that is delightful, the music or the result of the process, but rather that the driving force is related to a feeling of delight. Furthermore, which is important, the care of the self is not about taking care of the physical self or the appearance:</w:t>
      </w:r>
    </w:p>
    <w:p w14:paraId="634E9032" w14:textId="17FBC3B9" w:rsidR="00A77790" w:rsidRDefault="00A77790">
      <w:pPr>
        <w:pStyle w:val="BlockText"/>
      </w:pPr>
      <w:r>
        <w:t xml:space="preserve">When you take care of the body you do not take care of the self. The self is not clothing, tools, or possessions; It is to be found in the principle that uses these tools, a principle not of the body of the soul. You </w:t>
      </w:r>
      <w:proofErr w:type="gramStart"/>
      <w:r>
        <w:t>have to</w:t>
      </w:r>
      <w:proofErr w:type="gramEnd"/>
      <w:r>
        <w:t xml:space="preserve"> worry about your soul–that is the principal activity for caring for yourself. The care of the self is the care of the activity and not the care of the soul-as-substance. (</w:t>
      </w:r>
      <w:hyperlink w:anchor="citeproc_bib_item_6">
        <w:r>
          <w:rPr>
            <w:rStyle w:val="Hyperlink"/>
          </w:rPr>
          <w:t>Foucault, Rabinow, and Hurley 1997</w:t>
        </w:r>
      </w:hyperlink>
      <w:r>
        <w:t>, 231-232)</w:t>
      </w:r>
    </w:p>
    <w:p w14:paraId="57FEACB9" w14:textId="77777777" w:rsidR="00A77790" w:rsidRDefault="00A77790">
      <w:pPr>
        <w:pStyle w:val="FirstParagraph"/>
      </w:pPr>
      <w:r>
        <w:t xml:space="preserve">The principle that uses the tools of artistic practice is in essence the aesthetics of the creative act: it develops in free play, and </w:t>
      </w:r>
      <w:proofErr w:type="spellStart"/>
      <w:r>
        <w:t>whitin</w:t>
      </w:r>
      <w:proofErr w:type="spellEnd"/>
      <w:r>
        <w:t xml:space="preserve"> this practice a possible ethics is revealed.</w:t>
      </w:r>
    </w:p>
    <w:p w14:paraId="603517E3" w14:textId="2DF96EC7" w:rsidR="00A77790" w:rsidRPr="00505E67" w:rsidRDefault="00A77790" w:rsidP="00505E67">
      <w:pPr>
        <w:pStyle w:val="BodyText"/>
        <w:rPr>
          <w:rFonts w:cs="Arial"/>
        </w:rPr>
      </w:pPr>
      <w:r w:rsidRPr="00505E67">
        <w:rPr>
          <w:rFonts w:cs="Arial"/>
        </w:rPr>
        <w:t>The care of oneself is a social practice. It is, to quote (</w:t>
      </w:r>
      <w:hyperlink w:anchor="citeproc_bib_item_7">
        <w:r w:rsidRPr="00505E67">
          <w:rPr>
            <w:rStyle w:val="Hyperlink"/>
            <w:rFonts w:cs="Arial"/>
          </w:rPr>
          <w:t>Foucault</w:t>
        </w:r>
      </w:hyperlink>
      <w:r w:rsidRPr="00505E67">
        <w:rPr>
          <w:rFonts w:cs="Arial"/>
        </w:rPr>
        <w:t xml:space="preserve">), to create an </w:t>
      </w:r>
      <w:r w:rsidRPr="00505E67">
        <w:rPr>
          <w:rFonts w:cs="Arial"/>
          <w:i/>
          <w:iCs/>
        </w:rPr>
        <w:t>art of life</w:t>
      </w:r>
      <w:r w:rsidRPr="00505E67">
        <w:rPr>
          <w:rFonts w:cs="Arial"/>
        </w:rPr>
        <w:t xml:space="preserve"> or an aesthetics of </w:t>
      </w:r>
      <w:proofErr w:type="spellStart"/>
      <w:r w:rsidRPr="00505E67">
        <w:rPr>
          <w:rFonts w:cs="Arial"/>
        </w:rPr>
        <w:t>existance</w:t>
      </w:r>
      <w:proofErr w:type="spellEnd"/>
      <w:r w:rsidRPr="00505E67">
        <w:rPr>
          <w:rFonts w:cs="Arial"/>
        </w:rPr>
        <w:t>: "This 'cultivation of self' can be briefly characterized by the fact that in this case the art of existence is dominated by the principle that says one must 'take care of oneself'" (</w:t>
      </w:r>
      <w:hyperlink w:anchor="citeproc_bib_item_7">
        <w:r w:rsidRPr="00505E67">
          <w:rPr>
            <w:rStyle w:val="Hyperlink"/>
            <w:rFonts w:cs="Arial"/>
          </w:rPr>
          <w:t>Foucault 1988</w:t>
        </w:r>
      </w:hyperlink>
      <w:r w:rsidRPr="00505E67">
        <w:rPr>
          <w:rFonts w:cs="Arial"/>
        </w:rPr>
        <w:t xml:space="preserve">, 43). The commonly used </w:t>
      </w:r>
      <w:proofErr w:type="spellStart"/>
      <w:r w:rsidRPr="00505E67">
        <w:rPr>
          <w:rFonts w:cs="Arial"/>
        </w:rPr>
        <w:t>greek</w:t>
      </w:r>
      <w:proofErr w:type="spellEnd"/>
      <w:r w:rsidRPr="00505E67">
        <w:rPr>
          <w:rFonts w:cs="Arial"/>
        </w:rPr>
        <w:t xml:space="preserve"> word </w:t>
      </w:r>
      <w:r w:rsidRPr="00505E67">
        <w:rPr>
          <w:rFonts w:cs="Arial"/>
          <w:i/>
          <w:iCs/>
        </w:rPr>
        <w:t>techne</w:t>
      </w:r>
      <w:r w:rsidRPr="00505E67">
        <w:rPr>
          <w:rFonts w:cs="Arial"/>
        </w:rPr>
        <w:t xml:space="preserve"> is here the origin of Foucault's idea of defining a </w:t>
      </w:r>
      <w:r w:rsidRPr="00505E67">
        <w:rPr>
          <w:rFonts w:cs="Arial"/>
          <w:i/>
          <w:iCs/>
        </w:rPr>
        <w:t>Technologies of the self</w:t>
      </w:r>
      <w:r w:rsidRPr="00505E67">
        <w:rPr>
          <w:rFonts w:cs="Arial"/>
        </w:rPr>
        <w:t xml:space="preserve">. </w:t>
      </w:r>
      <w:r w:rsidRPr="00505E67">
        <w:rPr>
          <w:rFonts w:cs="Arial"/>
          <w:i/>
          <w:iCs/>
        </w:rPr>
        <w:t>Technology</w:t>
      </w:r>
      <w:r w:rsidRPr="00505E67">
        <w:rPr>
          <w:rFonts w:cs="Arial"/>
        </w:rPr>
        <w:t xml:space="preserve"> </w:t>
      </w:r>
      <w:r w:rsidRPr="00505E67">
        <w:rPr>
          <w:rFonts w:cs="Arial"/>
        </w:rPr>
        <w:lastRenderedPageBreak/>
        <w:t>should be understood in the sense of an art, or a craft. Care of the self is not merely an attitude towards life, and it is not limited to philosophy, or thinking of the self, nor is it deducible to self-reflection.</w:t>
      </w:r>
      <w:r w:rsidRPr="00505E67">
        <w:rPr>
          <w:rStyle w:val="EndnoteReference"/>
          <w:rFonts w:cs="Arial"/>
        </w:rPr>
        <w:endnoteReference w:id="7"/>
      </w:r>
      <w:r w:rsidRPr="00505E67">
        <w:rPr>
          <w:rFonts w:cs="Arial"/>
        </w:rPr>
        <w:t xml:space="preserve"> The care of the self is active and outward seeking, ongoing, continuous, it is a </w:t>
      </w:r>
      <w:proofErr w:type="spellStart"/>
      <w:r w:rsidRPr="00505E67">
        <w:rPr>
          <w:rFonts w:cs="Arial"/>
        </w:rPr>
        <w:t>relfective</w:t>
      </w:r>
      <w:proofErr w:type="spellEnd"/>
      <w:r w:rsidRPr="00505E67">
        <w:rPr>
          <w:rFonts w:cs="Arial"/>
        </w:rPr>
        <w:t xml:space="preserve"> activity. One important difference between </w:t>
      </w:r>
      <w:r w:rsidRPr="00505E67">
        <w:rPr>
          <w:rFonts w:cs="Arial"/>
          <w:i/>
          <w:iCs/>
        </w:rPr>
        <w:t>knowing oneself</w:t>
      </w:r>
      <w:r w:rsidRPr="00505E67">
        <w:rPr>
          <w:rFonts w:cs="Arial"/>
        </w:rPr>
        <w:t xml:space="preserve"> and </w:t>
      </w:r>
      <w:r w:rsidRPr="00505E67">
        <w:rPr>
          <w:rFonts w:cs="Arial"/>
          <w:i/>
          <w:iCs/>
        </w:rPr>
        <w:t>care of the self</w:t>
      </w:r>
      <w:r w:rsidRPr="00505E67">
        <w:rPr>
          <w:rFonts w:cs="Arial"/>
        </w:rPr>
        <w:t xml:space="preserve"> is that it is possible to learn to know yourself and be done with it. As a concept it signals that there is an end point to the knowing, the point at which everything is known. The care for the self, however, needs to be continuous, and like the practice of music which sees no end to its perfection.</w:t>
      </w:r>
    </w:p>
    <w:bookmarkEnd w:id="8"/>
    <w:p w14:paraId="6FE241C5" w14:textId="77777777" w:rsidR="00A77790" w:rsidRDefault="00A77790">
      <w:pPr>
        <w:pStyle w:val="Heading1"/>
      </w:pPr>
      <w:r>
        <w:t>Artistic practices in music</w:t>
      </w:r>
    </w:p>
    <w:p w14:paraId="56020865" w14:textId="77777777" w:rsidR="00A77790" w:rsidRDefault="00A77790">
      <w:pPr>
        <w:pStyle w:val="FirstParagraph"/>
      </w:pPr>
      <w:r>
        <w:t xml:space="preserve">What may appear as a rather solipsistic activity of musical artistic practice–practicing an instrument for hours and hours, composing in solitude or improvising, or any of the related artistic activities–has in fact many similarities with the practice of the care of the self, and may therefore be explored through it. It should be noted that the ambitions of the latter are clearly much wider in scope, and artistic practice can only be said to be able to activate a small portion of what is constituted by the care of the self. The primary aspect of artistic practice here, as was noted above, is the way free play is employed, and </w:t>
      </w:r>
      <w:proofErr w:type="gramStart"/>
      <w:r>
        <w:t>as a consequence</w:t>
      </w:r>
      <w:proofErr w:type="gramEnd"/>
      <w:r>
        <w:t xml:space="preserve"> how freedom is developed. Since ethics, according to Foucault, is a form that freedom takes, artistic practice as a vehicle of free play, is a way in which ethics may be explored. That is to say that it is the activity of engaging in musical practice that holds the key to this investigation of ethical perspectives, and these may be different to the ruling ethical paradigms driven by contemporary society. The process is geared towards the promotion of perspectives that may encourage knowledge about the relation of oneself to oneself, informed by the care of the self.</w:t>
      </w:r>
    </w:p>
    <w:p w14:paraId="2708DED6" w14:textId="77777777" w:rsidR="00A77790" w:rsidRPr="00505E67" w:rsidRDefault="00A77790" w:rsidP="00505E67">
      <w:pPr>
        <w:pStyle w:val="BodyText"/>
        <w:rPr>
          <w:rFonts w:cs="Arial"/>
        </w:rPr>
      </w:pPr>
      <w:r w:rsidRPr="00505E67">
        <w:rPr>
          <w:rFonts w:cs="Arial"/>
        </w:rPr>
        <w:t xml:space="preserve">Though it is obvious that many artists and musicians appear to </w:t>
      </w:r>
      <w:r w:rsidRPr="00505E67">
        <w:rPr>
          <w:rFonts w:cs="Arial"/>
          <w:i/>
          <w:iCs/>
        </w:rPr>
        <w:t>not</w:t>
      </w:r>
      <w:r w:rsidRPr="00505E67">
        <w:rPr>
          <w:rFonts w:cs="Arial"/>
        </w:rPr>
        <w:t xml:space="preserve"> have taken care of their bodies, so to speak, it is the activities they engage in that are the primary focus here, as was pointed out by Foucault above. These unfold roughly according to the following two states:</w:t>
      </w:r>
    </w:p>
    <w:p w14:paraId="1A5990E9" w14:textId="77777777" w:rsidR="00A77790" w:rsidRPr="00505E67" w:rsidRDefault="00A77790" w:rsidP="00505E67">
      <w:pPr>
        <w:pStyle w:val="BodyText"/>
        <w:rPr>
          <w:rFonts w:cs="Arial"/>
        </w:rPr>
      </w:pPr>
      <w:r w:rsidRPr="00505E67">
        <w:rPr>
          <w:rFonts w:cs="Arial"/>
        </w:rPr>
        <w:t xml:space="preserve">First, in developing an active relation to the tools used in the process (e.g. instruments, materials and theoretical perspectives) a notion of the care of the self is instigated and </w:t>
      </w:r>
      <w:r w:rsidRPr="00505E67">
        <w:rPr>
          <w:rFonts w:cs="Arial"/>
        </w:rPr>
        <w:lastRenderedPageBreak/>
        <w:t xml:space="preserve">gradually unfolds the activity which comprises both the art of </w:t>
      </w:r>
      <w:r w:rsidRPr="00505E67">
        <w:rPr>
          <w:rFonts w:cs="Arial"/>
          <w:i/>
          <w:iCs/>
        </w:rPr>
        <w:t>doing</w:t>
      </w:r>
      <w:r w:rsidRPr="00505E67">
        <w:rPr>
          <w:rFonts w:cs="Arial"/>
        </w:rPr>
        <w:t xml:space="preserve"> music and the craft of </w:t>
      </w:r>
      <w:r w:rsidRPr="00505E67">
        <w:rPr>
          <w:rFonts w:cs="Arial"/>
          <w:i/>
          <w:iCs/>
        </w:rPr>
        <w:t>playing</w:t>
      </w:r>
      <w:r w:rsidRPr="00505E67">
        <w:rPr>
          <w:rFonts w:cs="Arial"/>
        </w:rPr>
        <w:t xml:space="preserve"> it. In this activity choices are commonly made that are at first bound to a chosen framework that may make them appear idiosyncratic or even wrong in another context. Nevertheless, through the free play also these frameworks may be renegotiated in unexpected ways. A musician engaged in an improvisation with other musicians, or a composer working in the studio, may at times experience a freedom that </w:t>
      </w:r>
      <w:proofErr w:type="gramStart"/>
      <w:r w:rsidRPr="00505E67">
        <w:rPr>
          <w:rFonts w:cs="Arial"/>
        </w:rPr>
        <w:t>opens up</w:t>
      </w:r>
      <w:proofErr w:type="gramEnd"/>
      <w:r w:rsidRPr="00505E67">
        <w:rPr>
          <w:rFonts w:cs="Arial"/>
        </w:rPr>
        <w:t xml:space="preserve"> a field for new understandings. The activities here may have unexpected results and lead to a particular kind of pleasure that is:</w:t>
      </w:r>
    </w:p>
    <w:p w14:paraId="7918F3F6" w14:textId="59EA6939" w:rsidR="00A77790" w:rsidRDefault="00A77790">
      <w:pPr>
        <w:pStyle w:val="BlockText"/>
      </w:pPr>
      <w:r>
        <w:t xml:space="preserve">defined by the fact of not being caused by anything that is independent of ourselves and therefore escapes our control. It arises out of ourselves and within </w:t>
      </w:r>
      <w:proofErr w:type="gramStart"/>
      <w:r>
        <w:t>ourselves</w:t>
      </w:r>
      <w:proofErr w:type="gramEnd"/>
      <w:r>
        <w:t>. (</w:t>
      </w:r>
      <w:hyperlink w:anchor="citeproc_bib_item_7">
        <w:r>
          <w:rPr>
            <w:rStyle w:val="Hyperlink"/>
          </w:rPr>
          <w:t>Foucault 1988</w:t>
        </w:r>
      </w:hyperlink>
      <w:r>
        <w:t xml:space="preserve">, 66, with reference to </w:t>
      </w:r>
      <w:hyperlink w:anchor="citeproc_bib_item_18">
        <w:r>
          <w:rPr>
            <w:rStyle w:val="Hyperlink"/>
          </w:rPr>
          <w:t>Seneca and Gummere 2015</w:t>
        </w:r>
      </w:hyperlink>
      <w:r>
        <w:t>)</w:t>
      </w:r>
    </w:p>
    <w:p w14:paraId="4D5422D8" w14:textId="438D26C8" w:rsidR="00A77790" w:rsidRDefault="00A77790">
      <w:pPr>
        <w:pStyle w:val="FirstParagraph"/>
      </w:pPr>
      <w:r>
        <w:t xml:space="preserve">Second, the act of musical collaboration, such as playing with other people, brings about a particular ethical quality that may at times extend beyond what we normally consider being ethical </w:t>
      </w:r>
      <w:proofErr w:type="spellStart"/>
      <w:r>
        <w:t>behaviour</w:t>
      </w:r>
      <w:proofErr w:type="spellEnd"/>
      <w:r>
        <w:t>. This is described by others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t xml:space="preserve">) and has its roots in the fact that in performance, under certain circumstances, it is not the social relations that the self is involved in with others that matters, but rather, it is the activity itself, the proxy, that is the destination and focus. This may loosely be compared to Foucault's claim that </w:t>
      </w:r>
      <w:r>
        <w:rPr>
          <w:i/>
          <w:iCs/>
        </w:rPr>
        <w:t>the care of the self</w:t>
      </w:r>
      <w:r>
        <w:t xml:space="preserve"> is ontologically prior to </w:t>
      </w:r>
      <w:r>
        <w:rPr>
          <w:i/>
          <w:iCs/>
        </w:rPr>
        <w:t>knowing thyself</w:t>
      </w:r>
      <w:r>
        <w:t xml:space="preserve"> (</w:t>
      </w:r>
      <w:hyperlink w:anchor="citeproc_bib_item_6">
        <w:r>
          <w:rPr>
            <w:rStyle w:val="Hyperlink"/>
          </w:rPr>
          <w:t>Foucault, Rabinow, and Hurley 1997</w:t>
        </w:r>
      </w:hyperlink>
      <w:r>
        <w:t xml:space="preserve">, 226). The care of the self in this case is to care for the situation and the pleasure that arises from it, and only if this succeeds can the </w:t>
      </w:r>
      <w:proofErr w:type="spellStart"/>
      <w:r>
        <w:t>particpants</w:t>
      </w:r>
      <w:proofErr w:type="spellEnd"/>
      <w:r>
        <w:t xml:space="preserve"> know themselves and know their limits as individuals.</w:t>
      </w:r>
    </w:p>
    <w:p w14:paraId="667F8A05" w14:textId="5A06F1CC" w:rsidR="00A77790" w:rsidRPr="00505E67" w:rsidRDefault="00A77790" w:rsidP="00505E67">
      <w:pPr>
        <w:pStyle w:val="BodyText"/>
        <w:rPr>
          <w:rFonts w:cs="Arial"/>
        </w:rPr>
      </w:pPr>
      <w:r w:rsidRPr="00505E67">
        <w:rPr>
          <w:rFonts w:cs="Arial"/>
        </w:rPr>
        <w:t xml:space="preserve">The first state is outwards looking, extrospective, and the second is introspective. Hence, artistic practice is an arena that may, at least in a limited sense, be understood through the technologies of the self the way these are defined by Foucault, and of which the care of the self is a part. Aesthetics contributes to the cultivation of the self by way of which an understanding of what artistic practices may contribute to the field of ethics emerges. One of the main reasons creative practices in music has a special status in this context is that its objective is not controlled by outside </w:t>
      </w:r>
      <w:proofErr w:type="gramStart"/>
      <w:r w:rsidRPr="00505E67">
        <w:rPr>
          <w:rFonts w:cs="Arial"/>
        </w:rPr>
        <w:t>forces, but</w:t>
      </w:r>
      <w:proofErr w:type="gramEnd"/>
      <w:r w:rsidRPr="00505E67">
        <w:rPr>
          <w:rFonts w:cs="Arial"/>
        </w:rPr>
        <w:t xml:space="preserve"> is continuously renegotiated by the musician(s) in the free play.</w:t>
      </w:r>
    </w:p>
    <w:p w14:paraId="45DECDCA" w14:textId="77777777" w:rsidR="00A77790" w:rsidRDefault="00A77790">
      <w:pPr>
        <w:pStyle w:val="Heading2"/>
      </w:pPr>
      <w:r>
        <w:lastRenderedPageBreak/>
        <w:t>Experiences of artistic practice and ethics</w:t>
      </w:r>
    </w:p>
    <w:p w14:paraId="0F898E69" w14:textId="77777777" w:rsidR="00A77790" w:rsidRDefault="00A77790">
      <w:pPr>
        <w:pStyle w:val="FirstParagraph"/>
      </w:pPr>
      <w:r>
        <w:t xml:space="preserve">In my paper </w:t>
      </w:r>
      <w:r>
        <w:rPr>
          <w:i/>
          <w:iCs/>
        </w:rPr>
        <w:t>Improvisation and the self: To listen to the other</w:t>
      </w:r>
      <w:r>
        <w:t xml:space="preserve"> (</w:t>
      </w:r>
      <w:hyperlink w:anchor="citeproc_bib_item_9">
        <w:r>
          <w:rPr>
            <w:rStyle w:val="Hyperlink"/>
          </w:rPr>
          <w:t>Frisk 2014</w:t>
        </w:r>
      </w:hyperlink>
      <w:r>
        <w:t xml:space="preserve">) I describe a situation where my judgment concerning what was the correct mode of interacting in a rehearsal inflicted on the expectations of the musical practice. In this </w:t>
      </w:r>
      <w:proofErr w:type="gramStart"/>
      <w:r>
        <w:t>particular rehearsal</w:t>
      </w:r>
      <w:proofErr w:type="gramEnd"/>
      <w:r>
        <w:t xml:space="preserve"> we were trying out material for a new piece I had composed. It was primarily myself and two Vietnamese musicians, neither of whom spoke English very well which further impacted on my </w:t>
      </w:r>
      <w:proofErr w:type="spellStart"/>
      <w:r>
        <w:t>behaviour</w:t>
      </w:r>
      <w:proofErr w:type="spellEnd"/>
      <w:r>
        <w:t xml:space="preserve">. They were in my studio, as visitors in my home country which made me </w:t>
      </w:r>
      <w:proofErr w:type="spellStart"/>
      <w:r>
        <w:t>self conscious</w:t>
      </w:r>
      <w:proofErr w:type="spellEnd"/>
      <w:r>
        <w:t xml:space="preserve"> and I tried to be very gentle, allowing for their input. Contrary to my intention this had a </w:t>
      </w:r>
      <w:r>
        <w:rPr>
          <w:i/>
          <w:iCs/>
        </w:rPr>
        <w:t>negative</w:t>
      </w:r>
      <w:r>
        <w:t xml:space="preserve"> effect on the interaction, and very little was accomplished in the session. From the point of view of the practice, in the play that I intended to initiate, there was instead an expectation of firm decisions, but in doing so I felt I would have had to disregard the ethical concerns I had in our social interaction. I let the social conventions rule my interaction rather than the artistic process. Because of this mismatch, that is, my inability to clearly see what the object of our rehearsal was, no play emerged. In a later conversation the two </w:t>
      </w:r>
      <w:proofErr w:type="spellStart"/>
      <w:r>
        <w:t>Vienamese</w:t>
      </w:r>
      <w:proofErr w:type="spellEnd"/>
      <w:r>
        <w:t xml:space="preserve"> musicians explained that they found my </w:t>
      </w:r>
      <w:proofErr w:type="spellStart"/>
      <w:r>
        <w:t>behvaiour</w:t>
      </w:r>
      <w:proofErr w:type="spellEnd"/>
      <w:r>
        <w:t xml:space="preserve"> in the session unnecessarily hesitant and that this prevented them from performing well. Though it is clear to me </w:t>
      </w:r>
      <w:proofErr w:type="gramStart"/>
      <w:r>
        <w:t>now</w:t>
      </w:r>
      <w:proofErr w:type="gramEnd"/>
      <w:r>
        <w:t xml:space="preserve"> what happened and why, in any other </w:t>
      </w:r>
      <w:proofErr w:type="spellStart"/>
      <w:r>
        <w:t>cocntext</w:t>
      </w:r>
      <w:proofErr w:type="spellEnd"/>
      <w:r>
        <w:t xml:space="preserve"> I would argue that my </w:t>
      </w:r>
      <w:proofErr w:type="spellStart"/>
      <w:r>
        <w:t>behaviour</w:t>
      </w:r>
      <w:proofErr w:type="spellEnd"/>
      <w:r>
        <w:t>, laid back and allowing plenty of space for my collaborators, would have been perfectly reasonable.</w:t>
      </w:r>
    </w:p>
    <w:p w14:paraId="2B290552" w14:textId="77777777" w:rsidR="00A77790" w:rsidRPr="00505E67" w:rsidRDefault="00A77790" w:rsidP="00505E67">
      <w:pPr>
        <w:pStyle w:val="BodyText"/>
      </w:pPr>
      <w:r w:rsidRPr="00505E67">
        <w:t>A slightly different situation is described in The (un)necessary Self (</w:t>
      </w:r>
      <w:hyperlink w:anchor="citeproc_bib_item_8">
        <w:r w:rsidRPr="00505E67">
          <w:rPr>
            <w:rStyle w:val="Hyperlink"/>
            <w:color w:val="auto"/>
          </w:rPr>
          <w:t>Frisk 2013</w:t>
        </w:r>
      </w:hyperlink>
      <w:r w:rsidRPr="00505E67">
        <w:t xml:space="preserve">) where the freedom the particular situation offered, and required, allowed for musical choices that may appear to have been unethical both to the other musicians, and to the audience, but which were in fact completely logical within the frame of the practice. The context was a concert during a tour in which I, for various reasons that are not important here, felt a growing frustration with my own performance. This frustration extended and by the time of the concert in question it was unbearable. It culminated right before the start of the show in an uncanny feeling that I had lost my musical agency, or at least, that it was severely limited. I eventually resolved it by playing the saxophone as if I had never seen the instrument before, pretending I had only a very basic understanding of </w:t>
      </w:r>
      <w:r w:rsidRPr="00505E67">
        <w:lastRenderedPageBreak/>
        <w:t xml:space="preserve">its functionality. This initiated a very strong feeling of play and freedom in me, which was musically successful in the sense that it resolved part of my frustration and helped me regain my agency. I took care of </w:t>
      </w:r>
      <w:proofErr w:type="spellStart"/>
      <w:r w:rsidRPr="00505E67">
        <w:t>my self</w:t>
      </w:r>
      <w:proofErr w:type="spellEnd"/>
      <w:r w:rsidRPr="00505E67">
        <w:t xml:space="preserve"> and the situation I was in though it may have been that I put my co-musicians in an awkward position. Nothing of what we had prepared could obviously be played as planned. In this example I rose to the demands of the musical situation and developed a kind of self-agency as it has been discussed above, one in which I was able to rid </w:t>
      </w:r>
      <w:proofErr w:type="spellStart"/>
      <w:r w:rsidRPr="00505E67">
        <w:t>my self</w:t>
      </w:r>
      <w:proofErr w:type="spellEnd"/>
      <w:r w:rsidRPr="00505E67">
        <w:t xml:space="preserve"> of the expectations of the past and future. The result of this </w:t>
      </w:r>
      <w:proofErr w:type="gramStart"/>
      <w:r w:rsidRPr="00505E67">
        <w:t>particular activity</w:t>
      </w:r>
      <w:proofErr w:type="gramEnd"/>
      <w:r w:rsidRPr="00505E67">
        <w:t xml:space="preserve"> may or may not have been 'good' music, and in the </w:t>
      </w:r>
      <w:proofErr w:type="gramStart"/>
      <w:r w:rsidRPr="00505E67">
        <w:t>end</w:t>
      </w:r>
      <w:proofErr w:type="gramEnd"/>
      <w:r w:rsidRPr="00505E67">
        <w:t xml:space="preserve"> it may well be concluded that a better option would have been to prepare my fellow musicians and discuss various options instead of forcing them to deal with it on stage. Observing it from the other side, however, I argue that exercising my care for the self was the only way forward considering the situation in the group. I took responsibility for my own relation to myself which clearly developed my own view on the ethics of artistic practices. Furthermore, it is important to stress that the care for the self in this situation does not stand in opposition to what would be considered a mutual care, or care for the other. The care for the self is a vehicle through which the tool of artistic knowledge is focused on the </w:t>
      </w:r>
      <w:proofErr w:type="spellStart"/>
      <w:r w:rsidRPr="00505E67">
        <w:t>unconssumated</w:t>
      </w:r>
      <w:proofErr w:type="spellEnd"/>
      <w:r w:rsidRPr="00505E67">
        <w:t xml:space="preserve"> symbol, as Susanne Langer puts it, of artistic practice. Artistic practice as a proxy for human relations is, I argue, the Other towards which the ethics of a situation is related. In that sense the ethics departs not primarily from the human-human relation but from the human-practice relation, although this too is a simplification.</w:t>
      </w:r>
    </w:p>
    <w:p w14:paraId="5FBDF6F3" w14:textId="77777777" w:rsidR="00A77790" w:rsidRDefault="00A77790">
      <w:pPr>
        <w:pStyle w:val="BodyText"/>
      </w:pPr>
      <w:r>
        <w:t>There is a common practice in jazz to introduce last minute changes.</w:t>
      </w:r>
      <w:r>
        <w:rPr>
          <w:rStyle w:val="EndnoteReference"/>
        </w:rPr>
        <w:endnoteReference w:id="8"/>
      </w:r>
      <w:r>
        <w:t xml:space="preserve"> There are numerous stories of bandleaders that instigate insecurity in their band members right before the start of the performance. There are several accounts of Miles Davis doing this, as well as many others. An analysis of this </w:t>
      </w:r>
      <w:proofErr w:type="spellStart"/>
      <w:r>
        <w:t>behaviour</w:t>
      </w:r>
      <w:proofErr w:type="spellEnd"/>
      <w:r>
        <w:t xml:space="preserve"> based on the current discussion is that this </w:t>
      </w:r>
      <w:proofErr w:type="spellStart"/>
      <w:r>
        <w:t>behaviour</w:t>
      </w:r>
      <w:proofErr w:type="spellEnd"/>
      <w:r>
        <w:t xml:space="preserve"> is an attempt to destabilize the performance situation </w:t>
      </w:r>
      <w:proofErr w:type="gramStart"/>
      <w:r>
        <w:t>in order to</w:t>
      </w:r>
      <w:proofErr w:type="gramEnd"/>
      <w:r>
        <w:t xml:space="preserve"> force the musicians into the logic of the care for the self. A certain urgency is </w:t>
      </w:r>
      <w:proofErr w:type="spellStart"/>
      <w:r>
        <w:t>unravelled</w:t>
      </w:r>
      <w:proofErr w:type="spellEnd"/>
      <w:r>
        <w:t xml:space="preserve"> through this </w:t>
      </w:r>
      <w:proofErr w:type="spellStart"/>
      <w:r>
        <w:t>behaviour</w:t>
      </w:r>
      <w:proofErr w:type="spellEnd"/>
      <w:r>
        <w:t xml:space="preserve"> that appears to benefit the performance. Meanwhile, the practice of consciously making the other uncomfortable certainly could appear to have negative ethical implications. Yet, judged from the point of the practice, and </w:t>
      </w:r>
      <w:proofErr w:type="gramStart"/>
      <w:r>
        <w:t>as long as</w:t>
      </w:r>
      <w:proofErr w:type="gramEnd"/>
      <w:r>
        <w:t xml:space="preserve"> the </w:t>
      </w:r>
      <w:proofErr w:type="spellStart"/>
      <w:r>
        <w:t>behaviour</w:t>
      </w:r>
      <w:proofErr w:type="spellEnd"/>
      <w:r>
        <w:t xml:space="preserve"> is aligned with the needs of the performance, this practice is not </w:t>
      </w:r>
      <w:r>
        <w:lastRenderedPageBreak/>
        <w:t xml:space="preserve">only acceptable, </w:t>
      </w:r>
      <w:proofErr w:type="gramStart"/>
      <w:r>
        <w:t>it is</w:t>
      </w:r>
      <w:proofErr w:type="gramEnd"/>
      <w:r>
        <w:t xml:space="preserve"> also useful. Similar, but less ethically charged is how I as a composer, in the act of composing, will easily get lost if an imagined listener is at the forefront of my work. This is not to say that I wish to ignore the potential listener either, there are no binary relations here, only a shift in perspectives in a multidimensional field. The care of the self in this context is to care for </w:t>
      </w:r>
      <w:proofErr w:type="gramStart"/>
      <w:r>
        <w:t>all of</w:t>
      </w:r>
      <w:proofErr w:type="gramEnd"/>
      <w:r>
        <w:t xml:space="preserve"> the sets of conditions that shape the artistic practice, and to do so with the focus on the object of the practice. In this frame of mind ethical standpoints that may deviate from traditional views on ethics may emerge.</w:t>
      </w:r>
      <w:r>
        <w:rPr>
          <w:rStyle w:val="EndnoteReference"/>
        </w:rPr>
        <w:endnoteReference w:id="9"/>
      </w:r>
      <w:r>
        <w:t xml:space="preserve"> An important aspect of artistic practice is to push the boundaries for what ethics allows for. Even if an ethical judgment of the work from outside of the artistic practice may reveal it to cross boundaries it should not cross, it is important that it still may be able to do it.</w:t>
      </w:r>
    </w:p>
    <w:p w14:paraId="15B7B227" w14:textId="77777777" w:rsidR="00A77790" w:rsidRDefault="00A77790">
      <w:pPr>
        <w:pStyle w:val="BodyText"/>
      </w:pPr>
      <w:r>
        <w:t xml:space="preserve">Reflecting on how the developments of the neo-liberal market economy of the twenty first century, its use of ethics and its relation to the arts, makes this discussion seem peripheral, and the marginal effect that the ethics of artistic practice may have insignificant. Art is not held in high esteem if valued in the currency of the market economy–unless it may function as an investment. Music is commodified in a way that sometimes makes it difficult to understand it in any other way than as a product. Even listening itself, the most ephemeral and fragile mode of becoming, is commodified. Furthermore, with power and efficiency the market capitalizes on self-help ideologies that are rooted in crude reductions of </w:t>
      </w:r>
      <w:proofErr w:type="spellStart"/>
      <w:r>
        <w:t>self knowledge</w:t>
      </w:r>
      <w:proofErr w:type="spellEnd"/>
      <w:r>
        <w:t xml:space="preserve"> and care for the self. It appropriates concepts as well as actions and is devoid of responsibility and care in the traditional sense. Jean Baudrillard</w:t>
      </w:r>
      <w:r>
        <w:rPr>
          <w:rStyle w:val="EndnoteReference"/>
        </w:rPr>
        <w:endnoteReference w:id="10"/>
      </w:r>
      <w:r>
        <w:t xml:space="preserve"> analyzes the way that neo-capitalism operates through his logic of simulation: "we cannot get direct access to the real because our observations of it and our language about it are theory-dependent" (</w:t>
      </w:r>
      <w:hyperlink w:anchor="citeproc_bib_item_19">
        <w:r>
          <w:rPr>
            <w:rStyle w:val="Hyperlink"/>
          </w:rPr>
          <w:t>Smith 2009</w:t>
        </w:r>
      </w:hyperlink>
      <w:r>
        <w:t>). In this world the role of free play and freedom is brutally reduced and the negative ethics Baudrillard describes may be interpreted as the complete abolishment of care of the self. It is a world in which affirmative ethics, let alone artistic ethics, is not possible.</w:t>
      </w:r>
    </w:p>
    <w:p w14:paraId="433A4EE5" w14:textId="77777777" w:rsidR="00A77790" w:rsidRDefault="00A77790">
      <w:pPr>
        <w:pStyle w:val="BodyText"/>
      </w:pPr>
      <w:r>
        <w:t xml:space="preserve">The media obsessed world where reality is replaced by systems of symbols and signs, and everything is transactional and consumed, </w:t>
      </w:r>
      <w:proofErr w:type="gramStart"/>
      <w:r>
        <w:t>brings to mind</w:t>
      </w:r>
      <w:proofErr w:type="gramEnd"/>
      <w:r>
        <w:t xml:space="preserve"> the fact that we are already living in the simulacra:</w:t>
      </w:r>
    </w:p>
    <w:p w14:paraId="2EF18108" w14:textId="6B879327" w:rsidR="00A77790" w:rsidRDefault="00A77790">
      <w:pPr>
        <w:pStyle w:val="BlockText"/>
      </w:pPr>
      <w:r>
        <w:lastRenderedPageBreak/>
        <w:t xml:space="preserve">Machines produce only machines. This is increasingly true as the virtual technologies develop. At a certain level of </w:t>
      </w:r>
      <w:proofErr w:type="spellStart"/>
      <w:r>
        <w:t>machiniation</w:t>
      </w:r>
      <w:proofErr w:type="spellEnd"/>
      <w:r>
        <w:t>, of immersion in virtual machinery, there is no longer any man-machine distinction: The machine is on both sides of the interface. (</w:t>
      </w:r>
      <w:hyperlink w:anchor="citeproc_bib_item_1">
        <w:r>
          <w:rPr>
            <w:rStyle w:val="Hyperlink"/>
          </w:rPr>
          <w:t>Baudrillard 2002</w:t>
        </w:r>
      </w:hyperlink>
      <w:r>
        <w:t>, 177)</w:t>
      </w:r>
    </w:p>
    <w:p w14:paraId="01EFE195" w14:textId="77777777" w:rsidR="00A77790" w:rsidRDefault="00A77790">
      <w:pPr>
        <w:pStyle w:val="FirstParagraph"/>
      </w:pPr>
      <w:r>
        <w:t xml:space="preserve">In this passage it is entirely possible to substitute 'Machine' for 'Market': there is no longer any man-market distinction. Every subject is a market. Even corporate ethics is commodified and rendered streamlined and efficient: a product. Arguing for the need for, and increased status of, artistic practices in this environment may be seen as a lost cause. Yet, for the very reason that the role of this practice may appear subordinate and fringe, it is important. Both the freedom that artistic practice engenders, and the developed sense of ethics that it promotes, share the same urgency: an opportunity for change and development. I align myself to the hopefulness of the force of what may be seen as the extension of the </w:t>
      </w:r>
      <w:proofErr w:type="gramStart"/>
      <w:r>
        <w:t>enlightenment, and</w:t>
      </w:r>
      <w:proofErr w:type="gramEnd"/>
      <w:r>
        <w:t xml:space="preserve"> claim that change is possible. Foucault's ambition to transform his existence into an </w:t>
      </w:r>
      <w:proofErr w:type="spellStart"/>
      <w:r>
        <w:t>ouevre</w:t>
      </w:r>
      <w:proofErr w:type="spellEnd"/>
      <w:r>
        <w:t xml:space="preserve"> through the aesthetics of life, may be compared to this opportunity for change, but for the artist the idea is to make the artistic practice the arena on which ethical perspectives may be developed, rather than the actual self, though the distinction here is sometimes difficult to draw. In its extension this framework makes possible a hybrid practice where the dividing lines between art, life, and practice are no longer possible to draw with clear distinction.</w:t>
      </w:r>
    </w:p>
    <w:p w14:paraId="6AADC427" w14:textId="77777777" w:rsidR="00A77790" w:rsidRDefault="00A77790">
      <w:pPr>
        <w:pStyle w:val="BodyText"/>
      </w:pPr>
      <w:r>
        <w:t>Though the necessity of both arts and ethics has been determined at least from a historical perspective, the results of the current discussion may still appear unclear. If using artistic practice to explore ethical questions may still not be obvious in a more general sense, the examples above show that the context of artistic practice promotes an expanded possibility for ethical challenges, which in some cases challenge traditional views on ethics. Judgments such as right and wrong are in essence both difficult and useless to employ in music but are in fact equally difficult to determine in ethics. In both cases there is a need for a framework through which the judgements may be applied. Artistic practice as a way of life through which knowledge of oneself is developed through the care of the self is such a framework.</w:t>
      </w:r>
    </w:p>
    <w:p w14:paraId="274B00C3" w14:textId="77777777" w:rsidR="00A77790" w:rsidRDefault="00A77790">
      <w:pPr>
        <w:pStyle w:val="BodyText"/>
      </w:pPr>
      <w:r>
        <w:t>Foucault's description of how the changing political status altered the grounds on which ethical matters were founded in the first centuries A.D. offers an interesting comparison:</w:t>
      </w:r>
    </w:p>
    <w:p w14:paraId="0368F53C" w14:textId="6F3C2E69" w:rsidR="00A77790" w:rsidRDefault="00A77790" w:rsidP="00505E67">
      <w:pPr>
        <w:pStyle w:val="BlockText"/>
      </w:pPr>
      <w:r>
        <w:lastRenderedPageBreak/>
        <w:t xml:space="preserve">Whereas formerly ethics implied a close connection between power over oneself and power over </w:t>
      </w:r>
      <w:proofErr w:type="gramStart"/>
      <w:r>
        <w:t>others, and</w:t>
      </w:r>
      <w:proofErr w:type="gramEnd"/>
      <w:r>
        <w:t xml:space="preserve"> therefore had to refer to the aesthetics of life that accorded with one's status, the new rules of the political game made it more difficult to define the relations between what one was, what one could do, and what one was expected to accomplish. The formation of oneself as the ethical subject to one's own actions became more problematic. (</w:t>
      </w:r>
      <w:hyperlink w:anchor="citeproc_bib_item_7">
        <w:r>
          <w:rPr>
            <w:rStyle w:val="Hyperlink"/>
          </w:rPr>
          <w:t>Foucault 1988</w:t>
        </w:r>
      </w:hyperlink>
      <w:r>
        <w:t>, 84)</w:t>
      </w:r>
    </w:p>
    <w:p w14:paraId="6C94C1B5" w14:textId="77777777" w:rsidR="0067666A" w:rsidRDefault="00A77790">
      <w:pPr>
        <w:pStyle w:val="FirstParagraph"/>
      </w:pPr>
      <w:r>
        <w:t>Foucault's main inspiration is taken from the Greek era and what is described is how the political agenda of the Roman empire changed the conditions for the intrapersonal values and judgements. It would not be an exaggeration to state that the new rules enforced by the post-political neo-capitalist game similarly has created new sets of problems for the ethical self, and that it has established the need to explore areas that are independent from the market-dependent self. Artistic practice is such a field, at least the part of it that occurs before the artistic object has been commodified.</w:t>
      </w:r>
      <w:r>
        <w:rPr>
          <w:rStyle w:val="EndnoteReference"/>
        </w:rPr>
        <w:endnoteReference w:id="11"/>
      </w:r>
      <w:r>
        <w:t xml:space="preserve"> </w:t>
      </w:r>
      <w:bookmarkStart w:id="9" w:name="artistic-practices-in-music"/>
      <w:bookmarkStart w:id="10" w:name="X006a64f3a8a5f147e7261d60e911caf09e51589"/>
      <w:r w:rsidR="00695B4C">
        <w:t>As mentioned in the beginning of the paper, in the free play the decisions taken have no order or destination, they move in ways that are in contrast and entirely irregular to the obscured synchronicity of the market economy. This characteristic is why artistic practice can provide an interesting resistance to the neo-capitalist forces of destruction of market-independent value.</w:t>
      </w:r>
    </w:p>
    <w:p w14:paraId="21D81E76" w14:textId="77777777" w:rsidR="0067666A" w:rsidRDefault="00695B4C">
      <w:pPr>
        <w:pStyle w:val="BodyText"/>
      </w:pPr>
      <w:r>
        <w:t>The ideal situation for the development of ethics through artistic practice in free play that I have described here, may appear similar to the romantic ideal of the privileged artist free from the burdens of ordinary life. It may also occur to be a binary distinction between an artistic practice in a system of production of value, and an idealized practice within the care of the self. Both assumptions are incorrect in so far as the role of the artist does not, in the situation I argue for, have a privileged</w:t>
      </w:r>
      <w:r>
        <w:t xml:space="preserve"> position towards others. The freedom can only be a consequence of the artistic practice and will not survive outside of it, and not in a direct relation to others, that is, the freedom is not relative to the other, only to the self. On this point I acknowledge that the model I am describing would benefit from being complemented by a reference to other theories of ethics that could broaden the discussion. From what concerns the second point, whether or not there is a binary distinction between these various</w:t>
      </w:r>
      <w:r>
        <w:t xml:space="preserve"> modes of artistic production, I claim that the method I propose is not in opposition to any other possible method, it is merely an opportunity for expanding the field of knowledge through art.</w:t>
      </w:r>
    </w:p>
    <w:p w14:paraId="7B15694F" w14:textId="77777777" w:rsidR="0067666A" w:rsidRDefault="00695B4C">
      <w:pPr>
        <w:pStyle w:val="Heading1"/>
      </w:pPr>
      <w:bookmarkStart w:id="11" w:name="concluding-remarks"/>
      <w:bookmarkEnd w:id="10"/>
      <w:bookmarkEnd w:id="9"/>
      <w:r>
        <w:lastRenderedPageBreak/>
        <w:t>Concluding remarks</w:t>
      </w:r>
    </w:p>
    <w:p w14:paraId="7F75F0BC" w14:textId="3A60DB23" w:rsidR="0067666A" w:rsidRDefault="00695B4C">
      <w:pPr>
        <w:pStyle w:val="FirstParagraph"/>
      </w:pPr>
      <w:r>
        <w:t xml:space="preserve">In their book </w:t>
      </w:r>
      <w:r>
        <w:rPr>
          <w:i/>
          <w:iCs/>
        </w:rPr>
        <w:t>Music and Ethics</w:t>
      </w:r>
      <w:r>
        <w:t xml:space="preserve"> Marcel Cobussen and Nanette Nielsen state that music and ethics are "both indeterminate concepts, capable of referring to a variety of practices"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 xml:space="preserve">3). This is in line with my argument here, although I would like to push this even further: it is </w:t>
      </w:r>
      <w:r>
        <w:rPr>
          <w:i/>
          <w:iCs/>
        </w:rPr>
        <w:t>necessary</w:t>
      </w:r>
      <w:r>
        <w:t xml:space="preserve"> that we refer both music and ethics to a variety of practices, and that these practices are allowed to exploit a free play of associations. They also state that "once we begin exploring the area music </w:t>
      </w:r>
      <w:r>
        <w:rPr>
          <w:i/>
          <w:iCs/>
        </w:rPr>
        <w:t>and</w:t>
      </w:r>
      <w:r>
        <w:t xml:space="preserve"> ethics the complexity increases exponentially" (</w:t>
      </w:r>
      <w:proofErr w:type="spellStart"/>
      <w:r>
        <w:fldChar w:fldCharType="begin"/>
      </w:r>
      <w:r>
        <w:instrText>HYPERLINK \l "citeproc_bib_item_4" \h</w:instrText>
      </w:r>
      <w:r>
        <w:fldChar w:fldCharType="separate"/>
      </w:r>
      <w:r>
        <w:rPr>
          <w:rStyle w:val="Hyperlink"/>
        </w:rPr>
        <w:t>Cobussen</w:t>
      </w:r>
      <w:proofErr w:type="spellEnd"/>
      <w:r>
        <w:rPr>
          <w:rStyle w:val="Hyperlink"/>
        </w:rPr>
        <w:t xml:space="preserve"> and Nielsen 2016</w:t>
      </w:r>
      <w:r>
        <w:fldChar w:fldCharType="end"/>
      </w:r>
      <w:r w:rsidR="00505E67">
        <w:t xml:space="preserve">, </w:t>
      </w:r>
      <w:r>
        <w:t>3) which may not always true. The difference in our respective assessments is probably mainly due to the fact that their starting point and general perspective is slightly different from mine. The main difference being that my discussion is not concerned with ethics and music in general but rather constrained to the practice of making music and the ethical implications of this practice. Though still complex, by exploring ethics in and through musical practices a certain clarity may be revealed. The result m</w:t>
      </w:r>
      <w:r>
        <w:t>ay be an articulation that is embedded in complexity, but this is not in opposition to the simplicity of the method: the care of the self in free play.</w:t>
      </w:r>
    </w:p>
    <w:p w14:paraId="6AA151DB" w14:textId="77777777" w:rsidR="0067666A" w:rsidRDefault="00695B4C">
      <w:pPr>
        <w:pStyle w:val="BodyText"/>
      </w:pPr>
      <w:r>
        <w:t xml:space="preserve">Finally, as a closing remark: given that artistic practice is a setting for the care of the self, and for alternate views on ethics, a mention needs to be made for artistic research, a particular case of artistic practices. Artistic research raises complex questions concerning the relation between artistic freedom and research ethics. The view of the freedom of the artist, a view grounded in the romantic and modernist eras, is historically defined by concepts such as freedom of speech, and it has a special </w:t>
      </w:r>
      <w:r>
        <w:t>place in contemporary narratives. Artistic freedom may initially appear to be greater or more important than academic freedom which is more strictly controlled by rules and regulations. However, the neo-liberal agendas have altered this situation in radical ways that has not yet affected universities as much as it has society, making the university a place where the relative artistic freedom is in fact greater. As such the academic environment contributes to the free play of artistic practice, even though t</w:t>
      </w:r>
      <w:r>
        <w:t>he capitalist forces continuously find new battlefronts that may quickly redraw the map.</w:t>
      </w:r>
    </w:p>
    <w:p w14:paraId="49CE3E9C" w14:textId="77777777" w:rsidR="0067666A" w:rsidRDefault="00695B4C">
      <w:pPr>
        <w:pStyle w:val="BodyText"/>
      </w:pPr>
      <w:r>
        <w:lastRenderedPageBreak/>
        <w:t>The ethics of the artistic practice may at certain times find itself to be in opposition also to the research ethics, for the same reasons described above. In this case there will always be a risk that the dominant paradigm, in this case the academically certified ethics, will preside over the artistic. There are clearly academically defined research guidelines and rules that also artistic research needs to abide to, but this should not limit the practice to explore other paths and arenas. It is important t</w:t>
      </w:r>
      <w:r>
        <w:t>o not limit the ethical freedom of the field of artistic practice prematurely, but allow the artist-researcher to pursue the project in the direction in which it leads them. In methodologically sound projects the conflict, if it arises, will be less of a problem, and if it occurs, there is a tremendous epistemological capacity in such conflicts between two views on ethics. What is important in these cases is that the ethical perspective of the hybrid practice may also be analyzed from the point of view of t</w:t>
      </w:r>
      <w:r>
        <w:t>he research ethics, and that the two views may co-exist.</w:t>
      </w:r>
    </w:p>
    <w:p w14:paraId="0844D0C6" w14:textId="77777777" w:rsidR="0067666A" w:rsidRDefault="00695B4C">
      <w:pPr>
        <w:pStyle w:val="BodyText"/>
      </w:pPr>
      <w:r>
        <w:t>Through free play and a continuous and conscious ethical reflection the activity of artistic practice offers important possibilities to discuss some of the urgent questions today. It may give rise to an ethics of aesthetics that can provide us with preliminary answers to difficult questions and that can provide a real alternative to the incessant streamlining efforts of neo-capitalism.</w:t>
      </w:r>
    </w:p>
    <w:p w14:paraId="5309F732" w14:textId="77777777" w:rsidR="0067666A" w:rsidRDefault="00695B4C">
      <w:pPr>
        <w:pStyle w:val="Heading1"/>
      </w:pPr>
      <w:bookmarkStart w:id="12" w:name="bibliography"/>
      <w:bookmarkEnd w:id="11"/>
      <w:r>
        <w:t>Bibliography</w:t>
      </w:r>
    </w:p>
    <w:p w14:paraId="405D2D01" w14:textId="77777777" w:rsidR="0067666A" w:rsidRDefault="00695B4C">
      <w:pPr>
        <w:pStyle w:val="FirstParagraph"/>
      </w:pPr>
      <w:bookmarkStart w:id="13" w:name="citeproc_bib_item_1"/>
      <w:bookmarkEnd w:id="13"/>
      <w:r>
        <w:t xml:space="preserve">Baudrillard, Jean. 2002. </w:t>
      </w:r>
      <w:r>
        <w:rPr>
          <w:i/>
          <w:iCs/>
        </w:rPr>
        <w:t>Screened out</w:t>
      </w:r>
      <w:r>
        <w:t>. Translated by Chris Turner. Verso, London, UK.</w:t>
      </w:r>
    </w:p>
    <w:p w14:paraId="51945229" w14:textId="77777777" w:rsidR="0067666A" w:rsidRDefault="00695B4C">
      <w:pPr>
        <w:pStyle w:val="BodyText"/>
      </w:pPr>
      <w:bookmarkStart w:id="14" w:name="citeproc_bib_item_2"/>
      <w:bookmarkEnd w:id="14"/>
      <w:r>
        <w:t xml:space="preserve">Baudrillard, Jean, and Horst Brühmann. 1977. </w:t>
      </w:r>
      <w:r>
        <w:rPr>
          <w:i/>
          <w:iCs/>
        </w:rPr>
        <w:t>Oublier Foucault</w:t>
      </w:r>
      <w:r>
        <w:t>. Éditions Galilée Paris.</w:t>
      </w:r>
    </w:p>
    <w:p w14:paraId="4220BDB8" w14:textId="77777777" w:rsidR="0067666A" w:rsidRDefault="00695B4C">
      <w:pPr>
        <w:pStyle w:val="BodyText"/>
      </w:pPr>
      <w:bookmarkStart w:id="15" w:name="citeproc_bib_item_3"/>
      <w:bookmarkEnd w:id="15"/>
      <w:r>
        <w:t>Beethoven, Ludwig van. 1826. “String Quartet No.14, Op.131.” Score.</w:t>
      </w:r>
    </w:p>
    <w:p w14:paraId="7D1B18FA" w14:textId="77777777" w:rsidR="0067666A" w:rsidRDefault="00695B4C">
      <w:pPr>
        <w:pStyle w:val="BodyText"/>
      </w:pPr>
      <w:bookmarkStart w:id="16" w:name="citeproc_bib_item_4"/>
      <w:bookmarkEnd w:id="16"/>
      <w:r>
        <w:t xml:space="preserve">Cobussen, M., and N. Nielsen. 2016. </w:t>
      </w:r>
      <w:r>
        <w:rPr>
          <w:i/>
          <w:iCs/>
        </w:rPr>
        <w:t>Music and Ethics</w:t>
      </w:r>
      <w:r>
        <w:t>. Taylor &amp; Francis.</w:t>
      </w:r>
    </w:p>
    <w:p w14:paraId="139A268F" w14:textId="77777777" w:rsidR="0067666A" w:rsidRPr="00505E67" w:rsidRDefault="00695B4C">
      <w:pPr>
        <w:pStyle w:val="BodyText"/>
        <w:rPr>
          <w:lang w:val="sv-SE"/>
        </w:rPr>
      </w:pPr>
      <w:bookmarkStart w:id="17" w:name="citeproc_bib_item_5"/>
      <w:bookmarkEnd w:id="17"/>
      <w:r>
        <w:t xml:space="preserve">Danius, S., C. Sjöholm, and S.O. Wallenstein. </w:t>
      </w:r>
      <w:r w:rsidRPr="00505E67">
        <w:rPr>
          <w:lang w:val="sv-SE"/>
        </w:rPr>
        <w:t xml:space="preserve">2012. </w:t>
      </w:r>
      <w:proofErr w:type="spellStart"/>
      <w:r w:rsidRPr="00505E67">
        <w:rPr>
          <w:i/>
          <w:iCs/>
          <w:lang w:val="sv-SE"/>
        </w:rPr>
        <w:t>Aisthesis</w:t>
      </w:r>
      <w:proofErr w:type="spellEnd"/>
      <w:r w:rsidRPr="00505E67">
        <w:rPr>
          <w:i/>
          <w:iCs/>
          <w:lang w:val="sv-SE"/>
        </w:rPr>
        <w:t>: Estetikens Historia</w:t>
      </w:r>
      <w:r w:rsidRPr="00505E67">
        <w:rPr>
          <w:lang w:val="sv-SE"/>
        </w:rPr>
        <w:t>. del 1. Thales.</w:t>
      </w:r>
    </w:p>
    <w:p w14:paraId="1BC5F978" w14:textId="77777777" w:rsidR="0067666A" w:rsidRDefault="00695B4C">
      <w:pPr>
        <w:pStyle w:val="BodyText"/>
      </w:pPr>
      <w:bookmarkStart w:id="18" w:name="citeproc_bib_item_6"/>
      <w:bookmarkEnd w:id="18"/>
      <w:r>
        <w:t xml:space="preserve">Foucault, M., P. Rabinow, and R. Hurley. 1997. </w:t>
      </w:r>
      <w:r>
        <w:rPr>
          <w:i/>
          <w:iCs/>
        </w:rPr>
        <w:t>Ethics: Subjectivity and Truth</w:t>
      </w:r>
      <w:r>
        <w:t>. Dits et Écrits. New Press, New York.</w:t>
      </w:r>
    </w:p>
    <w:p w14:paraId="150028F1" w14:textId="77777777" w:rsidR="0067666A" w:rsidRDefault="00695B4C">
      <w:pPr>
        <w:pStyle w:val="BodyText"/>
      </w:pPr>
      <w:bookmarkStart w:id="19" w:name="citeproc_bib_item_7"/>
      <w:bookmarkEnd w:id="19"/>
      <w:r>
        <w:lastRenderedPageBreak/>
        <w:t xml:space="preserve">Foucault, Michel. 1988. </w:t>
      </w:r>
      <w:r>
        <w:rPr>
          <w:i/>
          <w:iCs/>
        </w:rPr>
        <w:t>The History of Sexuality, Vol. 3: The Care of the Self</w:t>
      </w:r>
      <w:r>
        <w:t>. Vol. 3. Vintage.</w:t>
      </w:r>
    </w:p>
    <w:p w14:paraId="422F6FCE" w14:textId="77777777" w:rsidR="0067666A" w:rsidRDefault="00695B4C">
      <w:pPr>
        <w:pStyle w:val="BodyText"/>
      </w:pPr>
      <w:bookmarkStart w:id="20" w:name="citeproc_bib_item_8"/>
      <w:bookmarkEnd w:id="20"/>
      <w:r>
        <w:t xml:space="preserve">Frisk, Henrik. 2013. “The (Un)Necessary Self.” In </w:t>
      </w:r>
      <w:r>
        <w:rPr>
          <w:i/>
          <w:iCs/>
        </w:rPr>
        <w:t>(Re)Thinking Improvisation: Artistic Explorations and Conceptual Writing</w:t>
      </w:r>
      <w:r>
        <w:t>, edited by H. Frisk and S. Östersjö, 143–56. Lund University Press.</w:t>
      </w:r>
    </w:p>
    <w:p w14:paraId="30E10BE7" w14:textId="77777777" w:rsidR="0067666A" w:rsidRDefault="00695B4C">
      <w:pPr>
        <w:pStyle w:val="BodyText"/>
      </w:pPr>
      <w:bookmarkStart w:id="21" w:name="citeproc_bib_item_9"/>
      <w:bookmarkEnd w:id="21"/>
      <w:r>
        <w:t xml:space="preserve">———. 2014. “Improvisation and the Self: To Listen to the Other.” In </w:t>
      </w:r>
      <w:r>
        <w:rPr>
          <w:i/>
          <w:iCs/>
        </w:rPr>
        <w:t>Soundweaving: Writings on Improvisation</w:t>
      </w:r>
      <w:r>
        <w:t>, edited by F. Schroeder and M. Ó hAodha. Cambridge Scholars Publishing, Cambridge, UK.</w:t>
      </w:r>
    </w:p>
    <w:p w14:paraId="44925D22" w14:textId="77777777" w:rsidR="0067666A" w:rsidRDefault="00695B4C">
      <w:pPr>
        <w:pStyle w:val="BodyText"/>
      </w:pPr>
      <w:bookmarkStart w:id="22" w:name="citeproc_bib_item_10"/>
      <w:bookmarkEnd w:id="22"/>
      <w:r>
        <w:t xml:space="preserve">Gopinath, Sumanth. 2009. “1216 The Problem of the Political in Steve Reich’s Come Out.” In </w:t>
      </w:r>
      <w:r>
        <w:rPr>
          <w:i/>
          <w:iCs/>
        </w:rPr>
        <w:t>Sound Commitments: Avant-Garde Music and the Sixties</w:t>
      </w:r>
      <w:r>
        <w:t>. Oxford University Press.</w:t>
      </w:r>
    </w:p>
    <w:p w14:paraId="3E0BAE61" w14:textId="77777777" w:rsidR="0067666A" w:rsidRDefault="00695B4C">
      <w:pPr>
        <w:pStyle w:val="BodyText"/>
      </w:pPr>
      <w:bookmarkStart w:id="23" w:name="citeproc_bib_item_11"/>
      <w:bookmarkEnd w:id="23"/>
      <w:r>
        <w:t>Hasager, M. 2015. “We Are Multiple–Notes on Developing Art Education.”</w:t>
      </w:r>
    </w:p>
    <w:p w14:paraId="612D8E96" w14:textId="77777777" w:rsidR="0067666A" w:rsidRDefault="00695B4C">
      <w:pPr>
        <w:pStyle w:val="BodyText"/>
      </w:pPr>
      <w:bookmarkStart w:id="24" w:name="citeproc_bib_item_12"/>
      <w:bookmarkEnd w:id="24"/>
      <w:r>
        <w:t xml:space="preserve">Kant, I. 2007. </w:t>
      </w:r>
      <w:r>
        <w:rPr>
          <w:i/>
          <w:iCs/>
        </w:rPr>
        <w:t>Critique of Judgment</w:t>
      </w:r>
      <w:r>
        <w:t>. Cosimo, Incorporated.</w:t>
      </w:r>
    </w:p>
    <w:p w14:paraId="2BC3F80B" w14:textId="77777777" w:rsidR="0067666A" w:rsidRDefault="00695B4C">
      <w:pPr>
        <w:pStyle w:val="BodyText"/>
      </w:pPr>
      <w:bookmarkStart w:id="25" w:name="citeproc_bib_item_13"/>
      <w:bookmarkEnd w:id="25"/>
      <w:r>
        <w:t xml:space="preserve">Langer, S.K. 2009. </w:t>
      </w:r>
      <w:r>
        <w:rPr>
          <w:i/>
          <w:iCs/>
        </w:rPr>
        <w:t>Philosophy in a New Key: A Study in the Symbolism of Reason, Rite, and Art, Third Edition</w:t>
      </w:r>
      <w:r>
        <w:t>. Harvard University Press.</w:t>
      </w:r>
    </w:p>
    <w:p w14:paraId="180F98E3" w14:textId="77777777" w:rsidR="0067666A" w:rsidRDefault="00695B4C">
      <w:pPr>
        <w:pStyle w:val="BodyText"/>
      </w:pPr>
      <w:bookmarkStart w:id="26" w:name="citeproc_bib_item_14"/>
      <w:bookmarkEnd w:id="26"/>
      <w:r>
        <w:t xml:space="preserve">Molino, Jean. 1990. “Musical Fact and the Semiology of Music.” Translated by J. A. Underwood. </w:t>
      </w:r>
      <w:r>
        <w:rPr>
          <w:i/>
          <w:iCs/>
        </w:rPr>
        <w:t>Music Analysis</w:t>
      </w:r>
      <w:r>
        <w:t xml:space="preserve"> 9 (2): 113–56.</w:t>
      </w:r>
    </w:p>
    <w:p w14:paraId="2968FC9B" w14:textId="77777777" w:rsidR="0067666A" w:rsidRDefault="00695B4C">
      <w:pPr>
        <w:pStyle w:val="BodyText"/>
      </w:pPr>
      <w:bookmarkStart w:id="27" w:name="citeproc_bib_item_15"/>
      <w:bookmarkEnd w:id="27"/>
      <w:r>
        <w:t xml:space="preserve">Nattiez, Jean-Jacques. 1990. </w:t>
      </w:r>
      <w:r>
        <w:rPr>
          <w:i/>
          <w:iCs/>
        </w:rPr>
        <w:t>Music and Discourse - toward a Semiology of Music</w:t>
      </w:r>
      <w:r>
        <w:t>. Translated by C. Abbate. Princeton University Press.</w:t>
      </w:r>
    </w:p>
    <w:p w14:paraId="3BAF8C5E" w14:textId="77777777" w:rsidR="0067666A" w:rsidRDefault="00695B4C">
      <w:pPr>
        <w:pStyle w:val="BodyText"/>
      </w:pPr>
      <w:bookmarkStart w:id="28" w:name="citeproc_bib_item_16"/>
      <w:bookmarkEnd w:id="28"/>
      <w:r>
        <w:t>Reich, Steve. 1966. “Come out.” Tape; Boosey &amp; Hawkes.</w:t>
      </w:r>
    </w:p>
    <w:p w14:paraId="58A8C59E" w14:textId="77777777" w:rsidR="0067666A" w:rsidRDefault="00695B4C">
      <w:pPr>
        <w:pStyle w:val="BodyText"/>
      </w:pPr>
      <w:bookmarkStart w:id="29" w:name="citeproc_bib_item_17"/>
      <w:bookmarkEnd w:id="29"/>
      <w:r>
        <w:t xml:space="preserve">Schiller, F. 2004. </w:t>
      </w:r>
      <w:r>
        <w:rPr>
          <w:i/>
          <w:iCs/>
        </w:rPr>
        <w:t>On the Aesthetic Education of Man</w:t>
      </w:r>
      <w:r>
        <w:t>. Dover.</w:t>
      </w:r>
    </w:p>
    <w:p w14:paraId="5DB22593" w14:textId="77777777" w:rsidR="0067666A" w:rsidRDefault="00695B4C">
      <w:pPr>
        <w:pStyle w:val="BodyText"/>
      </w:pPr>
      <w:bookmarkStart w:id="30" w:name="citeproc_bib_item_18"/>
      <w:bookmarkEnd w:id="30"/>
      <w:r>
        <w:t xml:space="preserve">Seneca, L.A., and R.M. Gummere. 2015. </w:t>
      </w:r>
      <w:r>
        <w:rPr>
          <w:i/>
          <w:iCs/>
        </w:rPr>
        <w:t>Moral Letters to Lucilius</w:t>
      </w:r>
      <w:r>
        <w:t>. Letters to Stoic. Aegitas.</w:t>
      </w:r>
    </w:p>
    <w:p w14:paraId="165856D1" w14:textId="77777777" w:rsidR="0067666A" w:rsidRDefault="00695B4C">
      <w:pPr>
        <w:pStyle w:val="BodyText"/>
      </w:pPr>
      <w:bookmarkStart w:id="31" w:name="citeproc_bib_item_19"/>
      <w:bookmarkEnd w:id="31"/>
      <w:r>
        <w:t xml:space="preserve">Smith, Jonathan. 2009. “Baudrillard and Ethics: Is Mystery His Message?” </w:t>
      </w:r>
      <w:r>
        <w:rPr>
          <w:i/>
          <w:iCs/>
        </w:rPr>
        <w:t>Social Semiotics</w:t>
      </w:r>
      <w:r>
        <w:t xml:space="preserve"> 8 (1): 93–120.</w:t>
      </w:r>
    </w:p>
    <w:p w14:paraId="56073E4E" w14:textId="77777777" w:rsidR="0067666A" w:rsidRDefault="00695B4C">
      <w:pPr>
        <w:pStyle w:val="BodyText"/>
      </w:pPr>
      <w:bookmarkStart w:id="32" w:name="citeproc_bib_item_20"/>
      <w:bookmarkEnd w:id="32"/>
      <w:r>
        <w:lastRenderedPageBreak/>
        <w:t xml:space="preserve">Stone Brown, Peter. 2015. “Elijah Wald: Dylan Goes Electric! Newport, Seeger, Dylan and the Night That Split the ’60s.” </w:t>
      </w:r>
      <w:r>
        <w:rPr>
          <w:i/>
          <w:iCs/>
        </w:rPr>
        <w:t>Counterpunch</w:t>
      </w:r>
      <w:r>
        <w:t>.</w:t>
      </w:r>
    </w:p>
    <w:bookmarkEnd w:id="12"/>
    <w:sectPr w:rsidR="006766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9301" w14:textId="77777777" w:rsidR="00695B4C" w:rsidRDefault="00695B4C">
      <w:pPr>
        <w:spacing w:after="0"/>
      </w:pPr>
      <w:r>
        <w:separator/>
      </w:r>
    </w:p>
  </w:endnote>
  <w:endnote w:type="continuationSeparator" w:id="0">
    <w:p w14:paraId="61035FDB" w14:textId="77777777" w:rsidR="00695B4C" w:rsidRDefault="00695B4C">
      <w:pPr>
        <w:spacing w:after="0"/>
      </w:pPr>
      <w:r>
        <w:continuationSeparator/>
      </w:r>
    </w:p>
  </w:endnote>
  <w:endnote w:id="1">
    <w:p w14:paraId="3C3CAA9A"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I use mainly section two and three of </w:t>
      </w:r>
      <w:r w:rsidRPr="00695B4C">
        <w:rPr>
          <w:rFonts w:ascii="Arial" w:hAnsi="Arial" w:cs="Arial"/>
          <w:i/>
          <w:iCs/>
        </w:rPr>
        <w:t>The History of Sexuality</w:t>
      </w:r>
      <w:r w:rsidRPr="00695B4C">
        <w:rPr>
          <w:rFonts w:ascii="Arial" w:hAnsi="Arial" w:cs="Arial"/>
        </w:rPr>
        <w:t xml:space="preserve"> and I make explicit references to the text when needed. But I also use the text as an inspiration and have allowed myself to make interpretations that may not be in line with those a Foucault scholar would do here necessary.</w:t>
      </w:r>
    </w:p>
  </w:endnote>
  <w:endnote w:id="2">
    <w:p w14:paraId="7E69A990"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I use the term </w:t>
      </w:r>
      <w:r w:rsidRPr="00695B4C">
        <w:rPr>
          <w:rFonts w:ascii="Arial" w:hAnsi="Arial" w:cs="Arial"/>
          <w:i/>
          <w:iCs/>
        </w:rPr>
        <w:t>musician</w:t>
      </w:r>
      <w:r w:rsidRPr="00695B4C">
        <w:rPr>
          <w:rFonts w:ascii="Arial" w:hAnsi="Arial" w:cs="Arial"/>
        </w:rPr>
        <w:t xml:space="preserve"> throughout and it should be understood to include all forms for musical production</w:t>
      </w:r>
    </w:p>
  </w:endnote>
  <w:endnote w:id="3">
    <w:p w14:paraId="369AEE6D"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See the writings by Maj Hasager (</w:t>
      </w:r>
      <w:hyperlink w:anchor="citeproc_bib_item_11">
        <w:r w:rsidRPr="00695B4C">
          <w:rPr>
            <w:rStyle w:val="Hyperlink"/>
            <w:rFonts w:ascii="Arial" w:hAnsi="Arial" w:cs="Arial"/>
          </w:rPr>
          <w:t>2015</w:t>
        </w:r>
      </w:hyperlink>
      <w:r w:rsidRPr="00695B4C">
        <w:rPr>
          <w:rFonts w:ascii="Arial" w:hAnsi="Arial" w:cs="Arial"/>
        </w:rPr>
        <w:t>) for a broader view on what a hybrid artistic practice may refer to.</w:t>
      </w:r>
    </w:p>
  </w:endnote>
  <w:endnote w:id="4">
    <w:p w14:paraId="70B9A1D6"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A few notable examples are Beethoven's String quartet Op. 131 (</w:t>
      </w:r>
      <w:hyperlink w:anchor="citeproc_bib_item_3">
        <w:r w:rsidRPr="00695B4C">
          <w:rPr>
            <w:rStyle w:val="Hyperlink"/>
            <w:rFonts w:ascii="Arial" w:hAnsi="Arial" w:cs="Arial"/>
          </w:rPr>
          <w:t>Beethoven 1826</w:t>
        </w:r>
      </w:hyperlink>
      <w:r w:rsidRPr="00695B4C">
        <w:rPr>
          <w:rFonts w:ascii="Arial" w:hAnsi="Arial" w:cs="Arial"/>
        </w:rPr>
        <w:t xml:space="preserve">) that came out in seven movements rather than the expected format of four movements, </w:t>
      </w:r>
      <w:r w:rsidRPr="00695B4C">
        <w:rPr>
          <w:rFonts w:ascii="Arial" w:hAnsi="Arial" w:cs="Arial"/>
          <w:i/>
          <w:iCs/>
        </w:rPr>
        <w:t>Come Out</w:t>
      </w:r>
      <w:r w:rsidRPr="00695B4C">
        <w:rPr>
          <w:rFonts w:ascii="Arial" w:hAnsi="Arial" w:cs="Arial"/>
        </w:rPr>
        <w:t xml:space="preserve"> by Steve Reich (</w:t>
      </w:r>
      <w:hyperlink w:anchor="citeproc_bib_item_16">
        <w:r w:rsidRPr="00695B4C">
          <w:rPr>
            <w:rStyle w:val="Hyperlink"/>
            <w:rFonts w:ascii="Arial" w:hAnsi="Arial" w:cs="Arial"/>
          </w:rPr>
          <w:t>1966</w:t>
        </w:r>
      </w:hyperlink>
      <w:r w:rsidRPr="00695B4C">
        <w:rPr>
          <w:rFonts w:ascii="Arial" w:hAnsi="Arial" w:cs="Arial"/>
        </w:rPr>
        <w:t>) which became a memorial as such for the Harlem Six trials and the American civil rights movement that was unexpected even for the composer (</w:t>
      </w:r>
      <w:hyperlink w:anchor="citeproc_bib_item_10">
        <w:r w:rsidRPr="00695B4C">
          <w:rPr>
            <w:rStyle w:val="Hyperlink"/>
            <w:rFonts w:ascii="Arial" w:hAnsi="Arial" w:cs="Arial"/>
          </w:rPr>
          <w:t>Gopinath 2009</w:t>
        </w:r>
      </w:hyperlink>
      <w:r w:rsidRPr="00695B4C">
        <w:rPr>
          <w:rFonts w:ascii="Arial" w:hAnsi="Arial" w:cs="Arial"/>
        </w:rPr>
        <w:t>), and Bob Dylan's decision to take the stage with an electric guitar at the Newport Folk Festival 1965, "backed by a band organized the night before" created havoc and "not only disrupted the closing night of the Festival, but blew apart the music scene that had created it" (</w:t>
      </w:r>
      <w:hyperlink w:anchor="citeproc_bib_item_20">
        <w:r w:rsidRPr="00695B4C">
          <w:rPr>
            <w:rStyle w:val="Hyperlink"/>
            <w:rFonts w:ascii="Arial" w:hAnsi="Arial" w:cs="Arial"/>
          </w:rPr>
          <w:t>Stone Brown 2015</w:t>
        </w:r>
      </w:hyperlink>
      <w:r w:rsidRPr="00695B4C">
        <w:rPr>
          <w:rFonts w:ascii="Arial" w:hAnsi="Arial" w:cs="Arial"/>
        </w:rPr>
        <w:t>).</w:t>
      </w:r>
    </w:p>
  </w:endnote>
  <w:endnote w:id="5">
    <w:p w14:paraId="1C829192"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This was a trademark of early modernism and the later rise of conceptual art.</w:t>
      </w:r>
    </w:p>
  </w:endnote>
  <w:endnote w:id="6">
    <w:p w14:paraId="5817470F"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Understood as what follows from the line of morality rooted in Aristotele's Nicomachean Ethics, though I realize it is a crude generalization to regard this a uniform expression of a complex topic such as ethics.</w:t>
      </w:r>
    </w:p>
  </w:endnote>
  <w:endnote w:id="7">
    <w:p w14:paraId="100DED0F"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w:t>
      </w:r>
      <w:proofErr w:type="spellStart"/>
      <w:r w:rsidRPr="00695B4C">
        <w:rPr>
          <w:rFonts w:ascii="Arial" w:hAnsi="Arial" w:cs="Arial"/>
        </w:rPr>
        <w:t>Self reflection</w:t>
      </w:r>
      <w:proofErr w:type="spellEnd"/>
      <w:r w:rsidRPr="00695B4C">
        <w:rPr>
          <w:rFonts w:ascii="Arial" w:hAnsi="Arial" w:cs="Arial"/>
        </w:rPr>
        <w:t xml:space="preserve"> is a term equally common as it is problematic in today's discourse on artistic practice and education and should, I believe be handled with care to avoid that everything, and nothing, becomes reflection.</w:t>
      </w:r>
    </w:p>
  </w:endnote>
  <w:endnote w:id="8">
    <w:p w14:paraId="014C0D6D"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At the time of the performance described above this was not something I had reflected on.</w:t>
      </w:r>
    </w:p>
  </w:endnote>
  <w:endnote w:id="9">
    <w:p w14:paraId="5DABD22E"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In the visual arts an example that may illustrate this is Carl Michael von </w:t>
      </w:r>
      <w:proofErr w:type="spellStart"/>
      <w:r w:rsidRPr="00695B4C">
        <w:rPr>
          <w:rFonts w:ascii="Arial" w:hAnsi="Arial" w:cs="Arial"/>
        </w:rPr>
        <w:t>Hauswolffs</w:t>
      </w:r>
      <w:proofErr w:type="spellEnd"/>
      <w:r w:rsidRPr="00695B4C">
        <w:rPr>
          <w:rFonts w:ascii="Arial" w:hAnsi="Arial" w:cs="Arial"/>
        </w:rPr>
        <w:t>' paintings using ashes from the concentration camp Majdanek in eastern Poland and the debate that followed.</w:t>
      </w:r>
    </w:p>
  </w:endnote>
  <w:endnote w:id="10">
    <w:p w14:paraId="23AB28C6"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His point of view is valid for this </w:t>
      </w:r>
      <w:proofErr w:type="spellStart"/>
      <w:r w:rsidRPr="00695B4C">
        <w:rPr>
          <w:rFonts w:ascii="Arial" w:hAnsi="Arial" w:cs="Arial"/>
        </w:rPr>
        <w:t>discusssion</w:t>
      </w:r>
      <w:proofErr w:type="spellEnd"/>
      <w:r w:rsidRPr="00695B4C">
        <w:rPr>
          <w:rFonts w:ascii="Arial" w:hAnsi="Arial" w:cs="Arial"/>
        </w:rPr>
        <w:t xml:space="preserve"> even though he was highly critical of Foucault (</w:t>
      </w:r>
      <w:hyperlink w:anchor="citeproc_bib_item_2">
        <w:r w:rsidRPr="00695B4C">
          <w:rPr>
            <w:rStyle w:val="Hyperlink"/>
            <w:rFonts w:ascii="Arial" w:hAnsi="Arial" w:cs="Arial"/>
          </w:rPr>
          <w:t xml:space="preserve">Baudrillard and </w:t>
        </w:r>
        <w:proofErr w:type="spellStart"/>
        <w:r w:rsidRPr="00695B4C">
          <w:rPr>
            <w:rStyle w:val="Hyperlink"/>
            <w:rFonts w:ascii="Arial" w:hAnsi="Arial" w:cs="Arial"/>
          </w:rPr>
          <w:t>Brühmann</w:t>
        </w:r>
        <w:proofErr w:type="spellEnd"/>
        <w:r w:rsidRPr="00695B4C">
          <w:rPr>
            <w:rStyle w:val="Hyperlink"/>
            <w:rFonts w:ascii="Arial" w:hAnsi="Arial" w:cs="Arial"/>
          </w:rPr>
          <w:t xml:space="preserve"> 1977</w:t>
        </w:r>
      </w:hyperlink>
      <w:r w:rsidRPr="00695B4C">
        <w:rPr>
          <w:rFonts w:ascii="Arial" w:hAnsi="Arial" w:cs="Arial"/>
        </w:rPr>
        <w:t>).</w:t>
      </w:r>
    </w:p>
  </w:endnote>
  <w:endnote w:id="11">
    <w:p w14:paraId="7847EEBF" w14:textId="77777777" w:rsidR="00A77790" w:rsidRPr="00695B4C" w:rsidRDefault="00A77790">
      <w:pPr>
        <w:pStyle w:val="EndnoteText"/>
        <w:rPr>
          <w:rFonts w:ascii="Arial" w:hAnsi="Arial" w:cs="Arial"/>
        </w:rPr>
      </w:pPr>
      <w:r w:rsidRPr="00695B4C">
        <w:rPr>
          <w:rStyle w:val="EndnoteReference"/>
          <w:rFonts w:ascii="Arial" w:hAnsi="Arial" w:cs="Arial"/>
        </w:rPr>
        <w:endnoteRef/>
      </w:r>
      <w:r w:rsidRPr="00695B4C">
        <w:rPr>
          <w:rFonts w:ascii="Arial" w:hAnsi="Arial" w:cs="Arial"/>
        </w:rPr>
        <w:t xml:space="preserve"> Even though my focus here is the actual practice, the appreciation of the artistic object to the spectator may also have the possibility to further the subjectification of the self in manners that are </w:t>
      </w:r>
      <w:proofErr w:type="gramStart"/>
      <w:r w:rsidRPr="00695B4C">
        <w:rPr>
          <w:rFonts w:ascii="Arial" w:hAnsi="Arial" w:cs="Arial"/>
        </w:rPr>
        <w:t>similar to</w:t>
      </w:r>
      <w:proofErr w:type="gramEnd"/>
      <w:r w:rsidRPr="00695B4C">
        <w:rPr>
          <w:rFonts w:ascii="Arial" w:hAnsi="Arial" w:cs="Arial"/>
        </w:rPr>
        <w:t xml:space="preserve"> those of the practice, but the market forces often make this process difficult.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632E" w14:textId="77777777" w:rsidR="00695B4C" w:rsidRDefault="00695B4C">
      <w:pPr>
        <w:spacing w:after="0"/>
      </w:pPr>
      <w:r>
        <w:separator/>
      </w:r>
    </w:p>
  </w:footnote>
  <w:footnote w:type="continuationSeparator" w:id="0">
    <w:p w14:paraId="4E0A7191" w14:textId="77777777" w:rsidR="00695B4C" w:rsidRDefault="00695B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7627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FD815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90518904">
    <w:abstractNumId w:val="0"/>
  </w:num>
  <w:num w:numId="2" w16cid:durableId="1062289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6A"/>
    <w:rsid w:val="00505E67"/>
    <w:rsid w:val="0067666A"/>
    <w:rsid w:val="00695B4C"/>
    <w:rsid w:val="007C7817"/>
    <w:rsid w:val="009928BD"/>
    <w:rsid w:val="00A77790"/>
    <w:rsid w:val="00D0680E"/>
    <w:rsid w:val="00D66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CB494"/>
  <w15:docId w15:val="{CBF49474-E019-1046-9381-7C86617E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05E67"/>
    <w:pPr>
      <w:spacing w:before="180" w:after="180" w:line="360" w:lineRule="auto"/>
    </w:pPr>
    <w:rPr>
      <w:rFonts w:ascii="Arial" w:hAnsi="Arial"/>
    </w:rPr>
  </w:style>
  <w:style w:type="paragraph" w:customStyle="1" w:styleId="FirstParagraph">
    <w:name w:val="First Paragraph"/>
    <w:basedOn w:val="BodyText"/>
    <w:next w:val="BodyText"/>
    <w:qFormat/>
    <w:rsid w:val="00505E67"/>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505E67"/>
    <w:pPr>
      <w:spacing w:before="100" w:after="100" w:line="240" w:lineRule="auto"/>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Normal"/>
    <w:link w:val="EndnoteTextChar"/>
    <w:rsid w:val="00A77790"/>
    <w:pPr>
      <w:spacing w:after="0"/>
    </w:pPr>
    <w:rPr>
      <w:sz w:val="20"/>
      <w:szCs w:val="20"/>
    </w:rPr>
  </w:style>
  <w:style w:type="character" w:customStyle="1" w:styleId="EndnoteTextChar">
    <w:name w:val="Endnote Text Char"/>
    <w:basedOn w:val="DefaultParagraphFont"/>
    <w:link w:val="EndnoteText"/>
    <w:rsid w:val="00A77790"/>
    <w:rPr>
      <w:sz w:val="20"/>
      <w:szCs w:val="20"/>
    </w:rPr>
  </w:style>
  <w:style w:type="character" w:styleId="EndnoteReference">
    <w:name w:val="endnote reference"/>
    <w:basedOn w:val="DefaultParagraphFont"/>
    <w:rsid w:val="00A777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EAD82-2368-1947-8349-21F4046F4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6987</Words>
  <Characters>41365</Characters>
  <Application>Microsoft Office Word</Application>
  <DocSecurity>0</DocSecurity>
  <Lines>582</Lines>
  <Paragraphs>61</Paragraphs>
  <ScaleCrop>false</ScaleCrop>
  <HeadingPairs>
    <vt:vector size="2" baseType="variant">
      <vt:variant>
        <vt:lpstr>Title</vt:lpstr>
      </vt:variant>
      <vt:variant>
        <vt:i4>1</vt:i4>
      </vt:variant>
    </vt:vector>
  </HeadingPairs>
  <TitlesOfParts>
    <vt:vector size="1" baseType="lpstr">
      <vt:lpstr>On the care of the self in artistic practices</vt:lpstr>
    </vt:vector>
  </TitlesOfParts>
  <Company/>
  <LinksUpToDate>false</LinksUpToDate>
  <CharactersWithSpaces>48291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care of the self in artistic practices</dc:title>
  <dc:creator>Henrik Frisk</dc:creator>
  <cp:keywords/>
  <cp:lastModifiedBy>Henrik Frisk</cp:lastModifiedBy>
  <cp:revision>4</cp:revision>
  <dcterms:created xsi:type="dcterms:W3CDTF">2025-04-11T15:44:00Z</dcterms:created>
  <dcterms:modified xsi:type="dcterms:W3CDTF">2025-04-11T15:56:00Z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