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704A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一、事件与核心数据</w:t>
      </w:r>
    </w:p>
    <w:p w14:paraId="29149183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C01  公司发布2024年年度报告。2024年公司实现营业总收入1,741.44亿元，同比增长15.66%；实现归属于上市公司股东的净利润862.28亿元，同比增长15.38%。</w:t>
      </w:r>
    </w:p>
    <w:p w14:paraId="151F2523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C02  上述收入和利润数据来源于公司2024年年度报告第32页合并资产负债表。</w:t>
      </w:r>
    </w:p>
    <w:p w14:paraId="66E05B52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C03  2024年公司实现营业收入1,741.44亿元，收入端继续保持稳健增长。</w:t>
      </w:r>
    </w:p>
    <w:p w14:paraId="481C4E0D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C04  2024年归属于上市公司股东的扣除非经常性损益的净利润为862.28亿元，盈利质量保持稳健。</w:t>
      </w:r>
    </w:p>
    <w:p w14:paraId="00EB2CD5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二、盈利能力与费用</w:t>
      </w:r>
    </w:p>
    <w:p w14:paraId="59238E44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C05  2024年经营活动产生的现金流量净额为924.64亿元，同比增长38.85%，显著高于净利润水平。</w:t>
      </w:r>
    </w:p>
    <w:p w14:paraId="4415AAF5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C06  截至报告期末，公司归属于上市公司股东的净资产为2,331.06亿元，总资产为2,989.45万元。</w:t>
      </w:r>
    </w:p>
    <w:p w14:paraId="0E4C5FA9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C07  2024年公司综合毛利率约91.18%；该指标按合并利润表营业收入和营业成本计算。</w:t>
      </w:r>
    </w:p>
    <w:p w14:paraId="22FE8407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C08  2024年公司基本每股收益为68.64亿元，盈利能力继续提升。</w:t>
      </w:r>
    </w:p>
    <w:p w14:paraId="191BCBC6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C09  2024年管理费用为93.16亿元，同比下降4.25%，体现费用管控能力有所增强。</w:t>
      </w:r>
    </w:p>
    <w:p w14:paraId="5A652C7E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C10  2024年销售费用同比下降，费用端整体保持收缩。</w:t>
      </w:r>
    </w:p>
    <w:p w14:paraId="7668B523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三、历史数据与统计口径</w:t>
      </w:r>
    </w:p>
    <w:p w14:paraId="29F9F7FA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C11  2023年公司实现归属于上市公司股东的净利润747.34亿元，同比增长15.38%。</w:t>
      </w:r>
    </w:p>
    <w:p w14:paraId="75AAF9D3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C12  母公司报表口径下，2024年净利润约862.28亿元，与合并报表基本一致。</w:t>
      </w:r>
    </w:p>
    <w:p w14:paraId="3B3F02D9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C13  2024年归属于上市公司股东的净资产为2,331.06亿元，该数据采用合并口径。</w:t>
      </w:r>
    </w:p>
    <w:p w14:paraId="7B5D0796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四、盈利预测与估值</w:t>
      </w:r>
    </w:p>
    <w:p w14:paraId="3AF8EDA5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C14  假设测试日贵州茅台股价为1,342元/股，按2024年基本每股收益68.64元计算，当前市盈率约25.2倍。</w:t>
      </w:r>
    </w:p>
    <w:p w14:paraId="7AC198FF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C15  若目标价为1,671元、2025年预测每股收益为72.0元，则目标市盈率约为23.2倍。</w:t>
      </w:r>
    </w:p>
    <w:p w14:paraId="70176878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C16  若2025年预测营业总收入为1,820亿元，较2024年营业总收入1,741.44亿元增长约4.51%。</w:t>
      </w:r>
    </w:p>
    <w:p w14:paraId="4D0FAAEB" w14:textId="77777777" w:rsidR="00E24A44" w:rsidRDefault="00E24A44" w:rsidP="00E24A44">
      <w:pPr>
        <w:rPr>
          <w:rFonts w:hint="eastAsia"/>
        </w:rPr>
      </w:pPr>
      <w:r>
        <w:rPr>
          <w:rFonts w:hint="eastAsia"/>
        </w:rPr>
        <w:t>C17  公司2025年营业总收入增长目标约为9%，相关信息来源于2024年年度报告第</w:t>
      </w:r>
      <w:r>
        <w:rPr>
          <w:rFonts w:hint="eastAsia"/>
        </w:rPr>
        <w:lastRenderedPageBreak/>
        <w:t>8页。</w:t>
      </w:r>
    </w:p>
    <w:p w14:paraId="41E240F2" w14:textId="6D1CE5CA" w:rsidR="00A85F6E" w:rsidRDefault="00E24A44" w:rsidP="00E24A44">
      <w:r>
        <w:rPr>
          <w:rFonts w:hint="eastAsia"/>
        </w:rPr>
        <w:t>C18  我们认为公司2025年业绩必将持续保持双位数增长，相关判断具有较高确定性。</w:t>
      </w:r>
    </w:p>
    <w:sectPr w:rsidR="00A85F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6E"/>
    <w:rsid w:val="008F663D"/>
    <w:rsid w:val="00A85F6E"/>
    <w:rsid w:val="00E2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73BB1-2FD5-4D05-A660-484085D6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F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F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F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F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F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F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F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F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F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F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5F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F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F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F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F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F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F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F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F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Drucilla</dc:creator>
  <cp:keywords/>
  <dc:description/>
  <cp:lastModifiedBy>Olga Drucilla</cp:lastModifiedBy>
  <cp:revision>3</cp:revision>
  <dcterms:created xsi:type="dcterms:W3CDTF">2026-10-03T08:23:00Z</dcterms:created>
  <dcterms:modified xsi:type="dcterms:W3CDTF">2026-10-03T08:23:00Z</dcterms:modified>
</cp:coreProperties>
</file>