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CE21DE">
      <w:pPr>
        <w:pStyle w:val="3"/>
        <w:rPr>
          <w:rFonts w:hint="eastAsia" w:ascii="KaiTi" w:hAnsi="KaiTi" w:eastAsia="KaiTi" w:cs="KaiTi"/>
        </w:rPr>
      </w:pPr>
      <w:r>
        <w:rPr>
          <w:rFonts w:hint="eastAsia" w:ascii="KaiTi" w:hAnsi="KaiTi" w:eastAsia="KaiTi" w:cs="KaiTi"/>
        </w:rPr>
        <w:t>贵州茅台（600519.SH）2024年报点评：增长稳健，维持“买入”评级</w:t>
      </w:r>
    </w:p>
    <w:p w14:paraId="53370EC3">
      <w:pPr>
        <w:rPr>
          <w:rFonts w:hint="eastAsia" w:ascii="KaiTi" w:hAnsi="KaiTi" w:eastAsia="KaiTi" w:cs="KaiTi"/>
        </w:rPr>
      </w:pPr>
      <w:r>
        <w:rPr>
          <w:rFonts w:hint="eastAsia" w:ascii="KaiTi" w:hAnsi="KaiTi" w:eastAsia="KaiTi" w:cs="KaiTi"/>
          <w:i/>
        </w:rPr>
        <w:t>证券研究报告 | 食品饮料/白酒 | 2025-04-03 | 研究员：（示例草稿）</w:t>
      </w:r>
    </w:p>
    <w:p w14:paraId="61294DED">
      <w:pPr>
        <w:pStyle w:val="4"/>
        <w:rPr>
          <w:rFonts w:hint="eastAsia" w:ascii="KaiTi" w:hAnsi="KaiTi" w:eastAsia="KaiTi" w:cs="KaiTi"/>
        </w:rPr>
      </w:pPr>
      <w:r>
        <w:rPr>
          <w:rFonts w:hint="eastAsia" w:ascii="KaiTi" w:hAnsi="KaiTi" w:eastAsia="KaiTi" w:cs="KaiTi"/>
        </w:rPr>
        <w:t>投资要点</w:t>
      </w:r>
    </w:p>
    <w:p w14:paraId="2CD41EB9">
      <w:pPr>
        <w:rPr>
          <w:rFonts w:hint="eastAsia" w:ascii="KaiTi" w:hAnsi="KaiTi" w:eastAsia="KaiTi" w:cs="KaiTi"/>
        </w:rPr>
      </w:pPr>
      <w:r>
        <w:rPr>
          <w:rFonts w:hint="eastAsia" w:ascii="KaiTi" w:hAnsi="KaiTi" w:eastAsia="KaiTi" w:cs="KaiTi"/>
        </w:rPr>
        <w:t>事件：公司发布2024年年度报告。2024年公司实现营业收入1,741.44亿元，同比增长15.71%；实现归属于上市公司股东的净利润868.28亿元，同比增长15.38%（数据来源：公司2024年年度报告，第32页，合并资产负债表）。其中扣非归母净利润862.28亿元，盈利质量保持稳健。我们维持“买入”评级。</w:t>
      </w:r>
    </w:p>
    <w:p w14:paraId="722A3374">
      <w:pPr>
        <w:pStyle w:val="4"/>
        <w:rPr>
          <w:rFonts w:hint="eastAsia" w:ascii="KaiTi" w:hAnsi="KaiTi" w:eastAsia="KaiTi" w:cs="KaiTi"/>
        </w:rPr>
      </w:pPr>
      <w:r>
        <w:rPr>
          <w:rFonts w:hint="eastAsia" w:ascii="KaiTi" w:hAnsi="KaiTi" w:eastAsia="KaiTi" w:cs="KaiTi"/>
        </w:rPr>
        <w:t>点评</w:t>
      </w:r>
    </w:p>
    <w:p w14:paraId="69FCC277">
      <w:pPr>
        <w:rPr>
          <w:rFonts w:hint="eastAsia" w:ascii="KaiTi" w:hAnsi="KaiTi" w:eastAsia="KaiTi" w:cs="KaiTi"/>
        </w:rPr>
      </w:pPr>
      <w:r>
        <w:rPr>
          <w:rFonts w:hint="eastAsia" w:ascii="KaiTi" w:hAnsi="KaiTi" w:eastAsia="KaiTi" w:cs="KaiTi"/>
        </w:rPr>
        <w:t>1、业绩稳健，延续双位数增长。2024年公司营业总收入1,741.44亿元，收入端主要由茅台酒提价与“i茅台”直销渠道放量驱动。全年经营活动产生的现金流量净额924.64亿元，同比增长38.85%，显著高于净利润水平，反映公司回款能力强劲、盈利质量优异。截至报告期末，公司归属于上市公司股东的净资产达2,331.06亿元，总资产2,989.45万元（数据来源：2024年年度报告，第5页，主要会计数据表）。</w:t>
      </w:r>
    </w:p>
    <w:p w14:paraId="3CFA53BA">
      <w:pPr>
        <w:rPr>
          <w:rFonts w:hint="eastAsia" w:ascii="KaiTi" w:hAnsi="KaiTi" w:eastAsia="KaiTi" w:cs="KaiTi"/>
        </w:rPr>
      </w:pPr>
      <w:r>
        <w:rPr>
          <w:rFonts w:hint="eastAsia" w:ascii="KaiTi" w:hAnsi="KaiTi" w:eastAsia="KaiTi" w:cs="KaiTi"/>
        </w:rPr>
        <w:t>2、盈利能力与费用。2024年公司综合毛利率约91.18%，净利率约48.76%；基本每股收益68.64亿元。费用端，管理费用同比下降4.25%，销售费用同比亦有所下降，体现公司费用管控能力持续增强，我们认为费用率仍有</w:t>
      </w:r>
      <w:bookmarkStart w:id="0" w:name="_GoBack"/>
      <w:bookmarkEnd w:id="0"/>
      <w:r>
        <w:rPr>
          <w:rFonts w:hint="eastAsia" w:ascii="KaiTi" w:hAnsi="KaiTi" w:eastAsia="KaiTi" w:cs="KaiTi"/>
        </w:rPr>
        <w:t>进一步下行空间。</w:t>
      </w:r>
    </w:p>
    <w:p w14:paraId="418B7B08">
      <w:pPr>
        <w:rPr>
          <w:rFonts w:hint="eastAsia" w:ascii="KaiTi" w:hAnsi="KaiTi" w:eastAsia="KaiTi" w:cs="KaiTi"/>
        </w:rPr>
      </w:pPr>
      <w:r>
        <w:rPr>
          <w:rFonts w:hint="eastAsia" w:ascii="KaiTi" w:hAnsi="KaiTi" w:eastAsia="KaiTi" w:cs="KaiTi"/>
        </w:rPr>
        <w:t>3、历史回顾与口径。2023年公司实现归母净利润747.34亿元，同比增长15.38%，延续高增长态势。母公司报表口径下，2024年净利润约862.28亿元，与合并报表基本一致，盈利结构清晰。</w:t>
      </w:r>
    </w:p>
    <w:p w14:paraId="28A1646D">
      <w:pPr>
        <w:pStyle w:val="4"/>
        <w:rPr>
          <w:rFonts w:hint="eastAsia" w:ascii="KaiTi" w:hAnsi="KaiTi" w:eastAsia="KaiTi" w:cs="KaiTi"/>
        </w:rPr>
      </w:pPr>
      <w:r>
        <w:rPr>
          <w:rFonts w:hint="eastAsia" w:ascii="KaiTi" w:hAnsi="KaiTi" w:eastAsia="KaiTi" w:cs="KaiTi"/>
        </w:rPr>
        <w:t>盈利预测与估值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3C86F32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C6F306D">
            <w:pPr>
              <w:spacing w:after="0" w:line="240" w:lineRule="auto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</w:rPr>
              <w:t>指标</w:t>
            </w:r>
          </w:p>
        </w:tc>
        <w:tc>
          <w:tcPr>
            <w:tcW w:w="1728" w:type="dxa"/>
          </w:tcPr>
          <w:p w14:paraId="701FC4B5">
            <w:pPr>
              <w:spacing w:after="0" w:line="240" w:lineRule="auto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</w:rPr>
              <w:t>2024A</w:t>
            </w:r>
          </w:p>
        </w:tc>
        <w:tc>
          <w:tcPr>
            <w:tcW w:w="1728" w:type="dxa"/>
          </w:tcPr>
          <w:p w14:paraId="6FF583DA">
            <w:pPr>
              <w:spacing w:after="0" w:line="240" w:lineRule="auto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</w:rPr>
              <w:t>2025E</w:t>
            </w:r>
          </w:p>
        </w:tc>
        <w:tc>
          <w:tcPr>
            <w:tcW w:w="1728" w:type="dxa"/>
          </w:tcPr>
          <w:p w14:paraId="193F8AF0">
            <w:pPr>
              <w:spacing w:after="0" w:line="240" w:lineRule="auto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</w:rPr>
              <w:t>2026E</w:t>
            </w:r>
          </w:p>
        </w:tc>
        <w:tc>
          <w:tcPr>
            <w:tcW w:w="1728" w:type="dxa"/>
          </w:tcPr>
          <w:p w14:paraId="4F54D8C3">
            <w:pPr>
              <w:spacing w:after="0" w:line="240" w:lineRule="auto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</w:rPr>
              <w:t>2027E</w:t>
            </w:r>
          </w:p>
        </w:tc>
      </w:tr>
      <w:tr w14:paraId="24B11F1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DF38589">
            <w:pPr>
              <w:spacing w:after="0" w:line="240" w:lineRule="auto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</w:rPr>
              <w:t>营业总收入（亿元）</w:t>
            </w:r>
          </w:p>
        </w:tc>
        <w:tc>
          <w:tcPr>
            <w:tcW w:w="1728" w:type="dxa"/>
          </w:tcPr>
          <w:p w14:paraId="7166350C">
            <w:pPr>
              <w:spacing w:after="0" w:line="240" w:lineRule="auto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</w:rPr>
              <w:t>1,741.44</w:t>
            </w:r>
          </w:p>
        </w:tc>
        <w:tc>
          <w:tcPr>
            <w:tcW w:w="1728" w:type="dxa"/>
          </w:tcPr>
          <w:p w14:paraId="166266AE">
            <w:pPr>
              <w:spacing w:after="0" w:line="240" w:lineRule="auto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</w:rPr>
              <w:t>1,820.0</w:t>
            </w:r>
          </w:p>
        </w:tc>
        <w:tc>
          <w:tcPr>
            <w:tcW w:w="1728" w:type="dxa"/>
          </w:tcPr>
          <w:p w14:paraId="684FEDAB">
            <w:pPr>
              <w:spacing w:after="0" w:line="240" w:lineRule="auto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</w:rPr>
              <w:t>1,950.0</w:t>
            </w:r>
          </w:p>
        </w:tc>
        <w:tc>
          <w:tcPr>
            <w:tcW w:w="1728" w:type="dxa"/>
          </w:tcPr>
          <w:p w14:paraId="5208F498">
            <w:pPr>
              <w:spacing w:after="0" w:line="240" w:lineRule="auto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</w:rPr>
              <w:t>2,080.0</w:t>
            </w:r>
          </w:p>
        </w:tc>
      </w:tr>
      <w:tr w14:paraId="4C8DC84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D0D252F">
            <w:pPr>
              <w:spacing w:after="0" w:line="240" w:lineRule="auto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</w:rPr>
              <w:t>归母净利润（亿元）</w:t>
            </w:r>
          </w:p>
        </w:tc>
        <w:tc>
          <w:tcPr>
            <w:tcW w:w="1728" w:type="dxa"/>
          </w:tcPr>
          <w:p w14:paraId="1C4EF1D0">
            <w:pPr>
              <w:spacing w:after="0" w:line="240" w:lineRule="auto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</w:rPr>
              <w:t>868.28</w:t>
            </w:r>
          </w:p>
        </w:tc>
        <w:tc>
          <w:tcPr>
            <w:tcW w:w="1728" w:type="dxa"/>
          </w:tcPr>
          <w:p w14:paraId="1E4647BC">
            <w:pPr>
              <w:spacing w:after="0" w:line="240" w:lineRule="auto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</w:rPr>
              <w:t>904.71</w:t>
            </w:r>
          </w:p>
        </w:tc>
        <w:tc>
          <w:tcPr>
            <w:tcW w:w="1728" w:type="dxa"/>
          </w:tcPr>
          <w:p w14:paraId="524AEFAE">
            <w:pPr>
              <w:spacing w:after="0" w:line="240" w:lineRule="auto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</w:rPr>
              <w:t>946.22</w:t>
            </w:r>
          </w:p>
        </w:tc>
        <w:tc>
          <w:tcPr>
            <w:tcW w:w="1728" w:type="dxa"/>
          </w:tcPr>
          <w:p w14:paraId="4851DB63">
            <w:pPr>
              <w:spacing w:after="0" w:line="240" w:lineRule="auto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</w:rPr>
              <w:t>996.57</w:t>
            </w:r>
          </w:p>
        </w:tc>
      </w:tr>
      <w:tr w14:paraId="39D3F97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0AA42A5">
            <w:pPr>
              <w:spacing w:after="0" w:line="240" w:lineRule="auto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</w:rPr>
              <w:t>EPS（元/股）</w:t>
            </w:r>
          </w:p>
        </w:tc>
        <w:tc>
          <w:tcPr>
            <w:tcW w:w="1728" w:type="dxa"/>
          </w:tcPr>
          <w:p w14:paraId="10C7433F">
            <w:pPr>
              <w:spacing w:after="0" w:line="240" w:lineRule="auto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</w:rPr>
              <w:t>68.64</w:t>
            </w:r>
          </w:p>
        </w:tc>
        <w:tc>
          <w:tcPr>
            <w:tcW w:w="1728" w:type="dxa"/>
          </w:tcPr>
          <w:p w14:paraId="5AFC9142">
            <w:pPr>
              <w:spacing w:after="0" w:line="240" w:lineRule="auto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</w:rPr>
              <w:t>72.0</w:t>
            </w:r>
          </w:p>
        </w:tc>
        <w:tc>
          <w:tcPr>
            <w:tcW w:w="1728" w:type="dxa"/>
          </w:tcPr>
          <w:p w14:paraId="64EA1A8D">
            <w:pPr>
              <w:spacing w:after="0" w:line="240" w:lineRule="auto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</w:rPr>
              <w:t>75.3</w:t>
            </w:r>
          </w:p>
        </w:tc>
        <w:tc>
          <w:tcPr>
            <w:tcW w:w="1728" w:type="dxa"/>
          </w:tcPr>
          <w:p w14:paraId="0DD9C3AC">
            <w:pPr>
              <w:spacing w:after="0" w:line="240" w:lineRule="auto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</w:rPr>
              <w:t>79.3</w:t>
            </w:r>
          </w:p>
        </w:tc>
      </w:tr>
      <w:tr w14:paraId="434095F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2637C5C">
            <w:pPr>
              <w:spacing w:after="0" w:line="240" w:lineRule="auto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</w:rPr>
              <w:t>P/E（倍）</w:t>
            </w:r>
          </w:p>
        </w:tc>
        <w:tc>
          <w:tcPr>
            <w:tcW w:w="1728" w:type="dxa"/>
          </w:tcPr>
          <w:p w14:paraId="4B6E431C">
            <w:pPr>
              <w:spacing w:after="0" w:line="240" w:lineRule="auto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</w:rPr>
              <w:t>25.2</w:t>
            </w:r>
          </w:p>
        </w:tc>
        <w:tc>
          <w:tcPr>
            <w:tcW w:w="1728" w:type="dxa"/>
          </w:tcPr>
          <w:p w14:paraId="42284204">
            <w:pPr>
              <w:spacing w:after="0" w:line="240" w:lineRule="auto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</w:rPr>
              <w:t>24.1</w:t>
            </w:r>
          </w:p>
        </w:tc>
        <w:tc>
          <w:tcPr>
            <w:tcW w:w="1728" w:type="dxa"/>
          </w:tcPr>
          <w:p w14:paraId="665C7621">
            <w:pPr>
              <w:spacing w:after="0" w:line="240" w:lineRule="auto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</w:rPr>
              <w:t>23.1</w:t>
            </w:r>
          </w:p>
        </w:tc>
        <w:tc>
          <w:tcPr>
            <w:tcW w:w="1728" w:type="dxa"/>
          </w:tcPr>
          <w:p w14:paraId="522FDA5C">
            <w:pPr>
              <w:spacing w:after="0" w:line="240" w:lineRule="auto"/>
              <w:rPr>
                <w:rFonts w:hint="eastAsia" w:ascii="KaiTi" w:hAnsi="KaiTi" w:eastAsia="KaiTi" w:cs="KaiTi"/>
              </w:rPr>
            </w:pPr>
            <w:r>
              <w:rPr>
                <w:rFonts w:hint="eastAsia" w:ascii="KaiTi" w:hAnsi="KaiTi" w:eastAsia="KaiTi" w:cs="KaiTi"/>
              </w:rPr>
              <w:t>21.9</w:t>
            </w:r>
          </w:p>
        </w:tc>
      </w:tr>
    </w:tbl>
    <w:p w14:paraId="079579BA">
      <w:pPr>
        <w:rPr>
          <w:rFonts w:hint="eastAsia" w:ascii="KaiTi" w:hAnsi="KaiTi" w:eastAsia="KaiTi" w:cs="KaiTi"/>
        </w:rPr>
      </w:pPr>
      <w:r>
        <w:rPr>
          <w:rFonts w:hint="eastAsia" w:ascii="KaiTi" w:hAnsi="KaiTi" w:eastAsia="KaiTi" w:cs="KaiTi"/>
        </w:rPr>
        <w:t>我们预计公司2025—2027年归母净利润分别为904.71、946.22、996.57亿元。当前股价对应2024年EPS 68.64元，动态PE约25.2倍。公司2025年业绩必将持续保持双位数增长，我们给予目标价1,671元，维持“买入”评级。</w:t>
      </w:r>
    </w:p>
    <w:p w14:paraId="7A5D0B3E">
      <w:pPr>
        <w:rPr>
          <w:rFonts w:hint="eastAsia" w:ascii="KaiTi" w:hAnsi="KaiTi" w:eastAsia="KaiTi" w:cs="KaiTi"/>
        </w:rPr>
      </w:pPr>
      <w:r>
        <w:rPr>
          <w:rFonts w:hint="eastAsia" w:ascii="KaiTi" w:hAnsi="KaiTi" w:eastAsia="KaiTi" w:cs="KaiTi"/>
        </w:rPr>
        <w:t>风险提示：宏观消费复苏不及预期；行业竞争加剧。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WMono">
    <w:panose1 w:val="00000400000000000000"/>
    <w:charset w:val="00"/>
    <w:family w:val="auto"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CFC1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SimSun" w:hAnsi="SimSun" w:eastAsiaTheme="minorEastAsia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Office_12.8.2.19823_F1E327BC-269C-435d-A152-05C5408002CA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ᶫᵒᵛᵉᵧₒᵤ </cp:lastModifiedBy>
  <dcterms:modified xsi:type="dcterms:W3CDTF">2026-10-03T06:16:48Z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2052-12.8.2.19823</vt:lpwstr>
  </property>
  <property fmtid="{D5CDD505-2E9C-101B-9397-08002B2CF9AE}" pid="3" name="ICV">
    <vt:lpwstr>24624C586C364D11A12984BAF2241B35_12</vt:lpwstr>
  </property>
</Properties>
</file>