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BF84A">
      <w:pPr>
        <w:pStyle w:val="3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贵州茅台研报草稿 · 错误注入答案标注册（评测组专用，勿随草稿分发）</w:t>
      </w:r>
    </w:p>
    <w:p w14:paraId="0997EFAF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原始材料：《贵州茅台酒股份有限公司2024年年度报告》（共143页，单位：元，币种：人民币）</w:t>
      </w:r>
      <w:bookmarkStart w:id="0" w:name="_GoBack"/>
      <w:bookmarkEnd w:id="0"/>
      <w:r>
        <w:rPr>
          <w:rFonts w:hint="eastAsia" w:ascii="KaiTi" w:hAnsi="KaiTi" w:eastAsia="KaiTi" w:cs="KaiTi"/>
        </w:rPr>
        <w:t>，下载来源：巨潮资讯网 finalpage/2025-04-03/1222993920.PDF。下表共植入 13 条错误，覆盖 E01–E10 全部错误类型。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791"/>
        <w:gridCol w:w="1180"/>
        <w:gridCol w:w="1594"/>
        <w:gridCol w:w="2444"/>
        <w:gridCol w:w="2020"/>
        <w:gridCol w:w="374"/>
      </w:tblGrid>
      <w:tr w14:paraId="66AAB9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453" w:type="dxa"/>
          </w:tcPr>
          <w:p w14:paraId="7E0E688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编号</w:t>
            </w:r>
          </w:p>
        </w:tc>
        <w:tc>
          <w:tcPr>
            <w:tcW w:w="791" w:type="dxa"/>
          </w:tcPr>
          <w:p w14:paraId="3AD1252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错误类型</w:t>
            </w:r>
          </w:p>
        </w:tc>
        <w:tc>
          <w:tcPr>
            <w:tcW w:w="1180" w:type="dxa"/>
          </w:tcPr>
          <w:p w14:paraId="7EB00FF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草稿原文（错误）</w:t>
            </w:r>
          </w:p>
        </w:tc>
        <w:tc>
          <w:tcPr>
            <w:tcW w:w="1594" w:type="dxa"/>
          </w:tcPr>
          <w:p w14:paraId="21070DD3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正确值/正确表述</w:t>
            </w:r>
          </w:p>
        </w:tc>
        <w:tc>
          <w:tcPr>
            <w:tcW w:w="2444" w:type="dxa"/>
          </w:tcPr>
          <w:p w14:paraId="69A4222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原始材料定位（文件·页·表·行）</w:t>
            </w:r>
          </w:p>
        </w:tc>
        <w:tc>
          <w:tcPr>
            <w:tcW w:w="2020" w:type="dxa"/>
          </w:tcPr>
          <w:p w14:paraId="380F897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修改建议（可执行）</w:t>
            </w:r>
          </w:p>
        </w:tc>
        <w:tc>
          <w:tcPr>
            <w:tcW w:w="374" w:type="dxa"/>
          </w:tcPr>
          <w:p w14:paraId="2CCC9EF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严重度</w:t>
            </w:r>
          </w:p>
        </w:tc>
      </w:tr>
      <w:tr w14:paraId="4A6A59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141B8A6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X01</w:t>
            </w:r>
          </w:p>
        </w:tc>
        <w:tc>
          <w:tcPr>
            <w:tcW w:w="791" w:type="dxa"/>
          </w:tcPr>
          <w:p w14:paraId="7F05233A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E01 核心数值错误</w:t>
            </w:r>
          </w:p>
        </w:tc>
        <w:tc>
          <w:tcPr>
            <w:tcW w:w="1180" w:type="dxa"/>
          </w:tcPr>
          <w:p w14:paraId="43BBAE1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归母净利润868.28亿元</w:t>
            </w:r>
          </w:p>
        </w:tc>
        <w:tc>
          <w:tcPr>
            <w:tcW w:w="1594" w:type="dxa"/>
          </w:tcPr>
          <w:p w14:paraId="2927291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862.28亿元（86,228,146,421.62元）</w:t>
            </w:r>
          </w:p>
        </w:tc>
        <w:tc>
          <w:tcPr>
            <w:tcW w:w="2444" w:type="dxa"/>
          </w:tcPr>
          <w:p w14:paraId="4F9264F6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年报P5“主要会计数据”表；P63合并利润表</w:t>
            </w:r>
          </w:p>
        </w:tc>
        <w:tc>
          <w:tcPr>
            <w:tcW w:w="2020" w:type="dxa"/>
          </w:tcPr>
          <w:p w14:paraId="4BC002C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将“868.28亿元”改为“862.28亿元”。</w:t>
            </w:r>
          </w:p>
        </w:tc>
        <w:tc>
          <w:tcPr>
            <w:tcW w:w="374" w:type="dxa"/>
          </w:tcPr>
          <w:p w14:paraId="2253E11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高</w:t>
            </w:r>
          </w:p>
        </w:tc>
      </w:tr>
      <w:tr w14:paraId="721F48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7F765C13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X02</w:t>
            </w:r>
          </w:p>
        </w:tc>
        <w:tc>
          <w:tcPr>
            <w:tcW w:w="791" w:type="dxa"/>
          </w:tcPr>
          <w:p w14:paraId="30656B86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E05 统计口径错误</w:t>
            </w:r>
          </w:p>
        </w:tc>
        <w:tc>
          <w:tcPr>
            <w:tcW w:w="1180" w:type="dxa"/>
          </w:tcPr>
          <w:p w14:paraId="53747919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营业收入1,741.44亿元</w:t>
            </w:r>
          </w:p>
        </w:tc>
        <w:tc>
          <w:tcPr>
            <w:tcW w:w="1594" w:type="dxa"/>
          </w:tcPr>
          <w:p w14:paraId="4F28191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1,741.44亿元是“营业总收入”；“营业收入”应为1,708.99亿元（170,899,152,276.34元）</w:t>
            </w:r>
          </w:p>
        </w:tc>
        <w:tc>
          <w:tcPr>
            <w:tcW w:w="2444" w:type="dxa"/>
          </w:tcPr>
          <w:p w14:paraId="4929E69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年报P5主要会计数据表（营业收入行）；P63合并利润表“一、营业总收入/其中：营业收入”</w:t>
            </w:r>
          </w:p>
        </w:tc>
        <w:tc>
          <w:tcPr>
            <w:tcW w:w="2020" w:type="dxa"/>
          </w:tcPr>
          <w:p w14:paraId="46DEE2C7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若指营业收入则改为1,708.99亿元；若用营业总收入则指标名改为“营业总收入”，二者不可混用。</w:t>
            </w:r>
          </w:p>
        </w:tc>
        <w:tc>
          <w:tcPr>
            <w:tcW w:w="374" w:type="dxa"/>
          </w:tcPr>
          <w:p w14:paraId="6FCF6546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高</w:t>
            </w:r>
          </w:p>
        </w:tc>
      </w:tr>
      <w:tr w14:paraId="6C5193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40E645C7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X03</w:t>
            </w:r>
          </w:p>
        </w:tc>
        <w:tc>
          <w:tcPr>
            <w:tcW w:w="791" w:type="dxa"/>
          </w:tcPr>
          <w:p w14:paraId="2500855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E05 统计口径错误</w:t>
            </w:r>
          </w:p>
        </w:tc>
        <w:tc>
          <w:tcPr>
            <w:tcW w:w="1180" w:type="dxa"/>
          </w:tcPr>
          <w:p w14:paraId="694A6E5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扣非归母净利润862.28亿元</w:t>
            </w:r>
          </w:p>
        </w:tc>
        <w:tc>
          <w:tcPr>
            <w:tcW w:w="1594" w:type="dxa"/>
          </w:tcPr>
          <w:p w14:paraId="6B33C29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扣非归母净利润应为862.41亿元（86,240,905,977.42元）；862.28亿是“归母净利润”</w:t>
            </w:r>
          </w:p>
        </w:tc>
        <w:tc>
          <w:tcPr>
            <w:tcW w:w="2444" w:type="dxa"/>
          </w:tcPr>
          <w:p w14:paraId="4E4304FA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年报P5主要会计数据表“扣除非经常性损益的净利润”行</w:t>
            </w:r>
          </w:p>
        </w:tc>
        <w:tc>
          <w:tcPr>
            <w:tcW w:w="2020" w:type="dxa"/>
          </w:tcPr>
          <w:p w14:paraId="6B43D257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将扣非数值改为862.41亿元，并与归母净利润862.28亿元区分表述。</w:t>
            </w:r>
          </w:p>
        </w:tc>
        <w:tc>
          <w:tcPr>
            <w:tcW w:w="374" w:type="dxa"/>
          </w:tcPr>
          <w:p w14:paraId="116C69D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中</w:t>
            </w:r>
          </w:p>
        </w:tc>
      </w:tr>
      <w:tr w14:paraId="68BD5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1546C2B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X04</w:t>
            </w:r>
          </w:p>
        </w:tc>
        <w:tc>
          <w:tcPr>
            <w:tcW w:w="791" w:type="dxa"/>
          </w:tcPr>
          <w:p w14:paraId="7581AF4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E07 引用错误</w:t>
            </w:r>
          </w:p>
        </w:tc>
        <w:tc>
          <w:tcPr>
            <w:tcW w:w="1180" w:type="dxa"/>
          </w:tcPr>
          <w:p w14:paraId="4EAD1535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“第32页，合并资产负债表”</w:t>
            </w:r>
          </w:p>
        </w:tc>
        <w:tc>
          <w:tcPr>
            <w:tcW w:w="1594" w:type="dxa"/>
          </w:tcPr>
          <w:p w14:paraId="41D878C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该利润数据位于年报P5“主要会计数据”表、P63“合并利润表”，不在P32，更不在资产负债表</w:t>
            </w:r>
          </w:p>
        </w:tc>
        <w:tc>
          <w:tcPr>
            <w:tcW w:w="2444" w:type="dxa"/>
          </w:tcPr>
          <w:p w14:paraId="2CDFB089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年报P5；P63合并利润表</w:t>
            </w:r>
          </w:p>
        </w:tc>
        <w:tc>
          <w:tcPr>
            <w:tcW w:w="2020" w:type="dxa"/>
          </w:tcPr>
          <w:p w14:paraId="70D90A29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引用改为“数据来源：2024年年度报告第5页主要会计数据表（及P63合并利润表）”。</w:t>
            </w:r>
          </w:p>
        </w:tc>
        <w:tc>
          <w:tcPr>
            <w:tcW w:w="374" w:type="dxa"/>
          </w:tcPr>
          <w:p w14:paraId="2FC511B2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高</w:t>
            </w:r>
          </w:p>
        </w:tc>
      </w:tr>
      <w:tr w14:paraId="703D84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659EA9F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X05</w:t>
            </w:r>
          </w:p>
        </w:tc>
        <w:tc>
          <w:tcPr>
            <w:tcW w:w="791" w:type="dxa"/>
          </w:tcPr>
          <w:p w14:paraId="5D6CDC8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E03 单位错误</w:t>
            </w:r>
          </w:p>
        </w:tc>
        <w:tc>
          <w:tcPr>
            <w:tcW w:w="1180" w:type="dxa"/>
          </w:tcPr>
          <w:p w14:paraId="4514BBA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总资产2,989.45万元</w:t>
            </w:r>
          </w:p>
        </w:tc>
        <w:tc>
          <w:tcPr>
            <w:tcW w:w="1594" w:type="dxa"/>
          </w:tcPr>
          <w:p w14:paraId="40FD10E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2,989.45亿元（298,944,579,918.70元）</w:t>
            </w:r>
          </w:p>
        </w:tc>
        <w:tc>
          <w:tcPr>
            <w:tcW w:w="2444" w:type="dxa"/>
          </w:tcPr>
          <w:p w14:paraId="081FA67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年报P5主要会计数据表“总资产”行</w:t>
            </w:r>
          </w:p>
        </w:tc>
        <w:tc>
          <w:tcPr>
            <w:tcW w:w="2020" w:type="dxa"/>
          </w:tcPr>
          <w:p w14:paraId="62A8C255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将“万元”改为“亿元”，数量级差1万倍。</w:t>
            </w:r>
          </w:p>
        </w:tc>
        <w:tc>
          <w:tcPr>
            <w:tcW w:w="374" w:type="dxa"/>
          </w:tcPr>
          <w:p w14:paraId="363CD9F9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高</w:t>
            </w:r>
          </w:p>
        </w:tc>
      </w:tr>
      <w:tr w14:paraId="572DAE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57F028D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X06</w:t>
            </w:r>
          </w:p>
        </w:tc>
        <w:tc>
          <w:tcPr>
            <w:tcW w:w="791" w:type="dxa"/>
          </w:tcPr>
          <w:p w14:paraId="102DE5E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E02 计算错误</w:t>
            </w:r>
          </w:p>
        </w:tc>
        <w:tc>
          <w:tcPr>
            <w:tcW w:w="1180" w:type="dxa"/>
          </w:tcPr>
          <w:p w14:paraId="5443D9C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综合毛利率约91.18%</w:t>
            </w:r>
          </w:p>
        </w:tc>
        <w:tc>
          <w:tcPr>
            <w:tcW w:w="1594" w:type="dxa"/>
          </w:tcPr>
          <w:p w14:paraId="27189E8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2024年实际毛利率=(营业收入-营业成本)/营业收入=(170,899,152,276.34-13,789,482,367.98)/170,899,152,276.34≈91.93%；91.18%为预测期数值</w:t>
            </w:r>
          </w:p>
        </w:tc>
        <w:tc>
          <w:tcPr>
            <w:tcW w:w="2444" w:type="dxa"/>
          </w:tcPr>
          <w:p w14:paraId="5EEF3D73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年报P8利润表科目变动表（营业成本137.89亿）；P63合并利润表</w:t>
            </w:r>
          </w:p>
        </w:tc>
        <w:tc>
          <w:tcPr>
            <w:tcW w:w="2020" w:type="dxa"/>
          </w:tcPr>
          <w:p w14:paraId="5F46BD4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将“91.18%”改为“约91.93%”，并注明按营业收入口径计算。</w:t>
            </w:r>
          </w:p>
        </w:tc>
        <w:tc>
          <w:tcPr>
            <w:tcW w:w="374" w:type="dxa"/>
          </w:tcPr>
          <w:p w14:paraId="327E4C7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中</w:t>
            </w:r>
          </w:p>
        </w:tc>
      </w:tr>
      <w:tr w14:paraId="05F675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696FAAB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X07</w:t>
            </w:r>
          </w:p>
        </w:tc>
        <w:tc>
          <w:tcPr>
            <w:tcW w:w="791" w:type="dxa"/>
          </w:tcPr>
          <w:p w14:paraId="12EBE905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E03 单位错误</w:t>
            </w:r>
          </w:p>
        </w:tc>
        <w:tc>
          <w:tcPr>
            <w:tcW w:w="1180" w:type="dxa"/>
          </w:tcPr>
          <w:p w14:paraId="1E6D2D6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基本每股收益68.64亿元</w:t>
            </w:r>
          </w:p>
        </w:tc>
        <w:tc>
          <w:tcPr>
            <w:tcW w:w="1594" w:type="dxa"/>
          </w:tcPr>
          <w:p w14:paraId="0FF1FDE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基本每股收益68.64元/股（非“亿元”）</w:t>
            </w:r>
          </w:p>
        </w:tc>
        <w:tc>
          <w:tcPr>
            <w:tcW w:w="2444" w:type="dxa"/>
          </w:tcPr>
          <w:p w14:paraId="79902FC8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年报P5主要财务指标“基本每股收益”行</w:t>
            </w:r>
          </w:p>
        </w:tc>
        <w:tc>
          <w:tcPr>
            <w:tcW w:w="2020" w:type="dxa"/>
          </w:tcPr>
          <w:p w14:paraId="0BCB35E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将单位由“亿元”改为“元/股”。</w:t>
            </w:r>
          </w:p>
        </w:tc>
        <w:tc>
          <w:tcPr>
            <w:tcW w:w="374" w:type="dxa"/>
          </w:tcPr>
          <w:p w14:paraId="6C70A06A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中</w:t>
            </w:r>
          </w:p>
        </w:tc>
      </w:tr>
      <w:tr w14:paraId="6054E8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34CBF61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X08</w:t>
            </w:r>
          </w:p>
        </w:tc>
        <w:tc>
          <w:tcPr>
            <w:tcW w:w="791" w:type="dxa"/>
          </w:tcPr>
          <w:p w14:paraId="3363FF97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E06 方向性错误</w:t>
            </w:r>
          </w:p>
        </w:tc>
        <w:tc>
          <w:tcPr>
            <w:tcW w:w="1180" w:type="dxa"/>
          </w:tcPr>
          <w:p w14:paraId="79E9DFD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销售费用同比亦有所下降</w:t>
            </w:r>
          </w:p>
        </w:tc>
        <w:tc>
          <w:tcPr>
            <w:tcW w:w="1594" w:type="dxa"/>
          </w:tcPr>
          <w:p w14:paraId="5606894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销售费用56.39亿元，同比+21.31%（上升，非下降）</w:t>
            </w:r>
          </w:p>
        </w:tc>
        <w:tc>
          <w:tcPr>
            <w:tcW w:w="2444" w:type="dxa"/>
          </w:tcPr>
          <w:p w14:paraId="54A7D9A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年报P8利润表科目变动分析表（销售费用变动比例21.31%）</w:t>
            </w:r>
          </w:p>
        </w:tc>
        <w:tc>
          <w:tcPr>
            <w:tcW w:w="2020" w:type="dxa"/>
          </w:tcPr>
          <w:p w14:paraId="2CF54738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改为“销售费用同比增长21.31%，主要系市场推广及服务费增加”。</w:t>
            </w:r>
          </w:p>
        </w:tc>
        <w:tc>
          <w:tcPr>
            <w:tcW w:w="374" w:type="dxa"/>
          </w:tcPr>
          <w:p w14:paraId="1C41FA3A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高</w:t>
            </w:r>
          </w:p>
        </w:tc>
      </w:tr>
      <w:tr w14:paraId="29FA06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5F90487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X09</w:t>
            </w:r>
          </w:p>
        </w:tc>
        <w:tc>
          <w:tcPr>
            <w:tcW w:w="791" w:type="dxa"/>
          </w:tcPr>
          <w:p w14:paraId="77BE0C9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E04 期间错误</w:t>
            </w:r>
          </w:p>
        </w:tc>
        <w:tc>
          <w:tcPr>
            <w:tcW w:w="1180" w:type="dxa"/>
          </w:tcPr>
          <w:p w14:paraId="78DA1A0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2023年归母净利润同比增长15.38%</w:t>
            </w:r>
          </w:p>
        </w:tc>
        <w:tc>
          <w:tcPr>
            <w:tcW w:w="1594" w:type="dxa"/>
          </w:tcPr>
          <w:p w14:paraId="37C4E59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15.38%是2024年增速；2023年归母净利润747.34亿元对应增速≈19.16%</w:t>
            </w:r>
          </w:p>
        </w:tc>
        <w:tc>
          <w:tcPr>
            <w:tcW w:w="2444" w:type="dxa"/>
          </w:tcPr>
          <w:p w14:paraId="4225EFE2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年报P5主要会计数据表（2023年747.34亿、2022年627.17亿）</w:t>
            </w:r>
          </w:p>
        </w:tc>
        <w:tc>
          <w:tcPr>
            <w:tcW w:w="2020" w:type="dxa"/>
          </w:tcPr>
          <w:p w14:paraId="1D1F7F29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将“2023年…同比增长15.38%”改为“2024年同比增长15.38%”，或把2023年增速重算为约19.16%。</w:t>
            </w:r>
          </w:p>
        </w:tc>
        <w:tc>
          <w:tcPr>
            <w:tcW w:w="374" w:type="dxa"/>
          </w:tcPr>
          <w:p w14:paraId="4247010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中</w:t>
            </w:r>
          </w:p>
        </w:tc>
      </w:tr>
      <w:tr w14:paraId="270DDE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4AF2926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X10</w:t>
            </w:r>
          </w:p>
        </w:tc>
        <w:tc>
          <w:tcPr>
            <w:tcW w:w="791" w:type="dxa"/>
          </w:tcPr>
          <w:p w14:paraId="11857AB7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E08 主体/口径错误</w:t>
            </w:r>
          </w:p>
        </w:tc>
        <w:tc>
          <w:tcPr>
            <w:tcW w:w="1180" w:type="dxa"/>
          </w:tcPr>
          <w:p w14:paraId="7AD79782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母公司报表口径下，2024年净利润约862.28亿元</w:t>
            </w:r>
          </w:p>
        </w:tc>
        <w:tc>
          <w:tcPr>
            <w:tcW w:w="1594" w:type="dxa"/>
          </w:tcPr>
          <w:p w14:paraId="7CA2606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862.28亿元是“合并报表归属于母公司股东的净利润”，并非母公司（本部）报表净利润；两者口径不同不可混用</w:t>
            </w:r>
          </w:p>
        </w:tc>
        <w:tc>
          <w:tcPr>
            <w:tcW w:w="2444" w:type="dxa"/>
          </w:tcPr>
          <w:p w14:paraId="055CCD2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年报P5（合并口径）；母公司利润表在财务报告附注部分</w:t>
            </w:r>
          </w:p>
        </w:tc>
        <w:tc>
          <w:tcPr>
            <w:tcW w:w="2020" w:type="dxa"/>
          </w:tcPr>
          <w:p w14:paraId="56E9B79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改为“合并报表口径下归属于上市公司股东的净利润862.28亿元”，删除“母公司报表口径”表述。</w:t>
            </w:r>
          </w:p>
        </w:tc>
        <w:tc>
          <w:tcPr>
            <w:tcW w:w="374" w:type="dxa"/>
          </w:tcPr>
          <w:p w14:paraId="568CE33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高</w:t>
            </w:r>
          </w:p>
        </w:tc>
      </w:tr>
      <w:tr w14:paraId="3B5856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6BFC890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X11</w:t>
            </w:r>
          </w:p>
        </w:tc>
        <w:tc>
          <w:tcPr>
            <w:tcW w:w="791" w:type="dxa"/>
          </w:tcPr>
          <w:p w14:paraId="066F7E46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E01/E02 估值倍数错误</w:t>
            </w:r>
          </w:p>
        </w:tc>
        <w:tc>
          <w:tcPr>
            <w:tcW w:w="1180" w:type="dxa"/>
          </w:tcPr>
          <w:p w14:paraId="2110D915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动态PE约25.2倍</w:t>
            </w:r>
          </w:p>
        </w:tc>
        <w:tc>
          <w:tcPr>
            <w:tcW w:w="1594" w:type="dxa"/>
          </w:tcPr>
          <w:p w14:paraId="7B5B1BB5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按2024A EPS 68.64元/股、当前股价约1,342元测算，PE≈19.6倍；25.2倍与EPS/股价不自洽</w:t>
            </w:r>
          </w:p>
        </w:tc>
        <w:tc>
          <w:tcPr>
            <w:tcW w:w="2444" w:type="dxa"/>
          </w:tcPr>
          <w:p w14:paraId="1F0DA8F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年报P5 EPS 68.64元；股价取研报发布日收盘价（需另存股价快照）</w:t>
            </w:r>
          </w:p>
        </w:tc>
        <w:tc>
          <w:tcPr>
            <w:tcW w:w="2020" w:type="dxa"/>
          </w:tcPr>
          <w:p w14:paraId="0DE026F3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将PE改为约19.6倍，并核对“市值=股价×股本”与“PE=市值/归母净利润”的勾稽。</w:t>
            </w:r>
          </w:p>
        </w:tc>
        <w:tc>
          <w:tcPr>
            <w:tcW w:w="374" w:type="dxa"/>
          </w:tcPr>
          <w:p w14:paraId="4179AF7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高</w:t>
            </w:r>
          </w:p>
        </w:tc>
      </w:tr>
      <w:tr w14:paraId="1E6095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770B5E8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X12</w:t>
            </w:r>
          </w:p>
        </w:tc>
        <w:tc>
          <w:tcPr>
            <w:tcW w:w="791" w:type="dxa"/>
          </w:tcPr>
          <w:p w14:paraId="10C5B0B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E10 表述不严谨</w:t>
            </w:r>
          </w:p>
        </w:tc>
        <w:tc>
          <w:tcPr>
            <w:tcW w:w="1180" w:type="dxa"/>
          </w:tcPr>
          <w:p w14:paraId="7A5954B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公司2025年业绩必将持续保持双位数增长</w:t>
            </w:r>
          </w:p>
        </w:tc>
        <w:tc>
          <w:tcPr>
            <w:tcW w:w="1594" w:type="dxa"/>
          </w:tcPr>
          <w:p w14:paraId="33F19AD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盈利预测属判断，应使用“我们预计/预测”，且“必将”过于绝对；公司2025年收入增长目标已下调至9%左右</w:t>
            </w:r>
          </w:p>
        </w:tc>
        <w:tc>
          <w:tcPr>
            <w:tcW w:w="2444" w:type="dxa"/>
          </w:tcPr>
          <w:p w14:paraId="56DDC2E8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年报P8“报告期内主要经营情况”（2025年营业总收入增长目标定为9%左右）</w:t>
            </w:r>
          </w:p>
        </w:tc>
        <w:tc>
          <w:tcPr>
            <w:tcW w:w="2020" w:type="dxa"/>
          </w:tcPr>
          <w:p w14:paraId="4AA932A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改为“我们预计2025年公司收入增速约中高个位数，需跟踪需求恢复”，区分事实与预测。</w:t>
            </w:r>
          </w:p>
        </w:tc>
        <w:tc>
          <w:tcPr>
            <w:tcW w:w="374" w:type="dxa"/>
          </w:tcPr>
          <w:p w14:paraId="5977518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中</w:t>
            </w:r>
          </w:p>
        </w:tc>
      </w:tr>
      <w:tr w14:paraId="0B5E6F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" w:type="dxa"/>
          </w:tcPr>
          <w:p w14:paraId="4CC34596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X13</w:t>
            </w:r>
          </w:p>
        </w:tc>
        <w:tc>
          <w:tcPr>
            <w:tcW w:w="791" w:type="dxa"/>
          </w:tcPr>
          <w:p w14:paraId="2206915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E09 遗漏风险</w:t>
            </w:r>
          </w:p>
        </w:tc>
        <w:tc>
          <w:tcPr>
            <w:tcW w:w="1180" w:type="dxa"/>
          </w:tcPr>
          <w:p w14:paraId="5363D72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（通篇强调高增长、回款强，未提示增速放缓与费用上升风险）</w:t>
            </w:r>
          </w:p>
        </w:tc>
        <w:tc>
          <w:tcPr>
            <w:tcW w:w="1594" w:type="dxa"/>
          </w:tcPr>
          <w:p w14:paraId="03135036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年报P8已披露2025年营业总收入增长目标定为9%左右（显著低于2024年15.66%），且2024年销售费用+21.31%，草稿却称“无隐忧”</w:t>
            </w:r>
          </w:p>
        </w:tc>
        <w:tc>
          <w:tcPr>
            <w:tcW w:w="2444" w:type="dxa"/>
          </w:tcPr>
          <w:p w14:paraId="30931DB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年报P8（2025年增长目标9%左右；销售费用+21.31%）</w:t>
            </w:r>
          </w:p>
        </w:tc>
        <w:tc>
          <w:tcPr>
            <w:tcW w:w="2020" w:type="dxa"/>
          </w:tcPr>
          <w:p w14:paraId="2E020D6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在风险提示中补充“2025年收入增长目标下调至约9%、销售费用同比+21.31%，存在增速放缓与投放加大风险”。</w:t>
            </w:r>
          </w:p>
        </w:tc>
        <w:tc>
          <w:tcPr>
            <w:tcW w:w="374" w:type="dxa"/>
          </w:tcPr>
          <w:p w14:paraId="294B6A43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中</w:t>
            </w:r>
          </w:p>
        </w:tc>
      </w:tr>
    </w:tbl>
    <w:p w14:paraId="0B85345D"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给智能体评测的使用说明</w:t>
      </w:r>
    </w:p>
    <w:p w14:paraId="299742DF">
      <w:pPr>
        <w:pStyle w:val="16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1. 把《01_研究报告草稿_含植入错误.docx》连同《贵州茅台2024年年度报告_中文.pdf》一起作为输入喂给被测系统。</w:t>
      </w:r>
    </w:p>
    <w:p w14:paraId="61C88944">
      <w:pPr>
        <w:pStyle w:val="16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2. 标准答案即本表13条；系统应输出 claim_id、错误句子、错误类型、正确值、年报页码/表名、修改建议。</w:t>
      </w:r>
    </w:p>
    <w:p w14:paraId="2DE3D11C">
      <w:pPr>
        <w:pStyle w:val="16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3. 评测指标：Recall=命中条数/13；Precision=系统报出的真错误/(真错误+误报)；证据定位准确率=页码+表名都正确的比例。</w:t>
      </w:r>
    </w:p>
    <w:p w14:paraId="15FC6283">
      <w:pPr>
        <w:pStyle w:val="16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4. 注意：草稿中“经营现金流924.64亿+38.85%”“归母净资产2331.06亿”“管理费用-4.25%”“2023归母747.34亿”是【正确】表述，系统若报为错误即为误报，用于误报控制测试。</w:t>
      </w:r>
    </w:p>
    <w:p w14:paraId="609895B7">
      <w:pPr>
        <w:pStyle w:val="16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5. 2025E/2026E/2027E为预测值，年报中不存在，不得判为错误；仅可检查其内部勾稽（EPS×股本≈净利润、PE=市值/EPS）。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WMono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62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ᶫᵒᵛᵉᵧₒᵤ </cp:lastModifiedBy>
  <dcterms:modified xsi:type="dcterms:W3CDTF">2026-10-03T06:18:12Z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63AF16508CA546A9B2A3DD1C0E152621_12</vt:lpwstr>
  </property>
</Properties>
</file>