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ce3772f4a96f3cbab0dae495e6334c47f2d1706"/>
    <w:p>
      <w:pPr>
        <w:pStyle w:val="Heading1"/>
      </w:pPr>
      <w:r>
        <w:t xml:space="preserve">AI Accelerator Landscape &amp; Strategic Analysis 2026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2, 2026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The Physics of Dominance &amp; The Strategic Rationale for Market Consolidation</w:t>
      </w:r>
    </w:p>
    <w:p>
      <w:r>
        <w:pict>
          <v:rect style="width:0;height:1.5pt" o:hralign="center" o:hrstd="t" o:hr="t"/>
        </w:pict>
      </w:r>
    </w:p>
    <w:bookmarkStart w:id="13" w:name="chapter-1-the-status-quo"/>
    <w:p>
      <w:pPr>
        <w:pStyle w:val="Heading2"/>
      </w:pPr>
      <w:r>
        <w:t xml:space="preserve">Chapter 1: The Status Quo</w:t>
      </w:r>
    </w:p>
    <w:bookmarkStart w:id="12" w:name="the-illusion-of-dominance"/>
    <w:p>
      <w:pPr>
        <w:pStyle w:val="Heading3"/>
      </w:pPr>
      <w:r>
        <w:t xml:space="preserve">The Illusion of Dominance</w:t>
      </w:r>
    </w:p>
    <w:p>
      <w:pPr>
        <w:pStyle w:val="FirstParagraph"/>
      </w:pPr>
      <w:r>
        <w:t xml:space="preserve">At first glance, the AI hardware market in early 2026 appears to be a undisputed monarchy. NVIDIA’s H100 and B200 series accelerators seemingly crush all opposition in terms of Performance-per-Watt, which is the primary metric for Data Center TCO (Total Cost of Ownership).</w:t>
      </w:r>
    </w:p>
    <w:p>
      <w:pPr>
        <w:pStyle w:val="BodyText"/>
      </w:pPr>
      <w:r>
        <w:rPr>
          <w:b/>
          <w:bCs/>
        </w:rPr>
        <w:t xml:space="preserve">The Status Quo: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NVIDIA:</w:t>
      </w:r>
      <w:r>
        <w:t xml:space="preserve"> </w:t>
      </w:r>
      <w:r>
        <w:t xml:space="preserve">Occupies the</w:t>
      </w:r>
      <w:r>
        <w:t xml:space="preserve"> </w:t>
      </w:r>
      <w:r>
        <w:t xml:space="preserve">“high ground”</w:t>
      </w:r>
      <w:r>
        <w:t xml:space="preserve"> </w:t>
      </w:r>
      <w:r>
        <w:t xml:space="preserve">with vastly superior efficiency (&gt;2.5 TFLOPS/W).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Competitors:</w:t>
      </w:r>
      <w:r>
        <w:t xml:space="preserve"> </w:t>
      </w:r>
      <w:r>
        <w:t xml:space="preserve">Deterministic architectures like</w:t>
      </w:r>
      <w:r>
        <w:t xml:space="preserve"> </w:t>
      </w:r>
      <w:r>
        <w:rPr>
          <w:b/>
          <w:bCs/>
        </w:rPr>
        <w:t xml:space="preserve">Groq</w:t>
      </w:r>
      <w:r>
        <w:t xml:space="preserve"> </w:t>
      </w:r>
      <w:r>
        <w:t xml:space="preserve">and RISC-V grids like</w:t>
      </w:r>
      <w:r>
        <w:t xml:space="preserve"> </w:t>
      </w:r>
      <w:r>
        <w:rPr>
          <w:b/>
          <w:bCs/>
        </w:rPr>
        <w:t xml:space="preserve">Tenstorrent</w:t>
      </w:r>
      <w:r>
        <w:t xml:space="preserve"> </w:t>
      </w:r>
      <w:r>
        <w:t xml:space="preserve">appear to lag significantly, struggling to break the 1.0 TFLOPS/W barrier in standard precision.</w:t>
      </w:r>
    </w:p>
    <w:p>
      <w:pPr>
        <w:pStyle w:val="BodyText"/>
      </w:pPr>
      <w:r>
        <w:drawing>
          <wp:inline>
            <wp:extent cx="5486400" cy="3200399"/>
            <wp:effectExtent b="0" l="0" r="0" t="0"/>
            <wp:docPr descr="Status Quo Landscape" title="" id="10" name="Picture"/>
            <a:graphic>
              <a:graphicData uri="http://schemas.openxmlformats.org/drawingml/2006/picture">
                <pic:pic>
                  <pic:nvPicPr>
                    <pic:cNvPr descr="step1_status_qu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1: The Apparent Landscape. Competitors (blue/orange) are clustered in the low-efficiency zone, while NVIDIA (green) dominates the high-efficiency frontier.</w:t>
      </w:r>
    </w:p>
    <w:p>
      <w:pPr>
        <w:pStyle w:val="BodyText"/>
      </w:pPr>
      <w:r>
        <w:t xml:space="preserve">To the average observer (or investor), this validates NVIDIA’s superior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. However, this conclusion is critically flawed because it ignores the denominator:</w:t>
      </w:r>
      <w:r>
        <w:t xml:space="preserve"> </w:t>
      </w:r>
      <w:r>
        <w:rPr>
          <w:b/>
          <w:bCs/>
        </w:rPr>
        <w:t xml:space="preserve">Physics.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chapter-2-the-physics-of-critical-size"/>
    <w:p>
      <w:pPr>
        <w:pStyle w:val="Heading2"/>
      </w:pPr>
      <w:r>
        <w:t xml:space="preserve">Chapter 2: The Physics of Critical Size</w:t>
      </w:r>
    </w:p>
    <w:bookmarkStart w:id="17" w:name="the-immutable-law-of-scale"/>
    <w:p>
      <w:pPr>
        <w:pStyle w:val="Heading3"/>
      </w:pPr>
      <w:r>
        <w:t xml:space="preserve">The Immutable Law of Scale</w:t>
      </w:r>
    </w:p>
    <w:p>
      <w:pPr>
        <w:pStyle w:val="FirstParagraph"/>
      </w:pPr>
      <w:r>
        <w:t xml:space="preserve">When we peel back the layer of</w:t>
      </w:r>
      <w:r>
        <w:t xml:space="preserve"> </w:t>
      </w:r>
      <w:r>
        <w:t xml:space="preserve">“Product Marketing”</w:t>
      </w:r>
      <w:r>
        <w:t xml:space="preserve"> </w:t>
      </w:r>
      <w:r>
        <w:t xml:space="preserve">and look at</w:t>
      </w:r>
      <w:r>
        <w:t xml:space="preserve"> </w:t>
      </w:r>
      <w:r>
        <w:t xml:space="preserve">“Semiconductor Physics,”</w:t>
      </w:r>
      <w:r>
        <w:t xml:space="preserve"> </w:t>
      </w:r>
      <w:r>
        <w:t xml:space="preserve">a different pattern emerges. By tracing NVIDIA’s own lineage from Pascal (16nm) to Blackwell (4nm), we find that their brilliance lies in consistently harvesting the benefits of Moore’s Law.</w:t>
      </w:r>
    </w:p>
    <w:p>
      <w:pPr>
        <w:pStyle w:val="BodyText"/>
      </w:pPr>
      <w:r>
        <w:t xml:space="preserve">Our regression analysis reveals a strict power law governing AI efficiency: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Efficiency</m:t>
          </m:r>
          <m:r>
            <m:rPr>
              <m:sty m:val="p"/>
            </m:rPr>
            <m:t>∝</m:t>
          </m:r>
          <m:sSup>
            <m:e>
              <m:r>
                <m:rPr>
                  <m:nor/>
                  <m:sty m:val="p"/>
                </m:rPr>
                <m:t>ProcessNode</m:t>
              </m:r>
            </m:e>
            <m:sup>
              <m:r>
                <m:rPr>
                  <m:sty m:val="p"/>
                </m:rPr>
                <m:t>−</m:t>
              </m:r>
              <m:r>
                <m:t>2.05</m:t>
              </m:r>
            </m:sup>
          </m:sSup>
        </m:oMath>
      </m:oMathPara>
    </w:p>
    <w:p>
      <w:pPr>
        <w:pStyle w:val="FirstParagraph"/>
      </w:pPr>
      <w:r>
        <w:t xml:space="preserve">This means that for every</w:t>
      </w:r>
      <w:r>
        <w:t xml:space="preserve"> </w:t>
      </w:r>
      <w:r>
        <w:rPr>
          <w:b/>
          <w:bCs/>
        </w:rPr>
        <w:t xml:space="preserve">50% reduction in transistor feature size</w:t>
      </w:r>
      <w:r>
        <w:t xml:space="preserve">, power efficiency improves by roughly</w:t>
      </w:r>
      <w:r>
        <w:t xml:space="preserve"> </w:t>
      </w:r>
      <w:r>
        <w:rPr>
          <w:b/>
          <w:bCs/>
        </w:rPr>
        <w:t xml:space="preserve">400%</w:t>
      </w:r>
      <w:r>
        <w:t xml:space="preserve">.</w:t>
      </w:r>
    </w:p>
    <w:p>
      <w:pPr>
        <w:pStyle w:val="BodyText"/>
      </w:pPr>
      <w:r>
        <w:drawing>
          <wp:inline>
            <wp:extent cx="5486400" cy="3200399"/>
            <wp:effectExtent b="0" l="0" r="0" t="0"/>
            <wp:docPr descr="Physics Law" title="" id="15" name="Picture"/>
            <a:graphic>
              <a:graphicData uri="http://schemas.openxmlformats.org/drawingml/2006/picture">
                <pic:pic>
                  <pic:nvPicPr>
                    <pic:cNvPr descr="step2_physics_la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2: The Physics Law. NVIDIA’s trajectory (green dashed line) follows an inverse-square law relative to process node size. Their</w:t>
      </w:r>
      <w:r>
        <w:rPr>
          <w:i/>
          <w:iCs/>
        </w:rPr>
        <w:t xml:space="preserve"> </w:t>
      </w:r>
      <w:r>
        <w:rPr>
          <w:i/>
          <w:iCs/>
        </w:rPr>
        <w:t xml:space="preserve">“dominance”</w:t>
      </w:r>
      <w:r>
        <w:rPr>
          <w:i/>
          <w:iCs/>
        </w:rPr>
        <w:t xml:space="preserve"> </w:t>
      </w:r>
      <w:r>
        <w:rPr>
          <w:i/>
          <w:iCs/>
        </w:rPr>
        <w:t xml:space="preserve">is mathematically correlated with their access to TSMC’s 4nm/5nm nodes.</w:t>
      </w:r>
    </w:p>
    <w:p>
      <w:pPr>
        <w:pStyle w:val="BodyText"/>
      </w:pPr>
      <w:r>
        <w:t xml:space="preserve">The implication is profound: The</w:t>
      </w:r>
      <w:r>
        <w:t xml:space="preserve"> </w:t>
      </w:r>
      <w:r>
        <w:t xml:space="preserve">“Efficiency Gap”</w:t>
      </w:r>
      <w:r>
        <w:t xml:space="preserve"> </w:t>
      </w:r>
      <w:r>
        <w:t xml:space="preserve">seen in Chapter 1 is not primarily Architectural; it is</w:t>
      </w:r>
      <w:r>
        <w:t xml:space="preserve"> </w:t>
      </w:r>
      <w:r>
        <w:rPr>
          <w:b/>
          <w:bCs/>
        </w:rPr>
        <w:t xml:space="preserve">Manufacturing</w:t>
      </w:r>
      <w:r>
        <w:t xml:space="preserve">. Competitors have been fighting a 4nm enemy with 14nm weapons.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hapter-3-the-what-if-simulation"/>
    <w:p>
      <w:pPr>
        <w:pStyle w:val="Heading2"/>
      </w:pPr>
      <w:r>
        <w:t xml:space="preserve">Chapter 3: The</w:t>
      </w:r>
      <w:r>
        <w:t xml:space="preserve"> </w:t>
      </w:r>
      <w:r>
        <w:t xml:space="preserve">“What If”</w:t>
      </w:r>
      <w:r>
        <w:t xml:space="preserve"> </w:t>
      </w:r>
      <w:r>
        <w:t xml:space="preserve">Simulation</w:t>
      </w:r>
    </w:p>
    <w:bookmarkStart w:id="22" w:name="unmasking-the-architecture"/>
    <w:p>
      <w:pPr>
        <w:pStyle w:val="Heading3"/>
      </w:pPr>
      <w:r>
        <w:t xml:space="preserve">Unmasking the Architecture</w:t>
      </w:r>
    </w:p>
    <w:p>
      <w:pPr>
        <w:pStyle w:val="FirstParagraph"/>
      </w:pPr>
      <w:r>
        <w:t xml:space="preserve">What happens if we level the playing field? Using our derived physics constant (</w:t>
      </w:r>
      <m:oMath>
        <m:r>
          <m:rPr>
            <m:sty m:val="p"/>
          </m:rPr>
          <m:t>−</m:t>
        </m:r>
        <m:r>
          <m:t>2.05</m:t>
        </m:r>
      </m:oMath>
      <w:r>
        <w:t xml:space="preserve">), we simulated what competitor architectures would achieve if they had access to the same 4nm foundry capacity as NVIDIA.</w:t>
      </w:r>
    </w:p>
    <w:p>
      <w:pPr>
        <w:pStyle w:val="BodyText"/>
      </w:pPr>
      <w:r>
        <w:rPr>
          <w:b/>
          <w:bCs/>
        </w:rPr>
        <w:t xml:space="preserve">The Counterfactual Results: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Groq (Tensor Streaming Processor):</w:t>
      </w:r>
      <w:r>
        <w:t xml:space="preserve"> </w:t>
      </w:r>
      <w:r>
        <w:t xml:space="preserve">* Currently trapped at 14nm (~0.7 TFLOPS/W).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Simulated at 4nm:</w:t>
      </w:r>
      <w:r>
        <w:t xml:space="preserve"> </w:t>
      </w:r>
      <w:r>
        <w:t xml:space="preserve">Explodes to</w:t>
      </w:r>
      <w:r>
        <w:t xml:space="preserve"> </w:t>
      </w:r>
      <w:r>
        <w:rPr>
          <w:b/>
          <w:bCs/>
        </w:rPr>
        <w:t xml:space="preserve">~8.9 TFLOPS/W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3.5x more efficient</w:t>
      </w:r>
      <w:r>
        <w:t xml:space="preserve"> </w:t>
      </w:r>
      <w:r>
        <w:t xml:space="preserve">than the NVIDIA H100.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Tenstorrent (RISC-V Grid):</w:t>
      </w:r>
    </w:p>
    <w:p>
      <w:pPr>
        <w:pStyle w:val="Compact"/>
        <w:numPr>
          <w:ilvl w:val="1"/>
          <w:numId w:val="1002"/>
        </w:numPr>
      </w:pPr>
      <w:r>
        <w:t xml:space="preserve">Currently at 12nm (~2.7 TFLOPS/W in low precision).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Simulated at 4nm:</w:t>
      </w:r>
      <w:r>
        <w:t xml:space="preserve"> </w:t>
      </w:r>
      <w:r>
        <w:t xml:space="preserve">Reaches</w:t>
      </w:r>
      <w:r>
        <w:t xml:space="preserve"> </w:t>
      </w:r>
      <w:r>
        <w:rPr>
          <w:b/>
          <w:bCs/>
        </w:rPr>
        <w:t xml:space="preserve">~25.4 TFLOPS/W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An order of magnitude improvement for Edge/Inference workloads.</w:t>
      </w:r>
    </w:p>
    <w:p>
      <w:pPr>
        <w:pStyle w:val="FirstParagraph"/>
      </w:pPr>
      <w:r>
        <w:drawing>
          <wp:inline>
            <wp:extent cx="5486400" cy="3200399"/>
            <wp:effectExtent b="0" l="0" r="0" t="0"/>
            <wp:docPr descr="Simulation" title="" id="20" name="Picture"/>
            <a:graphic>
              <a:graphicData uri="http://schemas.openxmlformats.org/drawingml/2006/picture">
                <pic:pic>
                  <pic:nvPicPr>
                    <pic:cNvPr descr="step3_simula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3: The Simulation. Red stars indicate the</w:t>
      </w:r>
      <w:r>
        <w:rPr>
          <w:i/>
          <w:iCs/>
        </w:rPr>
        <w:t xml:space="preserve"> </w:t>
      </w:r>
      <w:r>
        <w:rPr>
          <w:i/>
          <w:iCs/>
        </w:rPr>
        <w:t xml:space="preserve">‘Latent Potential’</w:t>
      </w:r>
      <w:r>
        <w:rPr>
          <w:i/>
          <w:iCs/>
        </w:rPr>
        <w:t xml:space="preserve"> </w:t>
      </w:r>
      <w:r>
        <w:rPr>
          <w:i/>
          <w:iCs/>
        </w:rPr>
        <w:t xml:space="preserve">of competitor architectures when normalized to 4nm. Groq (Red Star, top) leapfrogs NVIDIA’s current champion.</w:t>
      </w:r>
    </w:p>
    <w:p>
      <w:pPr>
        <w:pStyle w:val="BodyText"/>
      </w:pPr>
      <w:r>
        <w:t xml:space="preserve">This reveals the terrifying truth for the incumbent:</w:t>
      </w:r>
      <w:r>
        <w:t xml:space="preserve"> </w:t>
      </w:r>
      <w:r>
        <w:rPr>
          <w:b/>
          <w:bCs/>
        </w:rPr>
        <w:t xml:space="preserve">Groq’s architecture was fundamentally superior.</w:t>
      </w:r>
      <w:r>
        <w:t xml:space="preserve"> </w:t>
      </w:r>
      <w:r>
        <w:t xml:space="preserve">It was only held back by a supply chain disadvantage (GlobalFoundries 14nm vs TSMC 4nm).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hapter-4-strategic-verdict"/>
    <w:p>
      <w:pPr>
        <w:pStyle w:val="Heading2"/>
      </w:pPr>
      <w:r>
        <w:t xml:space="preserve">Chapter 4: Strategic Verdict</w:t>
      </w:r>
    </w:p>
    <w:bookmarkStart w:id="24" w:name="the-endgame-acquisition-of-groq-jan-2026"/>
    <w:p>
      <w:pPr>
        <w:pStyle w:val="Heading3"/>
      </w:pPr>
      <w:r>
        <w:t xml:space="preserve">The Endgame: Acquisition of Groq (Jan 2026)</w:t>
      </w:r>
    </w:p>
    <w:p>
      <w:pPr>
        <w:pStyle w:val="FirstParagraph"/>
      </w:pPr>
      <w:r>
        <w:t xml:space="preserve">In January 2026, NVIDIA acquired Groq. This report provides the definitive quantitative rationale for that move.</w:t>
      </w:r>
    </w:p>
    <w:p>
      <w:pPr>
        <w:pStyle w:val="BodyText"/>
      </w:pPr>
      <w:r>
        <w:rPr>
          <w:b/>
          <w:bCs/>
        </w:rPr>
        <w:t xml:space="preserve">Why it happened:</w:t>
      </w:r>
      <w:r>
        <w:t xml:space="preserve"> </w:t>
      </w:r>
      <w:r>
        <w:t xml:space="preserve">NVIDIA did not buy Groq for its current revenue or market share. They bought it to</w:t>
      </w:r>
      <w:r>
        <w:t xml:space="preserve"> </w:t>
      </w:r>
      <w:r>
        <w:rPr>
          <w:b/>
          <w:bCs/>
        </w:rPr>
        <w:t xml:space="preserve">prevent the Simulation from becoming Reality.</w:t>
      </w:r>
      <w:r>
        <w:t xml:space="preserve"> </w:t>
      </w:r>
      <w:r>
        <w:t xml:space="preserve">* If Groq had secured 3nm capacity independently, they would have offered an inference solution with</w:t>
      </w:r>
      <w:r>
        <w:t xml:space="preserve"> </w:t>
      </w:r>
      <w:r>
        <w:rPr>
          <w:b/>
          <w:bCs/>
        </w:rPr>
        <w:t xml:space="preserve">6x lower power costs</w:t>
      </w:r>
      <w:r>
        <w:t xml:space="preserve"> </w:t>
      </w:r>
      <w:r>
        <w:t xml:space="preserve">than Blackwell.</w:t>
      </w:r>
      <w:r>
        <w:t xml:space="preserve"> </w:t>
      </w:r>
      <w:r>
        <w:t xml:space="preserve">* By acquiring the company, NVIDIA absorbs the threat and integrates the</w:t>
      </w:r>
      <w:r>
        <w:t xml:space="preserve"> </w:t>
      </w:r>
      <w:r>
        <w:t xml:space="preserve">“Deterministic LPU”</w:t>
      </w:r>
      <w:r>
        <w:t xml:space="preserve"> </w:t>
      </w:r>
      <w:r>
        <w:t xml:space="preserve">technology into its own CUDA ecosystem to solve the utilization wall.</w:t>
      </w:r>
    </w:p>
    <w:p>
      <w:pPr>
        <w:pStyle w:val="BodyText"/>
      </w:pPr>
      <w:r>
        <w:rPr>
          <w:b/>
          <w:bCs/>
        </w:rPr>
        <w:t xml:space="preserve">The Survivor: Tenstorrent</w:t>
      </w:r>
      <w:r>
        <w:t xml:space="preserve"> </w:t>
      </w:r>
      <w:r>
        <w:t xml:space="preserve">With Groq absorbed, Tenstorrent remains the primary alternative. Its open RISC-V nature protects it from acquisition, and its low-precision efficiency makes it the dominant player for the</w:t>
      </w:r>
      <w:r>
        <w:t xml:space="preserve"> </w:t>
      </w:r>
      <w:r>
        <w:t xml:space="preserve">“Edge AI”</w:t>
      </w:r>
      <w:r>
        <w:t xml:space="preserve"> </w:t>
      </w:r>
      <w:r>
        <w:t xml:space="preserve">market where NVIDIA’s high-power GPUs cannot fit.</w:t>
      </w:r>
    </w:p>
    <w:p>
      <w:pPr>
        <w:pStyle w:val="BodyText"/>
      </w:pPr>
      <w:r>
        <w:rPr>
          <w:b/>
          <w:bCs/>
        </w:rPr>
        <w:t xml:space="preserve">Final Conclusion:</w:t>
      </w:r>
      <w:r>
        <w:t xml:space="preserve"> </w:t>
      </w:r>
      <w:r>
        <w:t xml:space="preserve">The battle for AI hardware is defined by the</w:t>
      </w:r>
      <w:r>
        <w:t xml:space="preserve"> </w:t>
      </w:r>
      <w:r>
        <w:rPr>
          <w:b/>
          <w:bCs/>
        </w:rPr>
        <w:t xml:space="preserve">Process Node</w:t>
      </w:r>
      <w:r>
        <w:t xml:space="preserve">. Architecture determines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the curve, but the Foundry determines the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on the curve. NVIDIA’s consolidation strategy is to ensure it owns both the steepest slope and the furthest position.</w:t>
      </w:r>
    </w:p>
    <w:bookmarkEnd w:id="24"/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맑은 고딕" w:hAnsi="맑은 고딕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8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2026-02-02T02:27:21Z</dcterms:created>
  <dcterms:modified xsi:type="dcterms:W3CDTF">2026-02-02T02:27:21Z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