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ai-가속기-시장-현황-및-전략-분석-보고서-2026"/>
    <w:p>
      <w:pPr>
        <w:pStyle w:val="Heading1"/>
      </w:pPr>
      <w:r>
        <w:t xml:space="preserve">AI 가속기 시장 현황 및 전략 분석 보고서 (2026)</w:t>
      </w:r>
    </w:p>
    <w:p>
      <w:pPr>
        <w:pStyle w:val="FirstParagraph"/>
      </w:pPr>
      <w:r>
        <w:rPr>
          <w:b/>
          <w:bCs/>
        </w:rPr>
        <w:t xml:space="preserve">날짜:</w:t>
      </w:r>
      <w:r>
        <w:t xml:space="preserve"> </w:t>
      </w:r>
      <w:r>
        <w:t xml:space="preserve">2026년 2월 2일</w:t>
      </w:r>
      <w:r>
        <w:br/>
      </w:r>
      <w:r>
        <w:rPr>
          <w:b/>
          <w:bCs/>
        </w:rPr>
        <w:t xml:space="preserve">주제:</w:t>
      </w:r>
      <w:r>
        <w:t xml:space="preserve"> </w:t>
      </w:r>
      <w:r>
        <w:t xml:space="preserve">시장 지배력의 물리학적 배경 및 시장 통합의 전략적 근거</w:t>
      </w:r>
    </w:p>
    <w:p>
      <w:r>
        <w:pict>
          <v:rect style="width:0;height:1.5pt" o:hralign="center" o:hrstd="t" o:hr="t"/>
        </w:pict>
      </w:r>
    </w:p>
    <w:bookmarkStart w:id="13" w:name="장-현황"/>
    <w:p>
      <w:pPr>
        <w:pStyle w:val="Heading2"/>
      </w:pPr>
      <w:r>
        <w:t xml:space="preserve">1장: 현황</w:t>
      </w:r>
    </w:p>
    <w:bookmarkStart w:id="12" w:name="압도적-지배력의-착시-현상"/>
    <w:p>
      <w:pPr>
        <w:pStyle w:val="Heading3"/>
      </w:pPr>
      <w:r>
        <w:t xml:space="preserve">압도적 지배력의 착시 현상</w:t>
      </w:r>
    </w:p>
    <w:p>
      <w:pPr>
        <w:pStyle w:val="FirstParagraph"/>
      </w:pPr>
      <w:r>
        <w:t xml:space="preserve">2026년 초, AI 하드웨어 시장은 겉보기에 완벽한 독주 체제처럼 보입니다. NVIDIA의 H100 및 B200 시리즈 가속기는 데이터센터 TCO(총 소유 비용)의 핵심 지표인 전력 대비 성능(Performance-per-Watt) 면에서 경쟁사들을 압도하는 것처럼 보입니다.</w:t>
      </w:r>
    </w:p>
    <w:p>
      <w:pPr>
        <w:pStyle w:val="BodyText"/>
      </w:pPr>
      <w:r>
        <w:rPr>
          <w:b/>
          <w:bCs/>
        </w:rPr>
        <w:t xml:space="preserve">시장 현황 요약: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NVIDIA:</w:t>
      </w:r>
      <w:r>
        <w:t xml:space="preserve"> </w:t>
      </w:r>
      <w:r>
        <w:t xml:space="preserve">월등한 효율성(&gt;2.5 TFLOPS/W)을 바탕으로</w:t>
      </w:r>
      <w:r>
        <w:t xml:space="preserve"> </w:t>
      </w:r>
      <w:r>
        <w:t xml:space="preserve">“고지”</w:t>
      </w:r>
      <w:r>
        <w:t xml:space="preserve">를 점령하고 있습니다.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경쟁사:</w:t>
      </w:r>
      <w:r>
        <w:t xml:space="preserve"> </w:t>
      </w:r>
      <w:r>
        <w:rPr>
          <w:b/>
          <w:bCs/>
        </w:rPr>
        <w:t xml:space="preserve">Groq</w:t>
      </w:r>
      <w:r>
        <w:t xml:space="preserve">와 같은 결정론적 아키텍처나</w:t>
      </w:r>
      <w:r>
        <w:t xml:space="preserve"> </w:t>
      </w:r>
      <w:r>
        <w:rPr>
          <w:b/>
          <w:bCs/>
        </w:rPr>
        <w:t xml:space="preserve">Tenstorrent</w:t>
      </w:r>
      <w:r>
        <w:t xml:space="preserve">와 같은 RISC-V 그리드 아키텍처는 표준 정밀도에서 1.0 TFLOPS/W의 벽을 넘지 못하며 뒤쳐져 있는 것처럼 보입니다.</w:t>
      </w:r>
    </w:p>
    <w:p>
      <w:pPr>
        <w:pStyle w:val="BodyText"/>
      </w:pPr>
      <w:r>
        <w:drawing>
          <wp:inline>
            <wp:extent cx="5486400" cy="3200399"/>
            <wp:effectExtent b="0" l="0" r="0" t="0"/>
            <wp:docPr descr="현황 풍경" title="" id="10" name="Picture"/>
            <a:graphic>
              <a:graphicData uri="http://schemas.openxmlformats.org/drawingml/2006/picture">
                <pic:pic>
                  <pic:nvPicPr>
                    <pic:cNvPr descr="step1_status_qu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그림 1: 겉으로 보이는 시장 풍경. 경쟁사(파란색/주황색)들은 낮은 효율성 영역에 머물러 있는 반면, NVIDIA(적색)는 고효율 영역을 독점하고 있습니다.</w:t>
      </w:r>
    </w:p>
    <w:p>
      <w:pPr>
        <w:pStyle w:val="BodyText"/>
      </w:pPr>
      <w:r>
        <w:t xml:space="preserve">일반적인 관찰자(또는 투자자)에게 이것은 NVIDIA의</w:t>
      </w:r>
      <w:r>
        <w:t xml:space="preserve"> </w:t>
      </w:r>
      <w:r>
        <w:rPr>
          <w:i/>
          <w:iCs/>
        </w:rPr>
        <w:t xml:space="preserve">아키텍처</w:t>
      </w:r>
      <w:r>
        <w:t xml:space="preserve">가 우월함을 증명하는 것처럼 보입니다. 그러나 이 결론은 중요한 분모인</w:t>
      </w:r>
      <w:r>
        <w:t xml:space="preserve"> </w:t>
      </w:r>
      <w:r>
        <w:rPr>
          <w:b/>
          <w:bCs/>
        </w:rPr>
        <w:t xml:space="preserve">물리학(Physics)</w:t>
      </w:r>
      <w:r>
        <w:t xml:space="preserve">을 간과했기 때문에 치명적인 오류를 안고 있습니다.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장-임계-크기의-물리학"/>
    <w:p>
      <w:pPr>
        <w:pStyle w:val="Heading2"/>
      </w:pPr>
      <w:r>
        <w:t xml:space="preserve">2장: 임계 크기의 물리학</w:t>
      </w:r>
    </w:p>
    <w:bookmarkStart w:id="17" w:name="불변의-스케일-법칙"/>
    <w:p>
      <w:pPr>
        <w:pStyle w:val="Heading3"/>
      </w:pPr>
      <w:r>
        <w:t xml:space="preserve">불변의 스케일 법칙</w:t>
      </w:r>
    </w:p>
    <w:p>
      <w:pPr>
        <w:pStyle w:val="FirstParagraph"/>
      </w:pPr>
      <w:r>
        <w:t xml:space="preserve">“제품 마케팅”</w:t>
      </w:r>
      <w:r>
        <w:t xml:space="preserve">의 껍질을 벗기고</w:t>
      </w:r>
      <w:r>
        <w:t xml:space="preserve"> </w:t>
      </w:r>
      <w:r>
        <w:t xml:space="preserve">“반도체 물리학”</w:t>
      </w:r>
      <w:r>
        <w:t xml:space="preserve">을 들여다보면 전혀 다른 패턴이 드러납니다. Pascal(16nm)에서 Blackwell(4nm)에 이르는 NVIDIA의 제품 계보를 추적해보면, 그들의 탁월함은 무어의 법칙(Moore’s Law)의 이점을 일관되게 수확해 온 능력에 있음을 알 수 있습니다.</w:t>
      </w:r>
    </w:p>
    <w:p>
      <w:pPr>
        <w:pStyle w:val="BodyText"/>
      </w:pPr>
      <w:r>
        <w:t xml:space="preserve">우리의 회귀 분석은 AI??율성을 지배하는 엄격한 거듭제곱 법칙을 보여줍니다: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Efficiency</m:t>
          </m:r>
          <m:r>
            <m:rPr>
              <m:sty m:val="p"/>
            </m:rPr>
            <m:t>∝</m:t>
          </m:r>
          <m:sSup>
            <m:e>
              <m:r>
                <m:rPr>
                  <m:nor/>
                  <m:sty m:val="p"/>
                </m:rPr>
                <m:t>ProcessNode</m:t>
              </m:r>
            </m:e>
            <m:sup>
              <m:r>
                <m:rPr>
                  <m:sty m:val="p"/>
                </m:rPr>
                <m:t>−</m:t>
              </m:r>
              <m:r>
                <m:t>2.05</m:t>
              </m:r>
            </m:sup>
          </m:sSup>
        </m:oMath>
      </m:oMathPara>
    </w:p>
    <w:p>
      <w:pPr>
        <w:pStyle w:val="FirstParagraph"/>
      </w:pPr>
      <w:r>
        <w:t xml:space="preserve">이는</w:t>
      </w:r>
      <w:r>
        <w:t xml:space="preserve"> </w:t>
      </w:r>
      <w:r>
        <w:rPr>
          <w:b/>
          <w:bCs/>
        </w:rPr>
        <w:t xml:space="preserve">트랜지스터의 특성 크기가 50% 줄어들 때마다</w:t>
      </w:r>
      <w:r>
        <w:t xml:space="preserve">, 전력 효율은 대략</w:t>
      </w:r>
      <w:r>
        <w:t xml:space="preserve"> </w:t>
      </w:r>
      <w:r>
        <w:rPr>
          <w:b/>
          <w:bCs/>
        </w:rPr>
        <w:t xml:space="preserve">400% 향상</w:t>
      </w:r>
      <w:r>
        <w:t xml:space="preserve">된다는 것을 의미합니다.</w:t>
      </w:r>
    </w:p>
    <w:p>
      <w:pPr>
        <w:pStyle w:val="BodyText"/>
      </w:pPr>
      <w:r>
        <w:drawing>
          <wp:inline>
            <wp:extent cx="5486400" cy="3200399"/>
            <wp:effectExtent b="0" l="0" r="0" t="0"/>
            <wp:docPr descr="물리학 법칙" title="" id="15" name="Picture"/>
            <a:graphic>
              <a:graphicData uri="http://schemas.openxmlformats.org/drawingml/2006/picture">
                <pic:pic>
                  <pic:nvPicPr>
                    <pic:cNvPr descr="step2_physics_la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그림 2: 물리학 법칙. NVIDIA의 궤적(녹색 점선)은 공정 미세화 수준에 따라 역제곱 법칙을 따릅니다. 그들의</w:t>
      </w:r>
      <w:r>
        <w:rPr>
          <w:i/>
          <w:iCs/>
        </w:rPr>
        <w:t xml:space="preserve"> </w:t>
      </w:r>
      <w:r>
        <w:rPr>
          <w:i/>
          <w:iCs/>
        </w:rPr>
        <w:t xml:space="preserve">“지배력”</w:t>
      </w:r>
      <w:r>
        <w:rPr>
          <w:i/>
          <w:iCs/>
        </w:rPr>
        <w:t xml:space="preserve">은 TSMC의 4nm/5nm 공정에 대한 접근성과 수학적으로 상관관계가 있습니다.</w:t>
      </w:r>
    </w:p>
    <w:p>
      <w:pPr>
        <w:pStyle w:val="BodyText"/>
      </w:pPr>
      <w:r>
        <w:t xml:space="preserve">이것이 시사하는 바는 심오합니다. 1장에서 본</w:t>
      </w:r>
      <w:r>
        <w:t xml:space="preserve"> </w:t>
      </w:r>
      <w:r>
        <w:t xml:space="preserve">“효율성 격차”</w:t>
      </w:r>
      <w:r>
        <w:t xml:space="preserve">는 본질적으로 아키텍처의 차이가 아니라</w:t>
      </w:r>
      <w:r>
        <w:t xml:space="preserve"> </w:t>
      </w:r>
      <w:r>
        <w:rPr>
          <w:b/>
          <w:bCs/>
        </w:rPr>
        <w:t xml:space="preserve">제조 공정(Manufacturing)</w:t>
      </w:r>
      <w:r>
        <w:t xml:space="preserve">의 차이입니다. 경쟁사들은 14nm 무기로 4nm 적과 싸워왔던 것입니다.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장-what-if-시뮬레이션"/>
    <w:p>
      <w:pPr>
        <w:pStyle w:val="Heading2"/>
      </w:pPr>
      <w:r>
        <w:t xml:space="preserve">3장:</w:t>
      </w:r>
      <w:r>
        <w:t xml:space="preserve"> </w:t>
      </w:r>
      <w:r>
        <w:t xml:space="preserve">“What If”</w:t>
      </w:r>
      <w:r>
        <w:t xml:space="preserve"> </w:t>
      </w:r>
      <w:r>
        <w:t xml:space="preserve">시뮬레이션</w:t>
      </w:r>
    </w:p>
    <w:bookmarkStart w:id="22" w:name="아키텍처의-민낯을-드러내다"/>
    <w:p>
      <w:pPr>
        <w:pStyle w:val="Heading3"/>
      </w:pPr>
      <w:r>
        <w:t xml:space="preserve">아키텍처의 민낯을 드러내다</w:t>
      </w:r>
    </w:p>
    <w:p>
      <w:pPr>
        <w:pStyle w:val="FirstParagraph"/>
      </w:pPr>
      <w:r>
        <w:t xml:space="preserve">만약 운동장이 평평해진다면 어떻게 될까요? 우리가 도출한 물리학 상수(-2.05)를 사용하여, 경쟁사 아키텍처가 NVIDIA와 동일한 4nm 파운드리 생산 능력을 확보했을 때의 성능을 시뮬레이션했습니다.</w:t>
      </w:r>
    </w:p>
    <w:p>
      <w:pPr>
        <w:pStyle w:val="BodyText"/>
      </w:pPr>
      <w:r>
        <w:rPr>
          <w:b/>
          <w:bCs/>
        </w:rPr>
        <w:t xml:space="preserve">반사실적(Counterfactual) 시뮬레이션 결과: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Groq (Tensor Streaming Processor):</w:t>
      </w:r>
      <w:r>
        <w:t xml:space="preserve"> </w:t>
      </w:r>
      <w:r>
        <w:t xml:space="preserve">* 현재: 14nm 공정에 갇혀 있음 (~0.7 TFLOPS/W).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4nm 시뮬레이션:</w:t>
      </w:r>
      <w:r>
        <w:t xml:space="preserve"> </w:t>
      </w:r>
      <w:r>
        <w:t xml:space="preserve">효율성이</w:t>
      </w:r>
      <w:r>
        <w:t xml:space="preserve"> </w:t>
      </w:r>
      <w:r>
        <w:rPr>
          <w:b/>
          <w:bCs/>
        </w:rPr>
        <w:t xml:space="preserve">~8.9 TFLOPS/W</w:t>
      </w:r>
      <w:r>
        <w:t xml:space="preserve">로 폭발적으로 증가.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임팩트:</w:t>
      </w:r>
      <w:r>
        <w:t xml:space="preserve"> </w:t>
      </w:r>
      <w:r>
        <w:t xml:space="preserve">이는 NVIDIA H100보다</w:t>
      </w:r>
      <w:r>
        <w:t xml:space="preserve"> </w:t>
      </w:r>
      <w:r>
        <w:rPr>
          <w:b/>
          <w:bCs/>
        </w:rPr>
        <w:t xml:space="preserve">3.5배 더 효율적</w:t>
      </w:r>
      <w:r>
        <w:t xml:space="preserve">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Tenstorrent (RISC-V Grid):</w:t>
      </w:r>
    </w:p>
    <w:p>
      <w:pPr>
        <w:pStyle w:val="Compact"/>
        <w:numPr>
          <w:ilvl w:val="1"/>
          <w:numId w:val="1002"/>
        </w:numPr>
      </w:pPr>
      <w:r>
        <w:t xml:space="preserve">현재: 12nm 공정 (~2.7 TFLOPS/W, 저정밀도 기준).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4nm 시뮬레이션:</w:t>
      </w:r>
      <w:r>
        <w:t xml:space="preserve"> </w:t>
      </w:r>
      <w:r>
        <w:rPr>
          <w:b/>
          <w:bCs/>
        </w:rPr>
        <w:t xml:space="preserve">~25.4 TFLOPS/W</w:t>
      </w:r>
      <w:r>
        <w:t xml:space="preserve">에 도달.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임팩트:</w:t>
      </w:r>
      <w:r>
        <w:t xml:space="preserve"> </w:t>
      </w:r>
      <w:r>
        <w:t xml:space="preserve">엣지/인퍼런스 워크로드에서 자릿수가 다른 개선을 제공.</w:t>
      </w:r>
    </w:p>
    <w:p>
      <w:pPr>
        <w:pStyle w:val="FirstParagraph"/>
      </w:pPr>
      <w:r>
        <w:drawing>
          <wp:inline>
            <wp:extent cx="5486400" cy="3200399"/>
            <wp:effectExtent b="0" l="0" r="0" t="0"/>
            <wp:docPr descr="시뮬레이션" title="" id="20" name="Picture"/>
            <a:graphic>
              <a:graphicData uri="http://schemas.openxmlformats.org/drawingml/2006/picture">
                <pic:pic>
                  <pic:nvPicPr>
                    <pic:cNvPr descr="step3_simul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그림 3: 시뮬레이션 결과. 빨간색 별은 경쟁사 아키텍처를 4nm로 정규화했을 때의 ’잠재적 성능’을 나타냅니다. Groq(상단 빨간 별)가 NVIDIA의 현 챔피언을 뛰어넘는 것을 볼 수 있습니다.</w:t>
      </w:r>
    </w:p>
    <w:p>
      <w:pPr>
        <w:pStyle w:val="BodyText"/>
      </w:pPr>
      <w:r>
        <w:t xml:space="preserve">이 결과는 기존 지배자에게 공포스러운 진실을 드러냅니다:</w:t>
      </w:r>
      <w:r>
        <w:t xml:space="preserve"> </w:t>
      </w:r>
      <w:r>
        <w:rPr>
          <w:b/>
          <w:bCs/>
        </w:rPr>
        <w:t xml:space="preserve">Groq의 아키텍처는 근본적으로 더 우수했습니다.</w:t>
      </w:r>
      <w:r>
        <w:t xml:space="preserve"> </w:t>
      </w:r>
      <w:r>
        <w:t xml:space="preserve">단지 공급망의 열세(GlobalFoundries 14nm vs TSMC 4nm)에 억눌려 있었을 뿐입니다.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장-전략적-결론"/>
    <w:p>
      <w:pPr>
        <w:pStyle w:val="Heading2"/>
      </w:pPr>
      <w:r>
        <w:t xml:space="preserve">4장: 전략적 결론</w:t>
      </w:r>
    </w:p>
    <w:bookmarkStart w:id="24" w:name="최종-게임-groq-인수-2026년-1월"/>
    <w:p>
      <w:pPr>
        <w:pStyle w:val="Heading3"/>
      </w:pPr>
      <w:r>
        <w:t xml:space="preserve">최종 게임: Groq 인수 (2026년 1월)</w:t>
      </w:r>
    </w:p>
    <w:p>
      <w:pPr>
        <w:pStyle w:val="FirstParagraph"/>
      </w:pPr>
      <w:r>
        <w:t xml:space="preserve">2026년 1월, NVIDIA는 Groq를 인수했습니다. 본 보고서는 그 움직임에 대한 확고한 정량적 근거를 제공합니다.</w:t>
      </w:r>
    </w:p>
    <w:p>
      <w:pPr>
        <w:pStyle w:val="BodyText"/>
      </w:pPr>
      <w:r>
        <w:rPr>
          <w:b/>
          <w:bCs/>
        </w:rPr>
        <w:t xml:space="preserve">왜 인수했는가:</w:t>
      </w:r>
      <w:r>
        <w:t xml:space="preserve"> </w:t>
      </w:r>
      <w:r>
        <w:t xml:space="preserve">NVIDIA는 Groq의 현재 매출이나 시장 점유율을 보고 산 것이 아닙니다. 그들은</w:t>
      </w:r>
      <w:r>
        <w:t xml:space="preserve"> </w:t>
      </w:r>
      <w:r>
        <w:rPr>
          <w:b/>
          <w:bCs/>
        </w:rPr>
        <w:t xml:space="preserve">이 시뮬레이션이 현실이 되는 것을 막기 위해</w:t>
      </w:r>
      <w:r>
        <w:t xml:space="preserve"> </w:t>
      </w:r>
      <w:r>
        <w:t xml:space="preserve">인수한 것입니다.</w:t>
      </w:r>
      <w:r>
        <w:t xml:space="preserve"> </w:t>
      </w:r>
      <w:r>
        <w:t xml:space="preserve">* 만약 Groq가 독자적으로 3nm 생산 능력을 확보했다면, 그들은 Blackwell보다</w:t>
      </w:r>
      <w:r>
        <w:t xml:space="preserve"> </w:t>
      </w:r>
      <w:r>
        <w:rPr>
          <w:b/>
          <w:bCs/>
        </w:rPr>
        <w:t xml:space="preserve">6배 더 낮은 전력 비용</w:t>
      </w:r>
      <w:r>
        <w:t xml:space="preserve">으로 인퍼런스 솔루션을 제공했을 것입니다.</w:t>
      </w:r>
      <w:r>
        <w:t xml:space="preserve"> </w:t>
      </w:r>
      <w:r>
        <w:t xml:space="preserve">* 회사를 인수함으로써 NVIDIA는 위협을 흡수하고,</w:t>
      </w:r>
      <w:r>
        <w:t xml:space="preserve"> </w:t>
      </w:r>
      <w:r>
        <w:t xml:space="preserve">“결정론적 LPU”</w:t>
      </w:r>
      <w:r>
        <w:t xml:space="preserve"> </w:t>
      </w:r>
      <w:r>
        <w:t xml:space="preserve">기술을 자사의 CUDA 생태계에 통합하여 활용률(utilization) 장벽을 해결할 수 있게 되었습니다.</w:t>
      </w:r>
    </w:p>
    <w:p>
      <w:pPr>
        <w:pStyle w:val="BodyText"/>
      </w:pPr>
      <w:r>
        <w:rPr>
          <w:b/>
          <w:bCs/>
        </w:rPr>
        <w:t xml:space="preserve">생존자: Tenstorrent</w:t>
      </w:r>
      <w:r>
        <w:t xml:space="preserve"> </w:t>
      </w:r>
      <w:r>
        <w:t xml:space="preserve">Groq가 흡수됨에 따라, Tenstorrent가 주요한 대안으로 남았습니다. 개방형 RISC-V라는 특성은 인수를 방어하는 기제가 되며, 저정밀도 효율성은 NVIDIA의 고전력 GPU가 적합하지 않은</w:t>
      </w:r>
      <w:r>
        <w:t xml:space="preserve"> </w:t>
      </w:r>
      <w:r>
        <w:t xml:space="preserve">“엣지 AI”</w:t>
      </w:r>
      <w:r>
        <w:t xml:space="preserve"> </w:t>
      </w:r>
      <w:r>
        <w:t xml:space="preserve">시장에서 지배적인 플레이어가 되게 합니다.</w:t>
      </w:r>
    </w:p>
    <w:p>
      <w:pPr>
        <w:pStyle w:val="BodyText"/>
      </w:pPr>
      <w:r>
        <w:rPr>
          <w:b/>
          <w:bCs/>
        </w:rPr>
        <w:t xml:space="preserve">최종 결론:</w:t>
      </w:r>
      <w:r>
        <w:t xml:space="preserve"> </w:t>
      </w:r>
      <w:r>
        <w:t xml:space="preserve">AI 하드웨어 전쟁은</w:t>
      </w:r>
      <w:r>
        <w:t xml:space="preserve"> </w:t>
      </w:r>
      <w:r>
        <w:rPr>
          <w:b/>
          <w:bCs/>
        </w:rPr>
        <w:t xml:space="preserve">공정 노드(Process Node)</w:t>
      </w:r>
      <w:r>
        <w:t xml:space="preserve">에 의해 정의됩니다. 아키텍처는 곡선의</w:t>
      </w:r>
      <w:r>
        <w:t xml:space="preserve"> </w:t>
      </w:r>
      <w:r>
        <w:rPr>
          <w:i/>
          <w:iCs/>
        </w:rPr>
        <w:t xml:space="preserve">기울기</w:t>
      </w:r>
      <w:r>
        <w:t xml:space="preserve">를 결정하지만, 파운드리는 곡선 위의</w:t>
      </w:r>
      <w:r>
        <w:t xml:space="preserve"> </w:t>
      </w:r>
      <w:r>
        <w:rPr>
          <w:i/>
          <w:iCs/>
        </w:rPr>
        <w:t xml:space="preserve">위치</w:t>
      </w:r>
      <w:r>
        <w:t xml:space="preserve">를 결정합니다. NVIDIA의 통합 전략은 가장 가파른 기울기와 가장 앞선 위치를 모두 소유하는 것입니다.</w:t>
      </w:r>
    </w:p>
    <w:bookmarkEnd w:id="24"/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맑은 고딕" w:hAnsi="맑은 고딕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8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2026-02-02T02:27:20Z</dcterms:created>
  <dcterms:modified xsi:type="dcterms:W3CDTF">2026-02-02T02:27:20Z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