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Perceived Privacy and Apathy in GenAI amongst HEI students</w:t>
      </w:r>
    </w:p>
    <w:bookmarkStart w:id="20" w:name="introduction"/>
    <w:p>
      <w:pPr>
        <w:pStyle w:val="Heading2"/>
      </w:pPr>
      <w:r>
        <w:t xml:space="preserve">Introduction</w:t>
      </w:r>
    </w:p>
    <w:p>
      <w:pPr>
        <w:pStyle w:val="FirstParagraph"/>
      </w:pPr>
      <w:r>
        <w:t xml:space="preserve">Recent developments have seen generative Artificial Intelligence (genAI) being available for the masses with Large Language Models (LLM’s) having a much easier interface for non-technical users. Often signified with the moniker: AI or with magical stars (✨) it features in many applications ranging from web search to</w:t>
      </w:r>
      <w:r>
        <w:t xml:space="preserve"> </w:t>
      </w:r>
      <w:r>
        <w:t xml:space="preserve">(Google n.d.; DuckDuckGo n.d.; Microsoft n.d.)</w:t>
      </w:r>
      <w:r>
        <w:t xml:space="preserve"> </w:t>
      </w:r>
      <w:r>
        <w:t xml:space="preserve">personal communication such as Outlook</w:t>
      </w:r>
      <w:r>
        <w:t xml:space="preserve"> </w:t>
      </w:r>
      <w:r>
        <w:t xml:space="preserve">(</w:t>
      </w:r>
      <w:r>
        <w:t xml:space="preserve">“Chat with</w:t>
      </w:r>
      <w:r>
        <w:t xml:space="preserve"> </w:t>
      </w:r>
      <w:r>
        <w:t xml:space="preserve">Copilot</w:t>
      </w:r>
      <w:r>
        <w:t xml:space="preserve"> </w:t>
      </w:r>
      <w:r>
        <w:t xml:space="preserve">in</w:t>
      </w:r>
      <w:r>
        <w:t xml:space="preserve"> </w:t>
      </w:r>
      <w:r>
        <w:t xml:space="preserve">Outlook</w:t>
      </w:r>
      <w:r>
        <w:t xml:space="preserve"> </w:t>
      </w:r>
      <w:r>
        <w:t xml:space="preserve">-</w:t>
      </w:r>
      <w:r>
        <w:t xml:space="preserve"> </w:t>
      </w:r>
      <w:r>
        <w:t xml:space="preserve">Microsoft Support</w:t>
      </w:r>
      <w:r>
        <w:t xml:space="preserve">”</w:t>
      </w:r>
      <w:r>
        <w:t xml:space="preserve"> </w:t>
      </w:r>
      <w:r>
        <w:t xml:space="preserve">n.d.)</w:t>
      </w:r>
      <w:r>
        <w:t xml:space="preserve"> </w:t>
      </w:r>
      <w:r>
        <w:t xml:space="preserve">or Whatsapp</w:t>
      </w:r>
      <w:r>
        <w:t xml:space="preserve"> </w:t>
      </w:r>
      <w:r>
        <w:t xml:space="preserve">(Meta n.d.)</w:t>
      </w:r>
      <w:r>
        <w:t xml:space="preserve">. genAI is quickly becoming embedded in all sorts of business and applications</w:t>
      </w:r>
      <w:r>
        <w:t xml:space="preserve"> </w:t>
      </w:r>
      <w:r>
        <w:t xml:space="preserve">(Grantham-Philips 2024)</w:t>
      </w:r>
      <w:r>
        <w:t xml:space="preserve">.</w:t>
      </w:r>
      <w:r>
        <w:t xml:space="preserve"> </w:t>
      </w:r>
      <w:r>
        <w:t xml:space="preserve">Even more than in applications beforehand users are encouraged to upload documents and provide more context for the LLM to perform better.</w:t>
      </w:r>
    </w:p>
    <w:p>
      <w:pPr>
        <w:pStyle w:val="BodyText"/>
      </w:pPr>
      <w:r>
        <w:t xml:space="preserve">As a result of the increased use of genAI, such as LLM’s, a great variety of topics have been researched in the last few years. Such as environmental impact</w:t>
      </w:r>
      <w:r>
        <w:t xml:space="preserve"> </w:t>
      </w:r>
      <w:r>
        <w:t xml:space="preserve">(Ding and Shi 2024; Rillig et al. 2023)</w:t>
      </w:r>
      <w:r>
        <w:t xml:space="preserve">, closing and / or widening of the digital divide</w:t>
      </w:r>
      <w:r>
        <w:t xml:space="preserve"> </w:t>
      </w:r>
      <w:r>
        <w:t xml:space="preserve">(Carter, Liu, and Cantrell 2020; Sartori and Bocca 2023)</w:t>
      </w:r>
      <w:r>
        <w:t xml:space="preserve">. In the context of education, and higher education specifically research has been conducted concerning a number of topics including: guidelines and policy</w:t>
      </w:r>
      <w:r>
        <w:t xml:space="preserve"> </w:t>
      </w:r>
      <w:r>
        <w:t xml:space="preserve">(Wang et al. 2024)</w:t>
      </w:r>
      <w:r>
        <w:t xml:space="preserve">, about usage, knowledge and skills</w:t>
      </w:r>
      <w:r>
        <w:t xml:space="preserve"> </w:t>
      </w:r>
      <w:r>
        <w:t xml:space="preserve">(Suonpää, Heikkilä, and Dimkar 2024; Silvennoinen, Aksovaara, and Alanko-Turunen 2025)</w:t>
      </w:r>
      <w:r>
        <w:t xml:space="preserve">, personalized learning</w:t>
      </w:r>
      <w:r>
        <w:t xml:space="preserve"> </w:t>
      </w:r>
      <w:r>
        <w:t xml:space="preserve">(Zhang, Yao, and Hadizadeh Moghaddam 2025; Udeh 2025)</w:t>
      </w:r>
      <w:r>
        <w:t xml:space="preserve">, the effect on learning outcomes</w:t>
      </w:r>
      <w:r>
        <w:t xml:space="preserve"> </w:t>
      </w:r>
      <w:r>
        <w:t xml:space="preserve">(Han, Peng, and Liu 2025)</w:t>
      </w:r>
      <w:r>
        <w:t xml:space="preserve"> </w:t>
      </w:r>
      <w:r>
        <w:t xml:space="preserve">and the use of genAI in collaborative learning</w:t>
      </w:r>
      <w:r>
        <w:t xml:space="preserve"> </w:t>
      </w:r>
      <w:r>
        <w:t xml:space="preserve">(Perifanou and Economides 2025)</w:t>
      </w:r>
      <w:r>
        <w:t xml:space="preserve">.</w:t>
      </w:r>
    </w:p>
    <w:p>
      <w:pPr>
        <w:pStyle w:val="BodyText"/>
      </w:pPr>
      <w:r>
        <w:t xml:space="preserve">The topic of privacy has been studied in relation to enhanced learning</w:t>
      </w:r>
      <w:r>
        <w:t xml:space="preserve"> </w:t>
      </w:r>
      <w:r>
        <w:t xml:space="preserve">(Alshugran and Kloub 2025)</w:t>
      </w:r>
      <w:r>
        <w:t xml:space="preserve"> </w:t>
      </w:r>
      <w:r>
        <w:t xml:space="preserve">and in relation to guidelines and policy documents of universities</w:t>
      </w:r>
      <w:r>
        <w:t xml:space="preserve"> </w:t>
      </w:r>
      <w:r>
        <w:t xml:space="preserve">(Ng et al. 2025)</w:t>
      </w:r>
      <w:r>
        <w:t xml:space="preserve">.</w:t>
      </w:r>
    </w:p>
    <w:p>
      <w:pPr>
        <w:pStyle w:val="BodyText"/>
      </w:pPr>
      <w:r>
        <w:t xml:space="preserve">Furthermore anonymity and disinhibition in the context of genAI has so far received very little attention. The online disinhibition effect describes how people behave differently in an online environment as they would offline, showing less inihibitions</w:t>
      </w:r>
      <w:r>
        <w:t xml:space="preserve"> </w:t>
      </w:r>
      <w:r>
        <w:t xml:space="preserve">(Suler 2004)</w:t>
      </w:r>
      <w:r>
        <w:t xml:space="preserve">. Online disinhibition is often connected to perceived anonymity. Referring to the</w:t>
      </w:r>
      <w:r>
        <w:t xml:space="preserve"> </w:t>
      </w:r>
      <w:r>
        <w:t xml:space="preserve">“degree to which a communicator perceives the message source is unknown”</w:t>
      </w:r>
      <w:r>
        <w:t xml:space="preserve"> </w:t>
      </w:r>
      <w:r>
        <w:t xml:space="preserve">(Anonymous 1998)</w:t>
      </w:r>
      <w:r>
        <w:t xml:space="preserve">. Which could also to lead to self-disclosure and more open conversations</w:t>
      </w:r>
      <w:r>
        <w:t xml:space="preserve"> </w:t>
      </w:r>
      <w:r>
        <w:t xml:space="preserve">(Joinson 2007)</w:t>
      </w:r>
      <w:r>
        <w:t xml:space="preserve">.</w:t>
      </w:r>
    </w:p>
    <w:p>
      <w:pPr>
        <w:pStyle w:val="BodyText"/>
      </w:pPr>
      <w:r>
        <w:t xml:space="preserve">The perceived privacy and anonimity of students using these tools has not received that much attention.</w:t>
      </w:r>
    </w:p>
    <w:p>
      <w:pPr>
        <w:pStyle w:val="BodyText"/>
      </w:pPr>
      <w:r>
        <w:t xml:space="preserve">The question this paper therefore puts forward is:</w:t>
      </w:r>
    </w:p>
    <w:bookmarkEnd w:id="20"/>
    <w:bookmarkStart w:id="58" w:name="research-questions"/>
    <w:p>
      <w:pPr>
        <w:pStyle w:val="Heading2"/>
      </w:pPr>
      <w:r>
        <w:t xml:space="preserve">Research Questions</w:t>
      </w:r>
    </w:p>
    <w:p>
      <w:pPr>
        <w:pStyle w:val="FirstParagraph"/>
      </w:pPr>
      <w:r>
        <w:t xml:space="preserve">How do students in higher education perceive privacy and anonimity when perusing genAI?</w:t>
      </w:r>
    </w:p>
    <w:p>
      <w:pPr>
        <w:pStyle w:val="BodyText"/>
      </w:pPr>
      <w:r>
        <w:t xml:space="preserve">Subquestions:</w:t>
      </w:r>
    </w:p>
    <w:p>
      <w:pPr>
        <w:pStyle w:val="Compact"/>
        <w:numPr>
          <w:ilvl w:val="0"/>
          <w:numId w:val="1001"/>
        </w:numPr>
      </w:pPr>
      <w:r>
        <w:t xml:space="preserve">What do HEI students use genAI for?</w:t>
      </w:r>
    </w:p>
    <w:p>
      <w:pPr>
        <w:pStyle w:val="Compact"/>
        <w:numPr>
          <w:ilvl w:val="0"/>
          <w:numId w:val="1001"/>
        </w:numPr>
      </w:pPr>
      <w:r>
        <w:t xml:space="preserve">What kind of information do they share with the system to get what they want?</w:t>
      </w:r>
    </w:p>
    <w:p>
      <w:pPr>
        <w:pStyle w:val="Compact"/>
        <w:numPr>
          <w:ilvl w:val="0"/>
          <w:numId w:val="1001"/>
        </w:numPr>
      </w:pPr>
      <w:r>
        <w:t xml:space="preserve">How trusting are students of genAI platforms?</w:t>
      </w:r>
    </w:p>
    <w:p>
      <w:pPr>
        <w:pStyle w:val="Compact"/>
        <w:numPr>
          <w:ilvl w:val="0"/>
          <w:numId w:val="1001"/>
        </w:numPr>
      </w:pPr>
      <w:r>
        <w:t xml:space="preserve">How do they perceive their influence on the information they give to LLM’s?</w:t>
      </w:r>
    </w:p>
    <w:p>
      <w:pPr>
        <w:pStyle w:val="Compact"/>
        <w:numPr>
          <w:ilvl w:val="0"/>
          <w:numId w:val="1001"/>
        </w:numPr>
      </w:pPr>
      <w:r>
        <w:t xml:space="preserve">Do students feel like they can discuss more</w:t>
      </w:r>
    </w:p>
    <w:bookmarkStart w:id="57" w:name="refs"/>
    <w:bookmarkStart w:id="22" w:name="X40d4078ab045c3053cd6786a92911c8cf12db2e"/>
    <w:p>
      <w:pPr>
        <w:pStyle w:val="Bibliography"/>
      </w:pPr>
      <w:r>
        <w:t xml:space="preserve">Alshugran, Tariq A., and Lina H. Kloub. 2025.</w:t>
      </w:r>
      <w:r>
        <w:t xml:space="preserve"> </w:t>
      </w:r>
      <w:r>
        <w:t xml:space="preserve">“Preserving</w:t>
      </w:r>
      <w:r>
        <w:t xml:space="preserve"> </w:t>
      </w:r>
      <w:r>
        <w:t xml:space="preserve">Student Privacy While Leveraging Generative AI</w:t>
      </w:r>
      <w:r>
        <w:t xml:space="preserve"> </w:t>
      </w:r>
      <w:r>
        <w:t xml:space="preserve">in</w:t>
      </w:r>
      <w:r>
        <w:t xml:space="preserve"> </w:t>
      </w:r>
      <w:r>
        <w:t xml:space="preserve">Higher Education</w:t>
      </w:r>
      <w:r>
        <w:t xml:space="preserve">.”</w:t>
      </w:r>
      <w:r>
        <w:t xml:space="preserve"> </w:t>
      </w:r>
      <w:r>
        <w:t xml:space="preserve">In</w:t>
      </w:r>
      <w:r>
        <w:t xml:space="preserve"> </w:t>
      </w:r>
      <w:r>
        <w:rPr>
          <w:i/>
          <w:iCs/>
        </w:rPr>
        <w:t xml:space="preserve">2025</w:t>
      </w:r>
      <w:r>
        <w:rPr>
          <w:i/>
          <w:iCs/>
        </w:rPr>
        <w:t xml:space="preserve"> </w:t>
      </w:r>
      <w:r>
        <w:rPr>
          <w:i/>
          <w:iCs/>
        </w:rPr>
        <w:t xml:space="preserve">Northeast Section Conference Proceedings</w:t>
      </w:r>
      <w:r>
        <w:t xml:space="preserve">, 54995. University of Bridgeport, Bridgeport, CT: ASEE Conferences.</w:t>
      </w:r>
      <w:r>
        <w:t xml:space="preserve"> </w:t>
      </w:r>
      <w:hyperlink r:id="rId21">
        <w:r>
          <w:rPr>
            <w:rStyle w:val="Hyperlink"/>
          </w:rPr>
          <w:t xml:space="preserve">https://doi.org/10.18260/1-2-119-54995</w:t>
        </w:r>
      </w:hyperlink>
      <w:r>
        <w:t xml:space="preserve">.</w:t>
      </w:r>
    </w:p>
    <w:bookmarkEnd w:id="22"/>
    <w:bookmarkStart w:id="24" w:name="ref-anonymousRevealNotReveal1998"/>
    <w:p>
      <w:pPr>
        <w:pStyle w:val="Bibliography"/>
      </w:pPr>
      <w:r>
        <w:t xml:space="preserve">Anonymous. 1998.</w:t>
      </w:r>
      <w:r>
        <w:t xml:space="preserve"> </w:t>
      </w:r>
      <w:r>
        <w:t xml:space="preserve">“To</w:t>
      </w:r>
      <w:r>
        <w:t xml:space="preserve"> </w:t>
      </w:r>
      <w:r>
        <w:t xml:space="preserve">Reveal</w:t>
      </w:r>
      <w:r>
        <w:t xml:space="preserve"> </w:t>
      </w:r>
      <w:r>
        <w:t xml:space="preserve">or</w:t>
      </w:r>
      <w:r>
        <w:t xml:space="preserve"> </w:t>
      </w:r>
      <w:r>
        <w:t xml:space="preserve">Not</w:t>
      </w:r>
      <w:r>
        <w:t xml:space="preserve"> </w:t>
      </w:r>
      <w:r>
        <w:t xml:space="preserve">to</w:t>
      </w:r>
      <w:r>
        <w:t xml:space="preserve"> </w:t>
      </w:r>
      <w:r>
        <w:t xml:space="preserve">Reveal</w:t>
      </w:r>
      <w:r>
        <w:t xml:space="preserve">:</w:t>
      </w:r>
      <w:r>
        <w:t xml:space="preserve"> </w:t>
      </w:r>
      <w:r>
        <w:t xml:space="preserve">A Theoretical Model</w:t>
      </w:r>
      <w:r>
        <w:t xml:space="preserve"> </w:t>
      </w:r>
      <w:r>
        <w:t xml:space="preserve">of</w:t>
      </w:r>
      <w:r>
        <w:t xml:space="preserve"> </w:t>
      </w:r>
      <w:r>
        <w:t xml:space="preserve">Anonymous Communication</w:t>
      </w:r>
      <w:r>
        <w:t xml:space="preserve">.”</w:t>
      </w:r>
      <w:r>
        <w:t xml:space="preserve"> </w:t>
      </w:r>
      <w:r>
        <w:rPr>
          <w:i/>
          <w:iCs/>
        </w:rPr>
        <w:t xml:space="preserve">Communication Theory</w:t>
      </w:r>
      <w:r>
        <w:t xml:space="preserve"> </w:t>
      </w:r>
      <w:r>
        <w:t xml:space="preserve">8 (4): 381–407.</w:t>
      </w:r>
      <w:r>
        <w:t xml:space="preserve"> </w:t>
      </w:r>
      <w:hyperlink r:id="rId23">
        <w:r>
          <w:rPr>
            <w:rStyle w:val="Hyperlink"/>
          </w:rPr>
          <w:t xml:space="preserve">https://doi.org/10.1111/j.1468-2885.1998.tb00226.x</w:t>
        </w:r>
      </w:hyperlink>
      <w:r>
        <w:t xml:space="preserve">.</w:t>
      </w:r>
    </w:p>
    <w:bookmarkEnd w:id="24"/>
    <w:bookmarkStart w:id="26" w:name="X45267fea015e78e447150fcdd156c68c22a6373"/>
    <w:p>
      <w:pPr>
        <w:pStyle w:val="Bibliography"/>
      </w:pPr>
      <w:r>
        <w:t xml:space="preserve">Carter, Lemuria, Dapeng Liu, and Caley Cantrell. 2020.</w:t>
      </w:r>
      <w:r>
        <w:t xml:space="preserve"> </w:t>
      </w:r>
      <w:r>
        <w:t xml:space="preserve">“Exploring the</w:t>
      </w:r>
      <w:r>
        <w:t xml:space="preserve"> </w:t>
      </w:r>
      <w:r>
        <w:t xml:space="preserve">Intersection</w:t>
      </w:r>
      <w:r>
        <w:t xml:space="preserve"> </w:t>
      </w:r>
      <w:r>
        <w:t xml:space="preserve">of the</w:t>
      </w:r>
      <w:r>
        <w:t xml:space="preserve"> </w:t>
      </w:r>
      <w:r>
        <w:t xml:space="preserve">Digital Divide</w:t>
      </w:r>
      <w:r>
        <w:t xml:space="preserve"> </w:t>
      </w:r>
      <w:r>
        <w:t xml:space="preserve">and</w:t>
      </w:r>
      <w:r>
        <w:t xml:space="preserve"> </w:t>
      </w:r>
      <w:r>
        <w:t xml:space="preserve">Artificial Intelligence</w:t>
      </w:r>
      <w:r>
        <w:t xml:space="preserve">:</w:t>
      </w:r>
      <w:r>
        <w:t xml:space="preserve"> </w:t>
      </w:r>
      <w:r>
        <w:t xml:space="preserve">A Hermeneutic Literature Review</w:t>
      </w:r>
      <w:r>
        <w:t xml:space="preserve">.”</w:t>
      </w:r>
      <w:r>
        <w:t xml:space="preserve"> </w:t>
      </w:r>
      <w:r>
        <w:rPr>
          <w:i/>
          <w:iCs/>
        </w:rPr>
        <w:t xml:space="preserve">AIS Transactions on Human-Computer Interaction</w:t>
      </w:r>
      <w:r>
        <w:t xml:space="preserve"> </w:t>
      </w:r>
      <w:r>
        <w:t xml:space="preserve">12 (4): 253–75.</w:t>
      </w:r>
      <w:r>
        <w:t xml:space="preserve"> </w:t>
      </w:r>
      <w:hyperlink r:id="rId25">
        <w:r>
          <w:rPr>
            <w:rStyle w:val="Hyperlink"/>
          </w:rPr>
          <w:t xml:space="preserve">https://doi.org/10.17705/1thci.00138</w:t>
        </w:r>
      </w:hyperlink>
      <w:r>
        <w:t xml:space="preserve">.</w:t>
      </w:r>
    </w:p>
    <w:bookmarkEnd w:id="26"/>
    <w:bookmarkStart w:id="27" w:name="ref-ChatCopilotOutlook"/>
    <w:p>
      <w:pPr>
        <w:pStyle w:val="Bibliography"/>
      </w:pPr>
      <w:r>
        <w:t xml:space="preserve">“Chat with</w:t>
      </w:r>
      <w:r>
        <w:t xml:space="preserve"> </w:t>
      </w:r>
      <w:r>
        <w:t xml:space="preserve">Copilot</w:t>
      </w:r>
      <w:r>
        <w:t xml:space="preserve"> </w:t>
      </w:r>
      <w:r>
        <w:t xml:space="preserve">in</w:t>
      </w:r>
      <w:r>
        <w:t xml:space="preserve"> </w:t>
      </w:r>
      <w:r>
        <w:t xml:space="preserve">Outlook</w:t>
      </w:r>
      <w:r>
        <w:t xml:space="preserve"> </w:t>
      </w:r>
      <w:r>
        <w:t xml:space="preserve">-</w:t>
      </w:r>
      <w:r>
        <w:t xml:space="preserve"> </w:t>
      </w:r>
      <w:r>
        <w:t xml:space="preserve">Microsoft Support</w:t>
      </w:r>
      <w:r>
        <w:t xml:space="preserve">.”</w:t>
      </w:r>
      <w:r>
        <w:t xml:space="preserve"> </w:t>
      </w:r>
      <w:r>
        <w:t xml:space="preserve">n.d. https://support.microsoft.com/en-us/topic/chat-with-copilot-in-outlook-8090e7b3-5b1d-4c6d-9b06-02edac062f58. Accessed November 6, 2025.</w:t>
      </w:r>
    </w:p>
    <w:bookmarkEnd w:id="27"/>
    <w:bookmarkStart w:id="29" w:name="ref-dingSustainableLLMServing2024"/>
    <w:p>
      <w:pPr>
        <w:pStyle w:val="Bibliography"/>
      </w:pPr>
      <w:r>
        <w:t xml:space="preserve">Ding, Yi, and Tianyao Shi. 2024.</w:t>
      </w:r>
      <w:r>
        <w:t xml:space="preserve"> </w:t>
      </w:r>
      <w:r>
        <w:t xml:space="preserve">“Sustainable</w:t>
      </w:r>
      <w:r>
        <w:t xml:space="preserve"> </w:t>
      </w:r>
      <w:r>
        <w:t xml:space="preserve">LLM Serving</w:t>
      </w:r>
      <w:r>
        <w:t xml:space="preserve">:</w:t>
      </w:r>
      <w:r>
        <w:t xml:space="preserve"> </w:t>
      </w:r>
      <w:r>
        <w:t xml:space="preserve">Environmental Implications</w:t>
      </w:r>
      <w:r>
        <w:t xml:space="preserve">,</w:t>
      </w:r>
      <w:r>
        <w:t xml:space="preserve"> </w:t>
      </w:r>
      <w:r>
        <w:t xml:space="preserve">Challenges</w:t>
      </w:r>
      <w:r>
        <w:t xml:space="preserve">, and</w:t>
      </w:r>
      <w:r>
        <w:t xml:space="preserve"> </w:t>
      </w:r>
      <w:r>
        <w:t xml:space="preserve">Opportunities</w:t>
      </w:r>
      <w:r>
        <w:t xml:space="preserve"> </w:t>
      </w:r>
      <w:r>
        <w:t xml:space="preserve">:</w:t>
      </w:r>
      <w:r>
        <w:t xml:space="preserve"> </w:t>
      </w:r>
      <w:r>
        <w:t xml:space="preserve">Invited Paper</w:t>
      </w:r>
      <w:r>
        <w:t xml:space="preserve">.”</w:t>
      </w:r>
      <w:r>
        <w:t xml:space="preserve"> </w:t>
      </w:r>
      <w:r>
        <w:t xml:space="preserve">In</w:t>
      </w:r>
      <w:r>
        <w:t xml:space="preserve"> </w:t>
      </w:r>
      <w:r>
        <w:rPr>
          <w:i/>
          <w:iCs/>
        </w:rPr>
        <w:t xml:space="preserve">2024</w:t>
      </w:r>
      <w:r>
        <w:rPr>
          <w:i/>
          <w:iCs/>
        </w:rPr>
        <w:t xml:space="preserve"> </w:t>
      </w:r>
      <w:r>
        <w:rPr>
          <w:i/>
          <w:iCs/>
        </w:rPr>
        <w:t xml:space="preserve">IEEE</w:t>
      </w:r>
      <w:r>
        <w:rPr>
          <w:i/>
          <w:iCs/>
        </w:rPr>
        <w:t xml:space="preserve"> </w:t>
      </w:r>
      <w:r>
        <w:rPr>
          <w:i/>
          <w:iCs/>
        </w:rPr>
        <w:t xml:space="preserve">15th</w:t>
      </w:r>
      <w:r>
        <w:rPr>
          <w:i/>
          <w:iCs/>
        </w:rPr>
        <w:t xml:space="preserve"> </w:t>
      </w:r>
      <w:r>
        <w:rPr>
          <w:i/>
          <w:iCs/>
        </w:rPr>
        <w:t xml:space="preserve">International Green</w:t>
      </w:r>
      <w:r>
        <w:rPr>
          <w:i/>
          <w:iCs/>
        </w:rPr>
        <w:t xml:space="preserve"> </w:t>
      </w:r>
      <w:r>
        <w:rPr>
          <w:i/>
          <w:iCs/>
        </w:rPr>
        <w:t xml:space="preserve">and</w:t>
      </w:r>
      <w:r>
        <w:rPr>
          <w:i/>
          <w:iCs/>
        </w:rPr>
        <w:t xml:space="preserve"> </w:t>
      </w:r>
      <w:r>
        <w:rPr>
          <w:i/>
          <w:iCs/>
        </w:rPr>
        <w:t xml:space="preserve">Sustainable Computing Conference</w:t>
      </w:r>
      <w:r>
        <w:rPr>
          <w:i/>
          <w:iCs/>
        </w:rPr>
        <w:t xml:space="preserve"> </w:t>
      </w:r>
      <w:r>
        <w:rPr>
          <w:i/>
          <w:iCs/>
        </w:rPr>
        <w:t xml:space="preserve">(</w:t>
      </w:r>
      <w:r>
        <w:rPr>
          <w:i/>
          <w:iCs/>
        </w:rPr>
        <w:t xml:space="preserve">IGSC</w:t>
      </w:r>
      <w:r>
        <w:rPr>
          <w:i/>
          <w:iCs/>
        </w:rPr>
        <w:t xml:space="preserve">)</w:t>
      </w:r>
      <w:r>
        <w:t xml:space="preserve">, 37–38. Austin, TX, USA: IEEE.</w:t>
      </w:r>
      <w:r>
        <w:t xml:space="preserve"> </w:t>
      </w:r>
      <w:hyperlink r:id="rId28">
        <w:r>
          <w:rPr>
            <w:rStyle w:val="Hyperlink"/>
          </w:rPr>
          <w:t xml:space="preserve">https://doi.org/10.1109/IGSC64514.2024.00016</w:t>
        </w:r>
      </w:hyperlink>
      <w:r>
        <w:t xml:space="preserve">.</w:t>
      </w:r>
    </w:p>
    <w:bookmarkEnd w:id="29"/>
    <w:bookmarkStart w:id="30" w:name="ref-duckduckgoDuckaiDuckDuckGoHelp"/>
    <w:p>
      <w:pPr>
        <w:pStyle w:val="Bibliography"/>
      </w:pPr>
      <w:r>
        <w:t xml:space="preserve">DuckDuckGo. n.d.</w:t>
      </w:r>
      <w:r>
        <w:t xml:space="preserve"> </w:t>
      </w:r>
      <w:r>
        <w:t xml:space="preserve">“Duck.ai -</w:t>
      </w:r>
      <w:r>
        <w:t xml:space="preserve"> </w:t>
      </w:r>
      <w:r>
        <w:t xml:space="preserve">DuckDuckGo Help Pages</w:t>
      </w:r>
      <w:r>
        <w:t xml:space="preserve">.”</w:t>
      </w:r>
      <w:r>
        <w:t xml:space="preserve"> </w:t>
      </w:r>
      <w:r>
        <w:t xml:space="preserve">https://duckduckgo.com/duckduckgo-help-pages/duckai. Accessed November 6, 2025.</w:t>
      </w:r>
    </w:p>
    <w:bookmarkEnd w:id="30"/>
    <w:bookmarkStart w:id="31" w:name="ref-googleGoogleAIMode"/>
    <w:p>
      <w:pPr>
        <w:pStyle w:val="Bibliography"/>
      </w:pPr>
      <w:r>
        <w:t xml:space="preserve">Google. n.d.</w:t>
      </w:r>
      <w:r>
        <w:t xml:space="preserve"> </w:t>
      </w:r>
      <w:r>
        <w:t xml:space="preserve">“Google</w:t>
      </w:r>
      <w:r>
        <w:t xml:space="preserve"> </w:t>
      </w:r>
      <w:r>
        <w:t xml:space="preserve">AI Mode</w:t>
      </w:r>
      <w:r>
        <w:t xml:space="preserve"> </w:t>
      </w:r>
      <w:r>
        <w:t xml:space="preserve">- a New Way to Search, Whatever’s on Your Mind.”</w:t>
      </w:r>
      <w:r>
        <w:t xml:space="preserve"> </w:t>
      </w:r>
      <w:r>
        <w:rPr>
          <w:i/>
          <w:iCs/>
        </w:rPr>
        <w:t xml:space="preserve">Google AI Mode - a New Way to Search, Whatever’s on Your Mind</w:t>
      </w:r>
      <w:r>
        <w:t xml:space="preserve">. https://search.google/ways-to-search/ai-mode/. Accessed November 6, 2025.</w:t>
      </w:r>
    </w:p>
    <w:bookmarkEnd w:id="31"/>
    <w:bookmarkStart w:id="32" w:name="X8555abf89c6c223e12b3c5091163b7722c68e8a"/>
    <w:p>
      <w:pPr>
        <w:pStyle w:val="Bibliography"/>
      </w:pPr>
      <w:r>
        <w:t xml:space="preserve">Grantham-Philips, Wyatte. 2024.</w:t>
      </w:r>
      <w:r>
        <w:t xml:space="preserve"> </w:t>
      </w:r>
      <w:r>
        <w:t xml:space="preserve">“</w:t>
      </w:r>
      <w:r>
        <w:t xml:space="preserve">AI</w:t>
      </w:r>
      <w:r>
        <w:t xml:space="preserve"> </w:t>
      </w:r>
      <w:r>
        <w:t xml:space="preserve">Is Becoming Ingrained in Businesses Across Industries.</w:t>
      </w:r>
      <w:r>
        <w:t xml:space="preserve"> </w:t>
      </w:r>
      <w:r>
        <w:t xml:space="preserve">Where</w:t>
      </w:r>
      <w:r>
        <w:t xml:space="preserve"> </w:t>
      </w:r>
      <w:r>
        <w:t xml:space="preserve">Is It Going in 2025?”</w:t>
      </w:r>
      <w:r>
        <w:t xml:space="preserve"> </w:t>
      </w:r>
      <w:r>
        <w:rPr>
          <w:i/>
          <w:iCs/>
        </w:rPr>
        <w:t xml:space="preserve">AP News</w:t>
      </w:r>
      <w:r>
        <w:t xml:space="preserve">. https://apnews.com/article/artificial-intelligence-interview-pwc-dan-priest-a0458061469735aed7af5fa49682e076.</w:t>
      </w:r>
    </w:p>
    <w:bookmarkEnd w:id="32"/>
    <w:bookmarkStart w:id="34" w:name="ref-hanImpactGenAILearning2025"/>
    <w:p>
      <w:pPr>
        <w:pStyle w:val="Bibliography"/>
      </w:pPr>
      <w:r>
        <w:t xml:space="preserve">Han, Xiaoli, Hongchao Peng, and Mingzhuo Liu. 2025.</w:t>
      </w:r>
      <w:r>
        <w:t xml:space="preserve"> </w:t>
      </w:r>
      <w:r>
        <w:t xml:space="preserve">“The Impact of</w:t>
      </w:r>
      <w:r>
        <w:t xml:space="preserve"> </w:t>
      </w:r>
      <w:r>
        <w:t xml:space="preserve">GenAI</w:t>
      </w:r>
      <w:r>
        <w:t xml:space="preserve"> </w:t>
      </w:r>
      <w:r>
        <w:t xml:space="preserve">on Learning Outcomes:</w:t>
      </w:r>
      <w:r>
        <w:t xml:space="preserve"> </w:t>
      </w:r>
      <w:r>
        <w:t xml:space="preserve">A</w:t>
      </w:r>
      <w:r>
        <w:t xml:space="preserve"> </w:t>
      </w:r>
      <w:r>
        <w:t xml:space="preserve">Systematic Review and Meta-Analysis of Experimental Studies.”</w:t>
      </w:r>
      <w:r>
        <w:t xml:space="preserve"> </w:t>
      </w:r>
      <w:r>
        <w:rPr>
          <w:i/>
          <w:iCs/>
        </w:rPr>
        <w:t xml:space="preserve">Educational Research Review</w:t>
      </w:r>
      <w:r>
        <w:t xml:space="preserve"> </w:t>
      </w:r>
      <w:r>
        <w:t xml:space="preserve">48 (August): 100714.</w:t>
      </w:r>
      <w:r>
        <w:t xml:space="preserve"> </w:t>
      </w:r>
      <w:hyperlink r:id="rId33">
        <w:r>
          <w:rPr>
            <w:rStyle w:val="Hyperlink"/>
          </w:rPr>
          <w:t xml:space="preserve">https://doi.org/10.1016/j.edurev.2025.100714</w:t>
        </w:r>
      </w:hyperlink>
      <w:r>
        <w:t xml:space="preserve">.</w:t>
      </w:r>
    </w:p>
    <w:bookmarkEnd w:id="34"/>
    <w:bookmarkStart w:id="36" w:name="ref-joinsonDisinhibitionInternet2007"/>
    <w:p>
      <w:pPr>
        <w:pStyle w:val="Bibliography"/>
      </w:pPr>
      <w:r>
        <w:t xml:space="preserve">Joinson, Adam N. 2007.</w:t>
      </w:r>
      <w:r>
        <w:t xml:space="preserve"> </w:t>
      </w:r>
      <w:r>
        <w:t xml:space="preserve">“Disinhibition and the</w:t>
      </w:r>
      <w:r>
        <w:t xml:space="preserve"> </w:t>
      </w:r>
      <w:r>
        <w:t xml:space="preserve">Internet</w:t>
      </w:r>
      <w:r>
        <w:t xml:space="preserve">.”</w:t>
      </w:r>
      <w:r>
        <w:t xml:space="preserve"> </w:t>
      </w:r>
      <w:r>
        <w:t xml:space="preserve">In</w:t>
      </w:r>
      <w:r>
        <w:t xml:space="preserve"> </w:t>
      </w:r>
      <w:r>
        <w:rPr>
          <w:i/>
          <w:iCs/>
        </w:rPr>
        <w:t xml:space="preserve">Psychology and the</w:t>
      </w:r>
      <w:r>
        <w:rPr>
          <w:i/>
          <w:iCs/>
        </w:rPr>
        <w:t xml:space="preserve"> </w:t>
      </w:r>
      <w:r>
        <w:rPr>
          <w:i/>
          <w:iCs/>
        </w:rPr>
        <w:t xml:space="preserve">Internet</w:t>
      </w:r>
      <w:r>
        <w:t xml:space="preserve">, 75–92. Elsevier.</w:t>
      </w:r>
      <w:r>
        <w:t xml:space="preserve"> </w:t>
      </w:r>
      <w:hyperlink r:id="rId35">
        <w:r>
          <w:rPr>
            <w:rStyle w:val="Hyperlink"/>
          </w:rPr>
          <w:t xml:space="preserve">https://doi.org/10.1016/B978-012369425-6/50023-0</w:t>
        </w:r>
      </w:hyperlink>
      <w:r>
        <w:t xml:space="preserve">.</w:t>
      </w:r>
    </w:p>
    <w:bookmarkEnd w:id="36"/>
    <w:bookmarkStart w:id="37" w:name="ref-metaMetaAIWhatsApp"/>
    <w:p>
      <w:pPr>
        <w:pStyle w:val="Bibliography"/>
      </w:pPr>
      <w:r>
        <w:t xml:space="preserve">Meta. n.d.</w:t>
      </w:r>
      <w:r>
        <w:t xml:space="preserve"> </w:t>
      </w:r>
      <w:r>
        <w:t xml:space="preserve">“Meta</w:t>
      </w:r>
      <w:r>
        <w:t xml:space="preserve"> </w:t>
      </w:r>
      <w:r>
        <w:t xml:space="preserve">AI</w:t>
      </w:r>
      <w:r>
        <w:t xml:space="preserve"> </w:t>
      </w:r>
      <w:r>
        <w:t xml:space="preserve">in</w:t>
      </w:r>
      <w:r>
        <w:t xml:space="preserve"> </w:t>
      </w:r>
      <w:r>
        <w:t xml:space="preserve">WhatsApp</w:t>
      </w:r>
      <w:r>
        <w:t xml:space="preserve">:</w:t>
      </w:r>
      <w:r>
        <w:t xml:space="preserve"> </w:t>
      </w:r>
      <w:r>
        <w:t xml:space="preserve">Chat</w:t>
      </w:r>
      <w:r>
        <w:t xml:space="preserve">,</w:t>
      </w:r>
      <w:r>
        <w:t xml:space="preserve"> </w:t>
      </w:r>
      <w:r>
        <w:t xml:space="preserve">Create</w:t>
      </w:r>
      <w:r>
        <w:t xml:space="preserve"> </w:t>
      </w:r>
      <w:r>
        <w:t xml:space="preserve">&amp;</w:t>
      </w:r>
      <w:r>
        <w:t xml:space="preserve"> </w:t>
      </w:r>
      <w:r>
        <w:t xml:space="preserve">Get Things Done</w:t>
      </w:r>
      <w:r>
        <w:t xml:space="preserve">.”</w:t>
      </w:r>
      <w:r>
        <w:t xml:space="preserve"> </w:t>
      </w:r>
      <w:r>
        <w:rPr>
          <w:i/>
          <w:iCs/>
        </w:rPr>
        <w:t xml:space="preserve">WhatsApp.com</w:t>
      </w:r>
      <w:r>
        <w:t xml:space="preserve">. https://www.whatsapp.com/meta-ai. Accessed November 6, 2025.</w:t>
      </w:r>
    </w:p>
    <w:bookmarkEnd w:id="37"/>
    <w:bookmarkStart w:id="38" w:name="ref-microsoftIntroducingNewBing"/>
    <w:p>
      <w:pPr>
        <w:pStyle w:val="Bibliography"/>
      </w:pPr>
      <w:r>
        <w:t xml:space="preserve">Microsoft. n.d.</w:t>
      </w:r>
      <w:r>
        <w:t xml:space="preserve"> </w:t>
      </w:r>
      <w:r>
        <w:t xml:space="preserve">“Introducing the New</w:t>
      </w:r>
      <w:r>
        <w:t xml:space="preserve"> </w:t>
      </w:r>
      <w:r>
        <w:t xml:space="preserve">Bing</w:t>
      </w:r>
      <w:r>
        <w:t xml:space="preserve">.</w:t>
      </w:r>
      <w:r>
        <w:t xml:space="preserve"> </w:t>
      </w:r>
      <w:r>
        <w:t xml:space="preserve">The AI-powered</w:t>
      </w:r>
      <w:r>
        <w:t xml:space="preserve"> </w:t>
      </w:r>
      <w:r>
        <w:t xml:space="preserve">Assistant for Your Search.”</w:t>
      </w:r>
      <w:r>
        <w:t xml:space="preserve"> https://www.microsoft.com/en-us/edge/features/the-new-bing. Accessed November 6, 2025.</w:t>
      </w:r>
    </w:p>
    <w:bookmarkEnd w:id="38"/>
    <w:bookmarkStart w:id="40" w:name="ref-ngAnalyzingSecurityPrivacy2025"/>
    <w:p>
      <w:pPr>
        <w:pStyle w:val="Bibliography"/>
      </w:pPr>
      <w:r>
        <w:t xml:space="preserve">Ng, Bei Yi, Jiarui Li, Xinyuan Tong, Kevin Ye, Gauthami Yenne, Varun Chandrasekaran, and Jingjie Li. 2025.</w:t>
      </w:r>
      <w:r>
        <w:t xml:space="preserve"> </w:t>
      </w:r>
      <w:r>
        <w:t xml:space="preserve">“Analyzing</w:t>
      </w:r>
      <w:r>
        <w:t xml:space="preserve"> </w:t>
      </w:r>
      <w:r>
        <w:t xml:space="preserve">Security</w:t>
      </w:r>
      <w:r>
        <w:t xml:space="preserve"> </w:t>
      </w:r>
      <w:r>
        <w:t xml:space="preserve">and</w:t>
      </w:r>
      <w:r>
        <w:t xml:space="preserve"> </w:t>
      </w:r>
      <w:r>
        <w:t xml:space="preserve">Privacy Challenges</w:t>
      </w:r>
      <w:r>
        <w:t xml:space="preserve"> </w:t>
      </w:r>
      <w:r>
        <w:t xml:space="preserve">in</w:t>
      </w:r>
      <w:r>
        <w:t xml:space="preserve"> </w:t>
      </w:r>
      <w:r>
        <w:t xml:space="preserve">Generative AI Usage Guidelines</w:t>
      </w:r>
      <w:r>
        <w:t xml:space="preserve"> </w:t>
      </w:r>
      <w:r>
        <w:t xml:space="preserve">for</w:t>
      </w:r>
      <w:r>
        <w:t xml:space="preserve"> </w:t>
      </w:r>
      <w:r>
        <w:t xml:space="preserve">Higher Education</w:t>
      </w:r>
      <w:r>
        <w:t xml:space="preserve">.”</w:t>
      </w:r>
      <w:r>
        <w:t xml:space="preserve"> </w:t>
      </w:r>
      <w:r>
        <w:t xml:space="preserve">arXiv.</w:t>
      </w:r>
      <w:r>
        <w:t xml:space="preserve"> </w:t>
      </w:r>
      <w:hyperlink r:id="rId39">
        <w:r>
          <w:rPr>
            <w:rStyle w:val="Hyperlink"/>
          </w:rPr>
          <w:t xml:space="preserve">https://doi.org/10.48550/arXiv.2506.20463</w:t>
        </w:r>
      </w:hyperlink>
      <w:r>
        <w:t xml:space="preserve">.</w:t>
      </w:r>
    </w:p>
    <w:bookmarkEnd w:id="40"/>
    <w:bookmarkStart w:id="42" w:name="ref-perifanouCollaborativeUsesGenAI2025"/>
    <w:p>
      <w:pPr>
        <w:pStyle w:val="Bibliography"/>
      </w:pPr>
      <w:r>
        <w:t xml:space="preserve">Perifanou, Maria, and Anastasios A. Economides. 2025.</w:t>
      </w:r>
      <w:r>
        <w:t xml:space="preserve"> </w:t>
      </w:r>
      <w:r>
        <w:t xml:space="preserve">“Collaborative</w:t>
      </w:r>
      <w:r>
        <w:t xml:space="preserve"> </w:t>
      </w:r>
      <w:r>
        <w:t xml:space="preserve">Uses</w:t>
      </w:r>
      <w:r>
        <w:t xml:space="preserve"> </w:t>
      </w:r>
      <w:r>
        <w:t xml:space="preserve">of</w:t>
      </w:r>
      <w:r>
        <w:t xml:space="preserve"> </w:t>
      </w:r>
      <w:r>
        <w:t xml:space="preserve">GenAI Tools</w:t>
      </w:r>
      <w:r>
        <w:t xml:space="preserve"> </w:t>
      </w:r>
      <w:r>
        <w:t xml:space="preserve">in</w:t>
      </w:r>
      <w:r>
        <w:t xml:space="preserve"> </w:t>
      </w:r>
      <w:r>
        <w:t xml:space="preserve">Project-Based Learning</w:t>
      </w:r>
      <w:r>
        <w:t xml:space="preserve">.”</w:t>
      </w:r>
      <w:r>
        <w:t xml:space="preserve"> </w:t>
      </w:r>
      <w:r>
        <w:rPr>
          <w:i/>
          <w:iCs/>
        </w:rPr>
        <w:t xml:space="preserve">Education Sciences</w:t>
      </w:r>
      <w:r>
        <w:t xml:space="preserve"> </w:t>
      </w:r>
      <w:r>
        <w:t xml:space="preserve">15 (3): 354.</w:t>
      </w:r>
      <w:r>
        <w:t xml:space="preserve"> </w:t>
      </w:r>
      <w:hyperlink r:id="rId41">
        <w:r>
          <w:rPr>
            <w:rStyle w:val="Hyperlink"/>
          </w:rPr>
          <w:t xml:space="preserve">https://doi.org/10.3390/educsci15030354</w:t>
        </w:r>
      </w:hyperlink>
      <w:r>
        <w:t xml:space="preserve">.</w:t>
      </w:r>
    </w:p>
    <w:bookmarkEnd w:id="42"/>
    <w:bookmarkStart w:id="43" w:name="ref-rillig2023risks"/>
    <w:p>
      <w:pPr>
        <w:pStyle w:val="Bibliography"/>
      </w:pPr>
      <w:r>
        <w:t xml:space="preserve">Rillig, Matthias C, Marlene Ågerstrand, Mohan Bi, Kenneth A Gould, and Uli Sauerland. 2023.</w:t>
      </w:r>
      <w:r>
        <w:t xml:space="preserve"> </w:t>
      </w:r>
      <w:r>
        <w:t xml:space="preserve">“Risks and Benefits of Large Language Models for the Environment.”</w:t>
      </w:r>
      <w:r>
        <w:t xml:space="preserve"> </w:t>
      </w:r>
      <w:r>
        <w:rPr>
          <w:i/>
          <w:iCs/>
        </w:rPr>
        <w:t xml:space="preserve">Environmental Science &amp; Technology</w:t>
      </w:r>
      <w:r>
        <w:t xml:space="preserve"> </w:t>
      </w:r>
      <w:r>
        <w:t xml:space="preserve">57 (9): 3464–66.</w:t>
      </w:r>
    </w:p>
    <w:bookmarkEnd w:id="43"/>
    <w:bookmarkStart w:id="45" w:name="ref-sartoriMindingGapsPublic2023"/>
    <w:p>
      <w:pPr>
        <w:pStyle w:val="Bibliography"/>
      </w:pPr>
      <w:r>
        <w:t xml:space="preserve">Sartori, Laura, and Giulia Bocca. 2023.</w:t>
      </w:r>
      <w:r>
        <w:t xml:space="preserve"> </w:t>
      </w:r>
      <w:r>
        <w:t xml:space="preserve">“Minding the Gap(s): Public Perceptions of</w:t>
      </w:r>
      <w:r>
        <w:t xml:space="preserve"> </w:t>
      </w:r>
      <w:r>
        <w:t xml:space="preserve">AI</w:t>
      </w:r>
      <w:r>
        <w:t xml:space="preserve"> </w:t>
      </w:r>
      <w:r>
        <w:t xml:space="preserve">and Socio-Technical Imaginaries.”</w:t>
      </w:r>
      <w:r>
        <w:t xml:space="preserve"> </w:t>
      </w:r>
      <w:r>
        <w:rPr>
          <w:i/>
          <w:iCs/>
        </w:rPr>
        <w:t xml:space="preserve">AI &amp; SOCIETY</w:t>
      </w:r>
      <w:r>
        <w:t xml:space="preserve"> </w:t>
      </w:r>
      <w:r>
        <w:t xml:space="preserve">38 (2): 443–58.</w:t>
      </w:r>
      <w:r>
        <w:t xml:space="preserve"> </w:t>
      </w:r>
      <w:hyperlink r:id="rId44">
        <w:r>
          <w:rPr>
            <w:rStyle w:val="Hyperlink"/>
          </w:rPr>
          <w:t xml:space="preserve">https://doi.org/10.1007/s00146-022-01422-1</w:t>
        </w:r>
      </w:hyperlink>
      <w:r>
        <w:t xml:space="preserve">.</w:t>
      </w:r>
    </w:p>
    <w:bookmarkEnd w:id="45"/>
    <w:bookmarkStart w:id="47" w:name="ref-silvennoinenStudentsUsageGenAI2025"/>
    <w:p>
      <w:pPr>
        <w:pStyle w:val="Bibliography"/>
      </w:pPr>
      <w:r>
        <w:t xml:space="preserve">Silvennoinen, Minna, Satu Aksovaara, and Merja Alanko-Turunen. 2025.</w:t>
      </w:r>
      <w:r>
        <w:t xml:space="preserve"> </w:t>
      </w:r>
      <w:r>
        <w:t xml:space="preserve">“Students’</w:t>
      </w:r>
      <w:r>
        <w:t xml:space="preserve"> </w:t>
      </w:r>
      <w:r>
        <w:t xml:space="preserve">Usage</w:t>
      </w:r>
      <w:r>
        <w:t xml:space="preserve"> </w:t>
      </w:r>
      <w:r>
        <w:t xml:space="preserve">of</w:t>
      </w:r>
      <w:r>
        <w:t xml:space="preserve"> </w:t>
      </w:r>
      <w:r>
        <w:t xml:space="preserve">GenAI</w:t>
      </w:r>
      <w:r>
        <w:t xml:space="preserve"> </w:t>
      </w:r>
      <w:r>
        <w:t xml:space="preserve">in</w:t>
      </w:r>
      <w:r>
        <w:t xml:space="preserve"> </w:t>
      </w:r>
      <w:r>
        <w:t xml:space="preserve">Universities</w:t>
      </w:r>
      <w:r>
        <w:t xml:space="preserve"> </w:t>
      </w:r>
      <w:r>
        <w:t xml:space="preserve">of</w:t>
      </w:r>
      <w:r>
        <w:t xml:space="preserve"> </w:t>
      </w:r>
      <w:r>
        <w:t xml:space="preserve">Applied Sciences</w:t>
      </w:r>
      <w:r>
        <w:t xml:space="preserve">:</w:t>
      </w:r>
      <w:r>
        <w:t xml:space="preserve"> </w:t>
      </w:r>
      <w:r>
        <w:t xml:space="preserve">Experiences</w:t>
      </w:r>
      <w:r>
        <w:t xml:space="preserve"> </w:t>
      </w:r>
      <w:r>
        <w:t xml:space="preserve">and</w:t>
      </w:r>
      <w:r>
        <w:t xml:space="preserve"> </w:t>
      </w:r>
      <w:r>
        <w:t xml:space="preserve">Development Needs</w:t>
      </w:r>
      <w:r>
        <w:t xml:space="preserve"> </w:t>
      </w:r>
      <w:r>
        <w:t xml:space="preserve">for</w:t>
      </w:r>
      <w:r>
        <w:t xml:space="preserve"> </w:t>
      </w:r>
      <w:r>
        <w:t xml:space="preserve">Guidance</w:t>
      </w:r>
      <w:r>
        <w:t xml:space="preserve"> </w:t>
      </w:r>
      <w:r>
        <w:t xml:space="preserve">and</w:t>
      </w:r>
      <w:r>
        <w:t xml:space="preserve"> </w:t>
      </w:r>
      <w:r>
        <w:t xml:space="preserve">Support</w:t>
      </w:r>
      <w:r>
        <w:t xml:space="preserve">.”</w:t>
      </w:r>
      <w:r>
        <w:t xml:space="preserve"> </w:t>
      </w:r>
      <w:r>
        <w:t xml:space="preserve">In</w:t>
      </w:r>
      <w:r>
        <w:t xml:space="preserve"> </w:t>
      </w:r>
      <w:r>
        <w:rPr>
          <w:i/>
          <w:iCs/>
        </w:rPr>
        <w:t xml:space="preserve">38th</w:t>
      </w:r>
      <w:r>
        <w:rPr>
          <w:i/>
          <w:iCs/>
        </w:rPr>
        <w:t xml:space="preserve"> </w:t>
      </w:r>
      <w:r>
        <w:rPr>
          <w:i/>
          <w:iCs/>
        </w:rPr>
        <w:t xml:space="preserve">Bled eConference</w:t>
      </w:r>
      <w:r>
        <w:rPr>
          <w:i/>
          <w:iCs/>
        </w:rPr>
        <w:t xml:space="preserve">:</w:t>
      </w:r>
      <w:r>
        <w:rPr>
          <w:i/>
          <w:iCs/>
        </w:rPr>
        <w:t xml:space="preserve"> </w:t>
      </w:r>
      <w:r>
        <w:rPr>
          <w:i/>
          <w:iCs/>
        </w:rPr>
        <w:t xml:space="preserve">Empowering Transformation</w:t>
      </w:r>
      <w:r>
        <w:rPr>
          <w:i/>
          <w:iCs/>
        </w:rPr>
        <w:t xml:space="preserve">:</w:t>
      </w:r>
      <w:r>
        <w:rPr>
          <w:i/>
          <w:iCs/>
        </w:rPr>
        <w:t xml:space="preserve"> </w:t>
      </w:r>
      <w:r>
        <w:rPr>
          <w:i/>
          <w:iCs/>
        </w:rPr>
        <w:t xml:space="preserve">Shaping Digital Futures</w:t>
      </w:r>
      <w:r>
        <w:rPr>
          <w:i/>
          <w:iCs/>
        </w:rPr>
        <w:t xml:space="preserve"> </w:t>
      </w:r>
      <w:r>
        <w:rPr>
          <w:i/>
          <w:iCs/>
        </w:rPr>
        <w:t xml:space="preserve">for</w:t>
      </w:r>
      <w:r>
        <w:rPr>
          <w:i/>
          <w:iCs/>
        </w:rPr>
        <w:t xml:space="preserve"> </w:t>
      </w:r>
      <w:r>
        <w:rPr>
          <w:i/>
          <w:iCs/>
        </w:rPr>
        <w:t xml:space="preserve">All</w:t>
      </w:r>
      <w:r>
        <w:rPr>
          <w:i/>
          <w:iCs/>
        </w:rPr>
        <w:t xml:space="preserve">:</w:t>
      </w:r>
      <w:r>
        <w:rPr>
          <w:i/>
          <w:iCs/>
        </w:rPr>
        <w:t xml:space="preserve"> </w:t>
      </w:r>
      <w:r>
        <w:rPr>
          <w:i/>
          <w:iCs/>
        </w:rPr>
        <w:t xml:space="preserve">Conference Proceedings</w:t>
      </w:r>
      <w:r>
        <w:t xml:space="preserve">, 467–82. University of Maribor Press.</w:t>
      </w:r>
      <w:r>
        <w:t xml:space="preserve"> </w:t>
      </w:r>
      <w:hyperlink r:id="rId46">
        <w:r>
          <w:rPr>
            <w:rStyle w:val="Hyperlink"/>
          </w:rPr>
          <w:t xml:space="preserve">https://doi.org/10.18690/um.fov.4.2025.29</w:t>
        </w:r>
      </w:hyperlink>
      <w:r>
        <w:t xml:space="preserve">.</w:t>
      </w:r>
    </w:p>
    <w:bookmarkEnd w:id="47"/>
    <w:bookmarkStart w:id="48" w:name="ref-suler2004online"/>
    <w:p>
      <w:pPr>
        <w:pStyle w:val="Bibliography"/>
      </w:pPr>
      <w:r>
        <w:t xml:space="preserve">Suler, John. 2004.</w:t>
      </w:r>
      <w:r>
        <w:t xml:space="preserve"> </w:t>
      </w:r>
      <w:r>
        <w:t xml:space="preserve">“The Online Disinhibition Effect.”</w:t>
      </w:r>
      <w:r>
        <w:t xml:space="preserve"> </w:t>
      </w:r>
      <w:r>
        <w:rPr>
          <w:i/>
          <w:iCs/>
        </w:rPr>
        <w:t xml:space="preserve">Cyberpsychology &amp; Behavior</w:t>
      </w:r>
      <w:r>
        <w:t xml:space="preserve"> </w:t>
      </w:r>
      <w:r>
        <w:t xml:space="preserve">7 (3): 321–26.</w:t>
      </w:r>
    </w:p>
    <w:bookmarkEnd w:id="48"/>
    <w:bookmarkStart w:id="50" w:name="Xb49160b6b427715e673f52809fd3577a1560369"/>
    <w:p>
      <w:pPr>
        <w:pStyle w:val="Bibliography"/>
      </w:pPr>
      <w:r>
        <w:t xml:space="preserve">Suonpää, Maija, Jutta Heikkilä, and Ana Dimkar. 2024.</w:t>
      </w:r>
      <w:r>
        <w:t xml:space="preserve"> </w:t>
      </w:r>
      <w:r>
        <w:t xml:space="preserve">“Students’</w:t>
      </w:r>
      <w:r>
        <w:t xml:space="preserve"> </w:t>
      </w:r>
      <w:r>
        <w:t xml:space="preserve">Perceptions Of Generative Ai Usage And Risks In A Finnish Higher Education Institution</w:t>
      </w:r>
      <w:r>
        <w:t xml:space="preserve">.”</w:t>
      </w:r>
      <w:r>
        <w:t xml:space="preserve"> </w:t>
      </w:r>
      <w:r>
        <w:t xml:space="preserve">In</w:t>
      </w:r>
      <w:r>
        <w:t xml:space="preserve"> </w:t>
      </w:r>
      <w:r>
        <w:rPr>
          <w:i/>
          <w:iCs/>
        </w:rPr>
        <w:t xml:space="preserve">18th</w:t>
      </w:r>
      <w:r>
        <w:rPr>
          <w:i/>
          <w:iCs/>
        </w:rPr>
        <w:t xml:space="preserve"> </w:t>
      </w:r>
      <w:r>
        <w:rPr>
          <w:i/>
          <w:iCs/>
        </w:rPr>
        <w:t xml:space="preserve">International Technology</w:t>
      </w:r>
      <w:r>
        <w:rPr>
          <w:i/>
          <w:iCs/>
        </w:rPr>
        <w:t xml:space="preserve">,</w:t>
      </w:r>
      <w:r>
        <w:rPr>
          <w:i/>
          <w:iCs/>
        </w:rPr>
        <w:t xml:space="preserve"> </w:t>
      </w:r>
      <w:r>
        <w:rPr>
          <w:i/>
          <w:iCs/>
        </w:rPr>
        <w:t xml:space="preserve">Education</w:t>
      </w:r>
      <w:r>
        <w:rPr>
          <w:i/>
          <w:iCs/>
        </w:rPr>
        <w:t xml:space="preserve"> </w:t>
      </w:r>
      <w:r>
        <w:rPr>
          <w:i/>
          <w:iCs/>
        </w:rPr>
        <w:t xml:space="preserve">and</w:t>
      </w:r>
      <w:r>
        <w:rPr>
          <w:i/>
          <w:iCs/>
        </w:rPr>
        <w:t xml:space="preserve"> </w:t>
      </w:r>
      <w:r>
        <w:rPr>
          <w:i/>
          <w:iCs/>
        </w:rPr>
        <w:t xml:space="preserve">Development Conference</w:t>
      </w:r>
      <w:r>
        <w:t xml:space="preserve">, 3071–77. Valencia, Spain.</w:t>
      </w:r>
      <w:r>
        <w:t xml:space="preserve"> </w:t>
      </w:r>
      <w:hyperlink r:id="rId49">
        <w:r>
          <w:rPr>
            <w:rStyle w:val="Hyperlink"/>
          </w:rPr>
          <w:t xml:space="preserve">https://doi.org/10.21125/inted.2024.0825</w:t>
        </w:r>
      </w:hyperlink>
      <w:r>
        <w:t xml:space="preserve">.</w:t>
      </w:r>
    </w:p>
    <w:bookmarkEnd w:id="50"/>
    <w:bookmarkStart w:id="52" w:name="ref-udehRoleGenerativeAI2025"/>
    <w:p>
      <w:pPr>
        <w:pStyle w:val="Bibliography"/>
      </w:pPr>
      <w:r>
        <w:t xml:space="preserve">Udeh, Chinemelum Goodness. 2025.</w:t>
      </w:r>
      <w:r>
        <w:t xml:space="preserve"> </w:t>
      </w:r>
      <w:r>
        <w:t xml:space="preserve">“The Role of Generative</w:t>
      </w:r>
      <w:r>
        <w:t xml:space="preserve"> </w:t>
      </w:r>
      <w:r>
        <w:t xml:space="preserve">AI</w:t>
      </w:r>
      <w:r>
        <w:t xml:space="preserve"> </w:t>
      </w:r>
      <w:r>
        <w:t xml:space="preserve">in Personalized Learning for Higher Education.”</w:t>
      </w:r>
      <w:r>
        <w:t xml:space="preserve"> </w:t>
      </w:r>
      <w:r>
        <w:rPr>
          <w:i/>
          <w:iCs/>
        </w:rPr>
        <w:t xml:space="preserve">World Journal of Advanced Engineering Technology and Sciences</w:t>
      </w:r>
      <w:r>
        <w:t xml:space="preserve"> </w:t>
      </w:r>
      <w:r>
        <w:t xml:space="preserve">14 (2): 205–7.</w:t>
      </w:r>
      <w:r>
        <w:t xml:space="preserve"> </w:t>
      </w:r>
      <w:hyperlink r:id="rId51">
        <w:r>
          <w:rPr>
            <w:rStyle w:val="Hyperlink"/>
          </w:rPr>
          <w:t xml:space="preserve">https://doi.org/10.30574/wjaets.2025.14.2.0077</w:t>
        </w:r>
      </w:hyperlink>
      <w:r>
        <w:t xml:space="preserve">.</w:t>
      </w:r>
    </w:p>
    <w:bookmarkEnd w:id="52"/>
    <w:bookmarkStart w:id="54" w:name="ref-wangGenerativeAIHigher2024"/>
    <w:p>
      <w:pPr>
        <w:pStyle w:val="Bibliography"/>
      </w:pPr>
      <w:r>
        <w:t xml:space="preserve">Wang, Hui, Anh Dang, Zihao Wu, and Son Mac. 2024.</w:t>
      </w:r>
      <w:r>
        <w:t xml:space="preserve"> </w:t>
      </w:r>
      <w:r>
        <w:t xml:space="preserve">“Generative</w:t>
      </w:r>
      <w:r>
        <w:t xml:space="preserve"> </w:t>
      </w:r>
      <w:r>
        <w:t xml:space="preserve">AI</w:t>
      </w:r>
      <w:r>
        <w:t xml:space="preserve"> </w:t>
      </w:r>
      <w:r>
        <w:t xml:space="preserve">in Higher Education:</w:t>
      </w:r>
      <w:r>
        <w:t xml:space="preserve"> </w:t>
      </w:r>
      <w:r>
        <w:t xml:space="preserve">Seeing ChatGPT</w:t>
      </w:r>
      <w:r>
        <w:t xml:space="preserve"> </w:t>
      </w:r>
      <w:r>
        <w:t xml:space="preserve">Through Universities’ Policies, Resources, and Guidelines.”</w:t>
      </w:r>
      <w:r>
        <w:t xml:space="preserve"> </w:t>
      </w:r>
      <w:r>
        <w:rPr>
          <w:i/>
          <w:iCs/>
        </w:rPr>
        <w:t xml:space="preserve">Computers and Education: Artificial Intelligence</w:t>
      </w:r>
      <w:r>
        <w:t xml:space="preserve"> </w:t>
      </w:r>
      <w:r>
        <w:t xml:space="preserve">7 (December): 100326.</w:t>
      </w:r>
      <w:r>
        <w:t xml:space="preserve"> </w:t>
      </w:r>
      <w:hyperlink r:id="rId53">
        <w:r>
          <w:rPr>
            <w:rStyle w:val="Hyperlink"/>
          </w:rPr>
          <w:t xml:space="preserve">https://doi.org/10.1016/j.caeai.2024.100326</w:t>
        </w:r>
      </w:hyperlink>
      <w:r>
        <w:t xml:space="preserve">.</w:t>
      </w:r>
    </w:p>
    <w:bookmarkEnd w:id="54"/>
    <w:bookmarkStart w:id="56" w:name="ref-zhangDesigningGenAITools2025"/>
    <w:p>
      <w:pPr>
        <w:pStyle w:val="Bibliography"/>
      </w:pPr>
      <w:r>
        <w:t xml:space="preserve">Zhang, Ling, Zijun Yao, and Arya Hadizadeh Moghaddam. 2025.</w:t>
      </w:r>
      <w:r>
        <w:t xml:space="preserve"> </w:t>
      </w:r>
      <w:r>
        <w:t xml:space="preserve">“Designing</w:t>
      </w:r>
      <w:r>
        <w:t xml:space="preserve"> </w:t>
      </w:r>
      <w:r>
        <w:t xml:space="preserve">GenAI Tools</w:t>
      </w:r>
      <w:r>
        <w:t xml:space="preserve"> </w:t>
      </w:r>
      <w:r>
        <w:t xml:space="preserve">for</w:t>
      </w:r>
      <w:r>
        <w:t xml:space="preserve"> </w:t>
      </w:r>
      <w:r>
        <w:t xml:space="preserve">Personalized Learning Implementation</w:t>
      </w:r>
      <w:r>
        <w:t xml:space="preserve">:</w:t>
      </w:r>
      <w:r>
        <w:t xml:space="preserve"> </w:t>
      </w:r>
      <w:r>
        <w:t xml:space="preserve">Theoretical Analysis</w:t>
      </w:r>
      <w:r>
        <w:t xml:space="preserve"> </w:t>
      </w:r>
      <w:r>
        <w:t xml:space="preserve">and</w:t>
      </w:r>
      <w:r>
        <w:t xml:space="preserve"> </w:t>
      </w:r>
      <w:r>
        <w:t xml:space="preserve">Prototype</w:t>
      </w:r>
      <w:r>
        <w:t xml:space="preserve"> </w:t>
      </w:r>
      <w:r>
        <w:t xml:space="preserve">of a</w:t>
      </w:r>
      <w:r>
        <w:t xml:space="preserve"> </w:t>
      </w:r>
      <w:r>
        <w:t xml:space="preserve">Multi-Agent System</w:t>
      </w:r>
      <w:r>
        <w:t xml:space="preserve">.”</w:t>
      </w:r>
      <w:r>
        <w:t xml:space="preserve"> </w:t>
      </w:r>
      <w:r>
        <w:rPr>
          <w:i/>
          <w:iCs/>
        </w:rPr>
        <w:t xml:space="preserve">Journal of Teacher Education</w:t>
      </w:r>
      <w:r>
        <w:t xml:space="preserve"> </w:t>
      </w:r>
      <w:r>
        <w:t xml:space="preserve">76 (3): 280–93.</w:t>
      </w:r>
      <w:r>
        <w:t xml:space="preserve"> </w:t>
      </w:r>
      <w:hyperlink r:id="rId55">
        <w:r>
          <w:rPr>
            <w:rStyle w:val="Hyperlink"/>
          </w:rPr>
          <w:t xml:space="preserve">https://doi.org/10.1177/00224871251325109</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doi.org/10.1007/s00146-022-01422-1" TargetMode="External" /><Relationship Type="http://schemas.openxmlformats.org/officeDocument/2006/relationships/hyperlink" Id="rId35" Target="https://doi.org/10.1016/B978-012369425-6/50023-0" TargetMode="External" /><Relationship Type="http://schemas.openxmlformats.org/officeDocument/2006/relationships/hyperlink" Id="rId53" Target="https://doi.org/10.1016/j.caeai.2024.100326" TargetMode="External" /><Relationship Type="http://schemas.openxmlformats.org/officeDocument/2006/relationships/hyperlink" Id="rId33" Target="https://doi.org/10.1016/j.edurev.2025.100714" TargetMode="External" /><Relationship Type="http://schemas.openxmlformats.org/officeDocument/2006/relationships/hyperlink" Id="rId28" Target="https://doi.org/10.1109/IGSC64514.2024.00016" TargetMode="External" /><Relationship Type="http://schemas.openxmlformats.org/officeDocument/2006/relationships/hyperlink" Id="rId23" Target="https://doi.org/10.1111/j.1468-2885.1998.tb00226.x" TargetMode="External" /><Relationship Type="http://schemas.openxmlformats.org/officeDocument/2006/relationships/hyperlink" Id="rId55" Target="https://doi.org/10.1177/00224871251325109" TargetMode="External" /><Relationship Type="http://schemas.openxmlformats.org/officeDocument/2006/relationships/hyperlink" Id="rId25" Target="https://doi.org/10.17705/1thci.00138" TargetMode="External" /><Relationship Type="http://schemas.openxmlformats.org/officeDocument/2006/relationships/hyperlink" Id="rId21" Target="https://doi.org/10.18260/1-2-119-54995" TargetMode="External" /><Relationship Type="http://schemas.openxmlformats.org/officeDocument/2006/relationships/hyperlink" Id="rId46" Target="https://doi.org/10.18690/um.fov.4.2025.29" TargetMode="External" /><Relationship Type="http://schemas.openxmlformats.org/officeDocument/2006/relationships/hyperlink" Id="rId49" Target="https://doi.org/10.21125/inted.2024.0825" TargetMode="External" /><Relationship Type="http://schemas.openxmlformats.org/officeDocument/2006/relationships/hyperlink" Id="rId51" Target="https://doi.org/10.30574/wjaets.2025.14.2.0077" TargetMode="External" /><Relationship Type="http://schemas.openxmlformats.org/officeDocument/2006/relationships/hyperlink" Id="rId41" Target="https://doi.org/10.3390/educsci15030354" TargetMode="External" /><Relationship Type="http://schemas.openxmlformats.org/officeDocument/2006/relationships/hyperlink" Id="rId39" Target="https://doi.org/10.48550/arXiv.2506.20463" TargetMode="External" /></Relationships>
</file>

<file path=word/_rels/footnotes.xml.rels><?xml version="1.0" encoding="UTF-8"?><Relationships xmlns="http://schemas.openxmlformats.org/package/2006/relationships"><Relationship Type="http://schemas.openxmlformats.org/officeDocument/2006/relationships/hyperlink" Id="rId44" Target="https://doi.org/10.1007/s00146-022-01422-1" TargetMode="External" /><Relationship Type="http://schemas.openxmlformats.org/officeDocument/2006/relationships/hyperlink" Id="rId35" Target="https://doi.org/10.1016/B978-012369425-6/50023-0" TargetMode="External" /><Relationship Type="http://schemas.openxmlformats.org/officeDocument/2006/relationships/hyperlink" Id="rId53" Target="https://doi.org/10.1016/j.caeai.2024.100326" TargetMode="External" /><Relationship Type="http://schemas.openxmlformats.org/officeDocument/2006/relationships/hyperlink" Id="rId33" Target="https://doi.org/10.1016/j.edurev.2025.100714" TargetMode="External" /><Relationship Type="http://schemas.openxmlformats.org/officeDocument/2006/relationships/hyperlink" Id="rId28" Target="https://doi.org/10.1109/IGSC64514.2024.00016" TargetMode="External" /><Relationship Type="http://schemas.openxmlformats.org/officeDocument/2006/relationships/hyperlink" Id="rId23" Target="https://doi.org/10.1111/j.1468-2885.1998.tb00226.x" TargetMode="External" /><Relationship Type="http://schemas.openxmlformats.org/officeDocument/2006/relationships/hyperlink" Id="rId55" Target="https://doi.org/10.1177/00224871251325109" TargetMode="External" /><Relationship Type="http://schemas.openxmlformats.org/officeDocument/2006/relationships/hyperlink" Id="rId25" Target="https://doi.org/10.17705/1thci.00138" TargetMode="External" /><Relationship Type="http://schemas.openxmlformats.org/officeDocument/2006/relationships/hyperlink" Id="rId21" Target="https://doi.org/10.18260/1-2-119-54995" TargetMode="External" /><Relationship Type="http://schemas.openxmlformats.org/officeDocument/2006/relationships/hyperlink" Id="rId46" Target="https://doi.org/10.18690/um.fov.4.2025.29" TargetMode="External" /><Relationship Type="http://schemas.openxmlformats.org/officeDocument/2006/relationships/hyperlink" Id="rId49" Target="https://doi.org/10.21125/inted.2024.0825" TargetMode="External" /><Relationship Type="http://schemas.openxmlformats.org/officeDocument/2006/relationships/hyperlink" Id="rId51" Target="https://doi.org/10.30574/wjaets.2025.14.2.0077" TargetMode="External" /><Relationship Type="http://schemas.openxmlformats.org/officeDocument/2006/relationships/hyperlink" Id="rId41" Target="https://doi.org/10.3390/educsci15030354" TargetMode="External" /><Relationship Type="http://schemas.openxmlformats.org/officeDocument/2006/relationships/hyperlink" Id="rId39" Target="https://doi.org/10.48550/arXiv.2506.204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Perceived Privacy and Apathy in GenAI amongst HEI students</dc:title>
  <dc:creator/>
  <cp:keywords/>
  <dcterms:created xsi:type="dcterms:W3CDTF">2025-11-12T08:57:10Z</dcterms:created>
  <dcterms:modified xsi:type="dcterms:W3CDTF">2025-11-12T08:57:10Z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google-scholar">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auto</vt:lpwstr>
  </property>
  <property fmtid="{D5CDD505-2E9C-101B-9397-08002B2CF9AE}" pid="15" name="manuscript">
    <vt:lpwstr/>
  </property>
  <property fmtid="{D5CDD505-2E9C-101B-9397-08002B2CF9AE}" pid="16" name="notebook-preview-options">
    <vt:lpwstr/>
  </property>
  <property fmtid="{D5CDD505-2E9C-101B-9397-08002B2CF9AE}" pid="17" name="quarto-internal">
    <vt:lpwstr/>
  </property>
  <property fmtid="{D5CDD505-2E9C-101B-9397-08002B2CF9AE}" pid="18" name="remove-hidden">
    <vt:lpwstr>all</vt:lpwstr>
  </property>
  <property fmtid="{D5CDD505-2E9C-101B-9397-08002B2CF9AE}" pid="19" name="template-partials">
    <vt:lpwstr/>
  </property>
  <property fmtid="{D5CDD505-2E9C-101B-9397-08002B2CF9AE}" pid="20" name="theme">
    <vt:lpwstr>cosmo</vt:lpwstr>
  </property>
  <property fmtid="{D5CDD505-2E9C-101B-9397-08002B2CF9AE}" pid="21" name="title-block-style">
    <vt:lpwstr>manuscript</vt:lpwstr>
  </property>
  <property fmtid="{D5CDD505-2E9C-101B-9397-08002B2CF9AE}" pid="22" name="toc-title">
    <vt:lpwstr>Table of contents</vt:lpwstr>
  </property>
  <property fmtid="{D5CDD505-2E9C-101B-9397-08002B2CF9AE}" pid="23" name="unroll-markdown-cells">
    <vt:lpwstr>True</vt:lpwstr>
  </property>
</Properties>
</file>