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 for adolescents</w:t>
      </w:r>
    </w:p>
    <w:bookmarkStart w:id="20" w:name="introduction"/>
    <w:p>
      <w:pPr>
        <w:pStyle w:val="Heading2"/>
      </w:pPr>
      <w:r>
        <w:t xml:space="preserve">Introduction</w:t>
      </w:r>
    </w:p>
    <w:p>
      <w:pPr>
        <w:pStyle w:val="FirstParagraph"/>
      </w:pPr>
      <w:r>
        <w:t xml:space="preserve">Over the last decade the question whether Artificial Intelligence (AI) itself exhibits agency has been debated</w:t>
      </w:r>
      <w:r>
        <w:t xml:space="preserve"> </w:t>
      </w:r>
      <w:r>
        <w:t xml:space="preserve">(Legaspi, He, and Toyoizumi 2019; Swanepoel 2021)</w:t>
      </w:r>
      <w:r>
        <w:t xml:space="preserve">. If they do exhibit, then perhaps not agency</w:t>
      </w:r>
      <w:r>
        <w:t xml:space="preserve"> </w:t>
      </w:r>
      <w:r>
        <w:t xml:space="preserve">“arising from beliefs, desires and reasons”</w:t>
      </w:r>
      <w:r>
        <w:t xml:space="preserve"> </w:t>
      </w:r>
      <w:r>
        <w:t xml:space="preserve">(Dattathrani and De’ 2023)</w:t>
      </w:r>
      <w:r>
        <w:t xml:space="preserve">.</w:t>
      </w:r>
    </w:p>
    <w:p>
      <w:pPr>
        <w:pStyle w:val="BodyText"/>
      </w:pPr>
      <w:r>
        <w:t xml:space="preserve">This distinction between human and technological agency becomes more blurred with the emerging paradigm of Agentic AI, which is different to previous forms of AI such as large language models (LLMs), because it can operate (semi-)autonomously and pursue complex goals with little human intervention</w:t>
      </w:r>
      <w:r>
        <w:t xml:space="preserve"> </w:t>
      </w:r>
      <w:r>
        <w:t xml:space="preserve">(Acharya, Kuppan, and Divya 2025)</w:t>
      </w:r>
      <w:r>
        <w:t xml:space="preserve">.</w:t>
      </w:r>
    </w:p>
    <w:p>
      <w:pPr>
        <w:pStyle w:val="BodyText"/>
      </w:pPr>
      <w:r>
        <w:t xml:space="preserve">This questions the nature of our human future and of our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In</w:t>
      </w:r>
      <w:r>
        <w:t xml:space="preserve"> </w:t>
      </w:r>
      <w:r>
        <w:t xml:space="preserve">Giddens (1984)</w:t>
      </w:r>
      <w:r>
        <w:t xml:space="preserve">’ structuralist definition of human agency, placed within society, it is the capability to</w:t>
      </w:r>
      <w:r>
        <w:t xml:space="preserve"> </w:t>
      </w:r>
      <w:r>
        <w:t xml:space="preserve">“make a difference”</w:t>
      </w:r>
      <w:r>
        <w:t xml:space="preserve">, in other words to have and be able to exercise power over a situation in a certain context or structure</w:t>
      </w:r>
      <w:r>
        <w:t xml:space="preserve"> </w:t>
      </w:r>
      <w:r>
        <w:t xml:space="preserve">(Giddens 1984)</w:t>
      </w:r>
      <w:r>
        <w:t xml:space="preserve">.</w:t>
      </w:r>
    </w:p>
    <w:p>
      <w:pPr>
        <w:pStyle w:val="BodyText"/>
      </w:pPr>
      <w:r>
        <w:t xml:space="preserve">Young people around the globe are growing up in a different digital reality than their parents, where AI is playing a big part. After the</w:t>
      </w:r>
      <w:r>
        <w:t xml:space="preserve"> </w:t>
      </w:r>
      <w:r>
        <w:t xml:space="preserve">“digital natives”</w:t>
      </w:r>
      <w:r>
        <w:t xml:space="preserve"> </w:t>
      </w:r>
      <w:r>
        <w:t xml:space="preserve">of the early 2000’s and the debates for evidence that entailed</w:t>
      </w:r>
      <w:r>
        <w:t xml:space="preserve"> </w:t>
      </w:r>
      <w:r>
        <w:t xml:space="preserve">(Bennett, Maton, and Kervin 2008)</w:t>
      </w:r>
      <w:r>
        <w:t xml:space="preserve">, one could argue that we are moving towards a generation of</w:t>
      </w:r>
      <w:r>
        <w:t xml:space="preserve"> </w:t>
      </w:r>
      <w:r>
        <w:t xml:space="preserve">“AI natives”</w:t>
      </w:r>
      <w:r>
        <w:t xml:space="preserve"> </w:t>
      </w:r>
      <w:r>
        <w:t xml:space="preserve">(Ponce Rojo et al. 2025)</w:t>
      </w:r>
      <w:r>
        <w:t xml:space="preserve">. A new group of adolescents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p>
    <w:p>
      <w:pPr>
        <w:pStyle w:val="BodyText"/>
      </w:pPr>
      <w:r>
        <w:t xml:space="preserve">If Human-like AI (HLAI) or autonomous Artificial General Intelligence is really in the near future, like some believe</w:t>
      </w:r>
      <w:r>
        <w:t xml:space="preserve"> </w:t>
      </w:r>
      <w:r>
        <w:t xml:space="preserve">(Voss and Jovanovic 2023; Qureshi et al. 2025)</w:t>
      </w:r>
      <w:r>
        <w:t xml:space="preserve">, this could have a profound impact on the way our economy is structured and what kind of work is performed by humans and what is performed solely by machines. The already great concentration in economic and political power by technologists is expected to only increase if we focus on replacing human labour by automating tasks instead of augmenting human labour with AI, leading to a situation where those</w:t>
      </w:r>
      <w:r>
        <w:t xml:space="preserve"> </w:t>
      </w:r>
      <w:r>
        <w:t xml:space="preserve">“without power have no way to improve their outcomes”</w:t>
      </w:r>
      <w:r>
        <w:t xml:space="preserve">, what</w:t>
      </w:r>
      <w:r>
        <w:t xml:space="preserve"> </w:t>
      </w:r>
      <w:r>
        <w:t xml:space="preserve">Brynjolfsson (2022)</w:t>
      </w:r>
      <w:r>
        <w:t xml:space="preserve"> </w:t>
      </w:r>
      <w:r>
        <w:t xml:space="preserve">calls the</w:t>
      </w:r>
      <w:r>
        <w:t xml:space="preserve"> </w:t>
      </w:r>
      <w:r>
        <w:rPr>
          <w:i/>
          <w:iCs/>
        </w:rPr>
        <w:t xml:space="preserve">Turing Trap</w:t>
      </w:r>
      <w:r>
        <w:t xml:space="preserve">.</w:t>
      </w:r>
    </w:p>
    <w:p>
      <w:pPr>
        <w:pStyle w:val="BodyText"/>
      </w:pPr>
      <w:r>
        <w:t xml:space="preserve">A situation where power concentrates among the lucky few that are already econonomically and politically powerful and have influence on how HLAI can be deployed is very unlikely to yield larger autonomy, freedom and agency for the majority with marginal ecomonic and political power.</w:t>
      </w:r>
    </w:p>
    <w:p>
      <w:pPr>
        <w:pStyle w:val="BodyText"/>
      </w:pPr>
      <w:r>
        <w:t xml:space="preserve">How then do we avoid the Turing Trap for our young people, who form half of the world’s population</w:t>
      </w:r>
      <w:r>
        <w:t xml:space="preserve"> </w:t>
      </w:r>
      <w:r>
        <w:t xml:space="preserve">(United Nations 2024)</w:t>
      </w:r>
      <w:r>
        <w:t xml:space="preserve">, and increase their capability to</w:t>
      </w:r>
      <w:r>
        <w:t xml:space="preserve"> </w:t>
      </w:r>
      <w:r>
        <w:t xml:space="preserve">“make a difference”</w:t>
      </w:r>
      <w:r>
        <w:t xml:space="preserve">?</w:t>
      </w:r>
    </w:p>
    <w:bookmarkEnd w:id="20"/>
    <w:bookmarkStart w:id="21" w:name="gap"/>
    <w:p>
      <w:pPr>
        <w:pStyle w:val="Heading2"/>
      </w:pPr>
      <w:r>
        <w:t xml:space="preserve">Gap</w:t>
      </w:r>
    </w:p>
    <w:p>
      <w:pPr>
        <w:pStyle w:val="FirstParagraph"/>
      </w:pPr>
      <w:r>
        <w:t xml:space="preserve">In the course of history, human development has been argued to increase where agency and freedom increase</w:t>
      </w:r>
      <w:r>
        <w:t xml:space="preserve"> </w:t>
      </w:r>
      <w:r>
        <w:t xml:space="preserve">(Prados de la Escosura 2022; Sen 1999)</w:t>
      </w:r>
      <w:r>
        <w:t xml:space="preserve">. Agency is however a bloated term that can mean a number of things in different domains, such as psychology where it focuses on individual human agency</w:t>
      </w:r>
      <w:r>
        <w:t xml:space="preserve"> </w:t>
      </w:r>
      <w:r>
        <w:t xml:space="preserve">(Bandura 2001)</w:t>
      </w:r>
      <w:r>
        <w:t xml:space="preserve">, sociology where it focuses on the structures within an actor operates</w:t>
      </w:r>
      <w:r>
        <w:t xml:space="preserve"> </w:t>
      </w:r>
      <w:r>
        <w:t xml:space="preserve">(Giddens 1984)</w:t>
      </w:r>
      <w:r>
        <w:t xml:space="preserve">. Agency is a term closely related to and with overlaps to terms such as autonomy and freedom. To be clear in this context</w:t>
      </w:r>
      <w:r>
        <w:t xml:space="preserve"> </w:t>
      </w:r>
      <w:r>
        <w:t xml:space="preserve">“agency”</w:t>
      </w:r>
      <w:r>
        <w:t xml:space="preserve"> </w:t>
      </w:r>
      <w:r>
        <w:t xml:space="preserve">means for an actor to be free to act true to that same actor’s intentions.</w:t>
      </w:r>
    </w:p>
    <w:p>
      <w:pPr>
        <w:pStyle w:val="BodyText"/>
      </w:pPr>
      <w:r>
        <w:t xml:space="preserve">This in itself is impossible to measure, being dependent on so many factors. But some attempts have been made to measure how people perceive their</w:t>
      </w:r>
      <w:r>
        <w:t xml:space="preserve"> </w:t>
      </w:r>
      <w:r>
        <w:rPr>
          <w:i/>
          <w:iCs/>
        </w:rPr>
        <w:t xml:space="preserve">sense of agency</w:t>
      </w:r>
      <w:r>
        <w:t xml:space="preserve"> </w:t>
      </w:r>
      <w:r>
        <w:t xml:space="preserve">(Tapal, Oren, and Eitam 2017)</w:t>
      </w:r>
      <w:r>
        <w:t xml:space="preserve"> </w:t>
      </w:r>
      <w:r>
        <w:t xml:space="preserve">or how Trust in Automation (TiA) influences there autonomy</w:t>
      </w:r>
      <w:r>
        <w:t xml:space="preserve"> </w:t>
      </w:r>
      <w:r>
        <w:t xml:space="preserve">(Kohn et al. 2021)</w:t>
      </w:r>
      <w:r>
        <w:t xml:space="preserve">.</w:t>
      </w:r>
    </w:p>
    <w:p>
      <w:pPr>
        <w:pStyle w:val="BodyText"/>
      </w:pPr>
      <w:r>
        <w:t xml:space="preserve">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 Or what the effect is of Agentic AI on Sense of Agency (SoA).</w:t>
      </w:r>
    </w:p>
    <w:p>
      <w:pPr>
        <w:pStyle w:val="BodyText"/>
      </w:pPr>
      <w:r>
        <w:t xml:space="preserve">The way Agentic AI or AI in general is influencing agency in adolescents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(Dai 2025; Silvennoinen, Aksovaara, and Alanko-Turunen 2025; Suonpää, Heikkilä, and Dimkar 2024)</w:t>
      </w:r>
      <w:r>
        <w:t xml:space="preserve">.</w:t>
      </w:r>
    </w:p>
    <w:p>
      <w:pPr>
        <w:pStyle w:val="BodyText"/>
      </w:pPr>
      <w:r>
        <w:t xml:space="preserve">While the Human AI - Interaction framework suggested by</w:t>
      </w:r>
      <w:r>
        <w:t xml:space="preserve"> </w:t>
      </w:r>
      <w:r>
        <w:t xml:space="preserve">Sundar (2020)</w:t>
      </w:r>
      <w:r>
        <w:t xml:space="preserve"> </w:t>
      </w:r>
      <w:r>
        <w:t xml:space="preserve">incorporates agency, it does not investigate the different angles it proposes as interesting.</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 AI Literacies among adolescents has not been studies in relation to their human agency.</w:t>
      </w:r>
    </w:p>
    <w:p>
      <w:pPr>
        <w:pStyle w:val="BodyText"/>
      </w:pPr>
      <w:r>
        <w:t xml:space="preserve">In goal attainment and AI assisted coaching, there is a real opportunity for an AI to participate in the process</w:t>
      </w:r>
      <w:r>
        <w:t xml:space="preserve"> </w:t>
      </w:r>
      <w:r>
        <w:t xml:space="preserve">(Plotkina and Sri Ramalu 2024)</w:t>
      </w:r>
      <w:r>
        <w:t xml:space="preserve">, this then is suggested to increase agency. A literature review collecting these kinds of studies, that are influential to agency is however hard to find.</w:t>
      </w:r>
    </w:p>
    <w:bookmarkEnd w:id="21"/>
    <w:bookmarkStart w:id="22" w:name="hook"/>
    <w:p>
      <w:pPr>
        <w:pStyle w:val="Heading2"/>
      </w:pPr>
      <w:r>
        <w:t xml:space="preserve">Hook</w:t>
      </w:r>
    </w:p>
    <w:p>
      <w:pPr>
        <w:pStyle w:val="FirstParagraph"/>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It is therefore imperative to understand how and why agency is being threatened and how agency can be increased in the context of Agentic AI. That firstly means understanding how we can assess agency is being influenced. I propose using and translating the Sense of Agency Scale</w:t>
      </w:r>
      <w:r>
        <w:t xml:space="preserve"> </w:t>
      </w:r>
      <w:r>
        <w:t xml:space="preserve">(Tapal, Oren, and Eitam 2017)</w:t>
      </w:r>
      <w:r>
        <w:t xml:space="preserve"> </w:t>
      </w:r>
      <w:r>
        <w:t xml:space="preserve">to the context of Agentic AI. Secondly what kind of influence AI Literacy can have on understanding Agentic AI.</w:t>
      </w:r>
    </w:p>
    <w:bookmarkEnd w:id="22"/>
    <w:bookmarkStart w:id="24" w:name="research-questions"/>
    <w:p>
      <w:pPr>
        <w:pStyle w:val="Heading2"/>
      </w:pPr>
      <w:r>
        <w:t xml:space="preserve">Research Questions</w:t>
      </w:r>
    </w:p>
    <w:p>
      <w:pPr>
        <w:pStyle w:val="FirstParagraph"/>
      </w:pPr>
      <w:r>
        <w:t xml:space="preserve">How can adolescents excercise increased human agency and freedom in a with agentic AI?</w:t>
      </w:r>
    </w:p>
    <w:bookmarkStart w:id="23" w:name="sub-questions"/>
    <w:p>
      <w:pPr>
        <w:pStyle w:val="Heading3"/>
      </w:pPr>
      <w:r>
        <w:t xml:space="preserve">Sub-questions</w:t>
      </w:r>
    </w:p>
    <w:p>
      <w:pPr>
        <w:pStyle w:val="Compact"/>
        <w:numPr>
          <w:ilvl w:val="0"/>
          <w:numId w:val="1001"/>
        </w:numPr>
      </w:pPr>
      <w:r>
        <w:t xml:space="preserve">What kind of studies related to agency are already available?</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How do adolescents rate their sense of agency on the Scale of Sense of Agency</w:t>
      </w:r>
      <w:r>
        <w:t xml:space="preserve"> </w:t>
      </w:r>
      <w:r>
        <w:t xml:space="preserve">(Tapal, Oren, and Eitam 2017)</w:t>
      </w:r>
      <w:r>
        <w:t xml:space="preserve">?</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p>
      <w:pPr>
        <w:pStyle w:val="FirstParagraph"/>
      </w:pPr>
      <w:r>
        <w:t xml:space="preserve">AGENCY</w:t>
      </w:r>
      <w:r>
        <w:t xml:space="preserve"> </w:t>
      </w:r>
      <w:r>
        <w:t xml:space="preserve">ideology(Technocratic Ideologies) -. drive .-&gt; tec</w:t>
      </w:r>
      <w:r>
        <w:t xml:space="preserve"> </w:t>
      </w:r>
      <w:r>
        <w:t xml:space="preserve">tec(Technological Innovations)</w:t>
      </w:r>
      <w:r>
        <w:t xml:space="preserve"> </w:t>
      </w:r>
      <w:r>
        <w:t xml:space="preserve">pers(Personal Beliefs about AI) -. shape .-&gt;AGENCY</w:t>
      </w:r>
      <w:r>
        <w:t xml:space="preserve"> </w:t>
      </w:r>
      <w:r>
        <w:t xml:space="preserve">tec -. influence .-&gt; AGENCY</w:t>
      </w:r>
    </w:p>
    <w:p>
      <w:pPr>
        <w:pStyle w:val="SourceCode"/>
      </w:pPr>
      <w:r>
        <w:rPr>
          <w:rStyle w:val="VerbatimChar"/>
        </w:rPr>
        <w:t xml:space="preserve">subgraph AGENCY["Sense of Agency"]</w:t>
      </w:r>
      <w:r>
        <w:br/>
      </w:r>
      <w:r>
        <w:rPr>
          <w:rStyle w:val="VerbatimChar"/>
        </w:rPr>
        <w:t xml:space="preserve">direction TB</w:t>
      </w:r>
      <w:r>
        <w:br/>
      </w:r>
      <w:r>
        <w:rPr>
          <w:rStyle w:val="VerbatimChar"/>
        </w:rPr>
        <w:t xml:space="preserve">Gid(Giddens: Social Structure) --&gt; soa</w:t>
      </w:r>
      <w:r>
        <w:br/>
      </w:r>
      <w:r>
        <w:rPr>
          <w:rStyle w:val="VerbatimChar"/>
        </w:rPr>
        <w:t xml:space="preserve">Ban(Bandura: Individual) --&gt; soa</w:t>
      </w:r>
      <w:r>
        <w:br/>
      </w:r>
      <w:r>
        <w:rPr>
          <w:rStyle w:val="VerbatimChar"/>
        </w:rPr>
        <w:t xml:space="preserve">end</w:t>
      </w:r>
    </w:p>
    <w:p>
      <w:pPr>
        <w:pStyle w:val="FirstParagraph"/>
      </w:pPr>
      <w:r>
        <w:t xml:space="preserve">class AGENCY Amber;</w:t>
      </w:r>
      <w:r>
        <w:t xml:space="preserve"> </w:t>
      </w:r>
      <w:r>
        <w:t xml:space="preserve">``` –&gt;</w:t>
      </w:r>
    </w:p>
    <w:bookmarkEnd w:id="23"/>
    <w:bookmarkEnd w:id="24"/>
    <w:bookmarkStart w:id="84" w:name="references"/>
    <w:p>
      <w:pPr>
        <w:pStyle w:val="Heading2"/>
      </w:pPr>
      <w:r>
        <w:t xml:space="preserve">References</w:t>
      </w:r>
    </w:p>
    <w:bookmarkStart w:id="83" w:name="refs"/>
    <w:bookmarkStart w:id="26"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25">
        <w:r>
          <w:rPr>
            <w:rStyle w:val="Hyperlink"/>
          </w:rPr>
          <w:t xml:space="preserve">https://doi.org/10.1109/ACCESS.2025.3532853</w:t>
        </w:r>
      </w:hyperlink>
      <w:r>
        <w:t xml:space="preserve">.</w:t>
      </w:r>
    </w:p>
    <w:bookmarkEnd w:id="26"/>
    <w:bookmarkStart w:id="27"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27"/>
    <w:bookmarkStart w:id="28"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28"/>
    <w:bookmarkStart w:id="29"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29"/>
    <w:bookmarkStart w:id="31"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0">
        <w:r>
          <w:rPr>
            <w:rStyle w:val="Hyperlink"/>
          </w:rPr>
          <w:t xml:space="preserve">https://doi.org/10.1007/s43681-024-00454-1</w:t>
        </w:r>
      </w:hyperlink>
      <w:r>
        <w:t xml:space="preserve">.</w:t>
      </w:r>
    </w:p>
    <w:bookmarkEnd w:id="31"/>
    <w:bookmarkStart w:id="33" w:name="ref-bennettDigitalNativesDebate2008"/>
    <w:p>
      <w:pPr>
        <w:pStyle w:val="Bibliography"/>
      </w:pPr>
      <w:r>
        <w:t xml:space="preserve">Bennett, Sue, Karl Maton, and Lisa Kervin. 2008.</w:t>
      </w:r>
      <w:r>
        <w:t xml:space="preserve"> </w:t>
      </w:r>
      <w:r>
        <w:t xml:space="preserve">“The</w:t>
      </w:r>
      <w:r>
        <w:t xml:space="preserve"> </w:t>
      </w:r>
      <w:r>
        <w:t xml:space="preserve">‘Digital Natives’</w:t>
      </w:r>
      <w:r>
        <w:t xml:space="preserve"> </w:t>
      </w:r>
      <w:r>
        <w:t xml:space="preserve">Debate:</w:t>
      </w:r>
      <w:r>
        <w:t xml:space="preserve"> </w:t>
      </w:r>
      <w:r>
        <w:t xml:space="preserve">A</w:t>
      </w:r>
      <w:r>
        <w:t xml:space="preserve"> </w:t>
      </w:r>
      <w:r>
        <w:t xml:space="preserve">Critical Review of the Evidence.”</w:t>
      </w:r>
      <w:r>
        <w:t xml:space="preserve"> </w:t>
      </w:r>
      <w:r>
        <w:rPr>
          <w:i/>
          <w:iCs/>
        </w:rPr>
        <w:t xml:space="preserve">British Journal of Educational Technology</w:t>
      </w:r>
      <w:r>
        <w:t xml:space="preserve"> </w:t>
      </w:r>
      <w:r>
        <w:t xml:space="preserve">39 (5): 775–86.</w:t>
      </w:r>
      <w:r>
        <w:t xml:space="preserve"> </w:t>
      </w:r>
      <w:hyperlink r:id="rId32">
        <w:r>
          <w:rPr>
            <w:rStyle w:val="Hyperlink"/>
          </w:rPr>
          <w:t xml:space="preserve">https://doi.org/10.1111/j.1467-8535.2007.00793.x</w:t>
        </w:r>
      </w:hyperlink>
      <w:r>
        <w:t xml:space="preserve">.</w:t>
      </w:r>
    </w:p>
    <w:bookmarkEnd w:id="33"/>
    <w:bookmarkStart w:id="35"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34">
        <w:r>
          <w:rPr>
            <w:rStyle w:val="Hyperlink"/>
          </w:rPr>
          <w:t xml:space="preserve">https://doi.org/10.1162/daed_a_01915</w:t>
        </w:r>
      </w:hyperlink>
      <w:r>
        <w:t xml:space="preserve">.</w:t>
      </w:r>
    </w:p>
    <w:bookmarkEnd w:id="35"/>
    <w:bookmarkStart w:id="37"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36">
        <w:r>
          <w:rPr>
            <w:rStyle w:val="Hyperlink"/>
          </w:rPr>
          <w:t xml:space="preserve">https://doi.org/10.1016/j.dte.2024.100019</w:t>
        </w:r>
      </w:hyperlink>
      <w:r>
        <w:t xml:space="preserve">.</w:t>
      </w:r>
    </w:p>
    <w:bookmarkEnd w:id="37"/>
    <w:bookmarkStart w:id="39" w:name="ref-dattathraniConceptAgencyEra2023"/>
    <w:p>
      <w:pPr>
        <w:pStyle w:val="Bibliography"/>
      </w:pPr>
      <w:r>
        <w:t xml:space="preserve">Dattathrani, Sai, and Rahul De’. 2023.</w:t>
      </w:r>
      <w:r>
        <w:t xml:space="preserve"> </w:t>
      </w:r>
      <w:r>
        <w:t xml:space="preserve">“The</w:t>
      </w:r>
      <w:r>
        <w:t xml:space="preserve"> </w:t>
      </w:r>
      <w:r>
        <w:t xml:space="preserve">Concept</w:t>
      </w:r>
      <w:r>
        <w:t xml:space="preserve"> </w:t>
      </w:r>
      <w:r>
        <w:t xml:space="preserve">of</w:t>
      </w:r>
      <w:r>
        <w:t xml:space="preserve"> </w:t>
      </w:r>
      <w:r>
        <w:t xml:space="preserve">Agency</w:t>
      </w:r>
      <w:r>
        <w:t xml:space="preserve"> </w:t>
      </w:r>
      <w:r>
        <w:t xml:space="preserve">in the</w:t>
      </w:r>
      <w:r>
        <w:t xml:space="preserve"> </w:t>
      </w:r>
      <w:r>
        <w:t xml:space="preserve">Era</w:t>
      </w:r>
      <w:r>
        <w:t xml:space="preserve"> </w:t>
      </w:r>
      <w:r>
        <w:t xml:space="preserve">of</w:t>
      </w:r>
      <w:r>
        <w:t xml:space="preserve"> </w:t>
      </w:r>
      <w:r>
        <w:t xml:space="preserve">Artificial Intelligence</w:t>
      </w:r>
      <w:r>
        <w:t xml:space="preserve">:</w:t>
      </w:r>
      <w:r>
        <w:t xml:space="preserve"> </w:t>
      </w:r>
      <w:r>
        <w:t xml:space="preserve">Dimensions</w:t>
      </w:r>
      <w:r>
        <w:t xml:space="preserve"> </w:t>
      </w:r>
      <w:r>
        <w:t xml:space="preserve">and</w:t>
      </w:r>
      <w:r>
        <w:t xml:space="preserve"> </w:t>
      </w:r>
      <w:r>
        <w:t xml:space="preserve">Degrees</w:t>
      </w:r>
      <w:r>
        <w:t xml:space="preserve">.”</w:t>
      </w:r>
      <w:r>
        <w:t xml:space="preserve"> </w:t>
      </w:r>
      <w:r>
        <w:rPr>
          <w:i/>
          <w:iCs/>
        </w:rPr>
        <w:t xml:space="preserve">Information Systems Frontiers</w:t>
      </w:r>
      <w:r>
        <w:t xml:space="preserve"> </w:t>
      </w:r>
      <w:r>
        <w:t xml:space="preserve">25 (1): 29–54.</w:t>
      </w:r>
      <w:r>
        <w:t xml:space="preserve"> </w:t>
      </w:r>
      <w:hyperlink r:id="rId38">
        <w:r>
          <w:rPr>
            <w:rStyle w:val="Hyperlink"/>
          </w:rPr>
          <w:t xml:space="preserve">https://doi.org/10.1007/s10796-022-10336-8</w:t>
        </w:r>
      </w:hyperlink>
      <w:r>
        <w:t xml:space="preserve">.</w:t>
      </w:r>
    </w:p>
    <w:bookmarkEnd w:id="39"/>
    <w:bookmarkStart w:id="41"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0">
        <w:r>
          <w:rPr>
            <w:rStyle w:val="Hyperlink"/>
          </w:rPr>
          <w:t xml:space="preserve">https://doi.org/10.1007/978-94-009-9365-5_5</w:t>
        </w:r>
      </w:hyperlink>
      <w:r>
        <w:t xml:space="preserve">.</w:t>
      </w:r>
    </w:p>
    <w:bookmarkEnd w:id="41"/>
    <w:bookmarkStart w:id="43"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2">
        <w:r>
          <w:rPr>
            <w:rStyle w:val="Hyperlink"/>
          </w:rPr>
          <w:t xml:space="preserve">https://doi.org/10.1145/3459990.3460712</w:t>
        </w:r>
      </w:hyperlink>
      <w:r>
        <w:t xml:space="preserve">.</w:t>
      </w:r>
    </w:p>
    <w:bookmarkEnd w:id="43"/>
    <w:bookmarkStart w:id="44"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44"/>
    <w:bookmarkStart w:id="46"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5">
        <w:r>
          <w:rPr>
            <w:rStyle w:val="Hyperlink"/>
          </w:rPr>
          <w:t xml:space="preserve">https://doi.org/10.1007/s13347-023-00672-1</w:t>
        </w:r>
      </w:hyperlink>
      <w:r>
        <w:t xml:space="preserve">.</w:t>
      </w:r>
    </w:p>
    <w:bookmarkEnd w:id="46"/>
    <w:bookmarkStart w:id="47"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47"/>
    <w:bookmarkStart w:id="48"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48"/>
    <w:bookmarkStart w:id="50" w:name="ref-kohnMeasurementTrustAutomation2021"/>
    <w:p>
      <w:pPr>
        <w:pStyle w:val="Bibliography"/>
      </w:pPr>
      <w:r>
        <w:t xml:space="preserve">Kohn, Spencer C., Ewart J. de Visser, Eva Wiese, Yi-Ching Lee, and Tyler H. Shaw. 2021.</w:t>
      </w:r>
      <w:r>
        <w:t xml:space="preserve"> </w:t>
      </w:r>
      <w:r>
        <w:t xml:space="preserve">“Measurement of</w:t>
      </w:r>
      <w:r>
        <w:t xml:space="preserve"> </w:t>
      </w:r>
      <w:r>
        <w:t xml:space="preserve">Trust</w:t>
      </w:r>
      <w:r>
        <w:t xml:space="preserve"> </w:t>
      </w:r>
      <w:r>
        <w:t xml:space="preserve">in</w:t>
      </w:r>
      <w:r>
        <w:t xml:space="preserve"> </w:t>
      </w:r>
      <w:r>
        <w:t xml:space="preserve">Automation</w:t>
      </w:r>
      <w:r>
        <w:t xml:space="preserve">:</w:t>
      </w:r>
      <w:r>
        <w:t xml:space="preserve"> </w:t>
      </w:r>
      <w:r>
        <w:t xml:space="preserve">A Narrative Review</w:t>
      </w:r>
      <w:r>
        <w:t xml:space="preserve"> </w:t>
      </w:r>
      <w:r>
        <w:t xml:space="preserve">and</w:t>
      </w:r>
      <w:r>
        <w:t xml:space="preserve"> </w:t>
      </w:r>
      <w:r>
        <w:t xml:space="preserve">Reference Guide</w:t>
      </w:r>
      <w:r>
        <w:t xml:space="preserve">.”</w:t>
      </w:r>
      <w:r>
        <w:t xml:space="preserve"> </w:t>
      </w:r>
      <w:r>
        <w:rPr>
          <w:i/>
          <w:iCs/>
        </w:rPr>
        <w:t xml:space="preserve">Frontiers in Psychology</w:t>
      </w:r>
      <w:r>
        <w:t xml:space="preserve"> </w:t>
      </w:r>
      <w:r>
        <w:t xml:space="preserve">12 (October).</w:t>
      </w:r>
      <w:r>
        <w:t xml:space="preserve"> </w:t>
      </w:r>
      <w:hyperlink r:id="rId49">
        <w:r>
          <w:rPr>
            <w:rStyle w:val="Hyperlink"/>
          </w:rPr>
          <w:t xml:space="preserve">https://doi.org/10.3389/fpsyg.2021.604977</w:t>
        </w:r>
      </w:hyperlink>
      <w:r>
        <w:t xml:space="preserve">.</w:t>
      </w:r>
    </w:p>
    <w:bookmarkEnd w:id="50"/>
    <w:bookmarkStart w:id="52"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51">
        <w:r>
          <w:rPr>
            <w:rStyle w:val="Hyperlink"/>
          </w:rPr>
          <w:t xml:space="preserve">https://doi.org/10.1016/j.cobeha.2019.04.004</w:t>
        </w:r>
      </w:hyperlink>
      <w:r>
        <w:t xml:space="preserve">.</w:t>
      </w:r>
    </w:p>
    <w:bookmarkEnd w:id="52"/>
    <w:bookmarkStart w:id="54"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3">
        <w:r>
          <w:rPr>
            <w:rStyle w:val="Hyperlink"/>
          </w:rPr>
          <w:t xml:space="preserve">https://doi.org/10.1007/s11948-013-9464-1</w:t>
        </w:r>
      </w:hyperlink>
      <w:r>
        <w:t xml:space="preserve">.</w:t>
      </w:r>
    </w:p>
    <w:bookmarkEnd w:id="54"/>
    <w:bookmarkStart w:id="56"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55">
        <w:r>
          <w:rPr>
            <w:rStyle w:val="Hyperlink"/>
          </w:rPr>
          <w:t xml:space="preserve">https://doi.org/10.1007/s44206-025-00203-9</w:t>
        </w:r>
      </w:hyperlink>
      <w:r>
        <w:t xml:space="preserve">.</w:t>
      </w:r>
    </w:p>
    <w:bookmarkEnd w:id="56"/>
    <w:bookmarkStart w:id="57"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57"/>
    <w:bookmarkStart w:id="59"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58">
        <w:r>
          <w:rPr>
            <w:rStyle w:val="Hyperlink"/>
          </w:rPr>
          <w:t xml:space="preserve">https://doi.org/10.1016/j.chbah.2024.100062</w:t>
        </w:r>
      </w:hyperlink>
      <w:r>
        <w:t xml:space="preserve">.</w:t>
      </w:r>
    </w:p>
    <w:bookmarkEnd w:id="59"/>
    <w:bookmarkStart w:id="61" w:name="ref-plotkinaUnearthingAICoaching2024"/>
    <w:p>
      <w:pPr>
        <w:pStyle w:val="Bibliography"/>
      </w:pPr>
      <w:r>
        <w:t xml:space="preserve">Plotkina, Lidia, and Subramaniam Sri Ramalu. 2024.</w:t>
      </w:r>
      <w:r>
        <w:t xml:space="preserve"> </w:t>
      </w:r>
      <w:r>
        <w:t xml:space="preserve">“Unearthing</w:t>
      </w:r>
      <w:r>
        <w:t xml:space="preserve"> </w:t>
      </w:r>
      <w:r>
        <w:t xml:space="preserve">AI</w:t>
      </w:r>
      <w:r>
        <w:t xml:space="preserve"> </w:t>
      </w:r>
      <w:r>
        <w:t xml:space="preserve">Coaching Chatbots Capabilities for Professional Coaching: A Systematic Literature Review.”</w:t>
      </w:r>
      <w:r>
        <w:t xml:space="preserve"> </w:t>
      </w:r>
      <w:r>
        <w:rPr>
          <w:i/>
          <w:iCs/>
        </w:rPr>
        <w:t xml:space="preserve">Journal of Management Development</w:t>
      </w:r>
      <w:r>
        <w:t xml:space="preserve"> </w:t>
      </w:r>
      <w:r>
        <w:t xml:space="preserve">43 (6): 833–48.</w:t>
      </w:r>
      <w:r>
        <w:t xml:space="preserve"> </w:t>
      </w:r>
      <w:hyperlink r:id="rId60">
        <w:r>
          <w:rPr>
            <w:rStyle w:val="Hyperlink"/>
          </w:rPr>
          <w:t xml:space="preserve">https://doi.org/10.1108/JMD-06-2024-0182</w:t>
        </w:r>
      </w:hyperlink>
      <w:r>
        <w:t xml:space="preserve">.</w:t>
      </w:r>
    </w:p>
    <w:bookmarkEnd w:id="61"/>
    <w:bookmarkStart w:id="63" w:name="ref-poncerojoDigitalNativesAI2025"/>
    <w:p>
      <w:pPr>
        <w:pStyle w:val="Bibliography"/>
      </w:pPr>
      <w:r>
        <w:t xml:space="preserve">Ponce Rojo, Antonio, Tomás Fontaines-Ruiz, Amelia Sánchez Bracho, and Liliana Cánquiz Rincón. 2025.</w:t>
      </w:r>
      <w:r>
        <w:t xml:space="preserve"> </w:t>
      </w:r>
      <w:r>
        <w:t xml:space="preserve">“From</w:t>
      </w:r>
      <w:r>
        <w:t xml:space="preserve"> </w:t>
      </w:r>
      <w:r>
        <w:t xml:space="preserve">Digital Natives</w:t>
      </w:r>
      <w:r>
        <w:t xml:space="preserve"> </w:t>
      </w:r>
      <w:r>
        <w:t xml:space="preserve">to</w:t>
      </w:r>
      <w:r>
        <w:t xml:space="preserve"> </w:t>
      </w:r>
      <w:r>
        <w:t xml:space="preserve">AI Natives</w:t>
      </w:r>
      <w:r>
        <w:t xml:space="preserve">:</w:t>
      </w:r>
      <w:r>
        <w:t xml:space="preserve"> </w:t>
      </w:r>
      <w:r>
        <w:t xml:space="preserve">Emerging Competencies</w:t>
      </w:r>
      <w:r>
        <w:t xml:space="preserve"> </w:t>
      </w:r>
      <w:r>
        <w:t xml:space="preserve">and</w:t>
      </w:r>
      <w:r>
        <w:t xml:space="preserve"> </w:t>
      </w:r>
      <w:r>
        <w:t xml:space="preserve">Media</w:t>
      </w:r>
      <w:r>
        <w:t xml:space="preserve"> </w:t>
      </w:r>
      <w:r>
        <w:t xml:space="preserve">and</w:t>
      </w:r>
      <w:r>
        <w:t xml:space="preserve"> </w:t>
      </w:r>
      <w:r>
        <w:t xml:space="preserve">Information Literacy</w:t>
      </w:r>
      <w:r>
        <w:t xml:space="preserve"> </w:t>
      </w:r>
      <w:r>
        <w:t xml:space="preserve">in</w:t>
      </w:r>
      <w:r>
        <w:t xml:space="preserve"> </w:t>
      </w:r>
      <w:r>
        <w:t xml:space="preserve">Higher Education</w:t>
      </w:r>
      <w:r>
        <w:t xml:space="preserve">.”</w:t>
      </w:r>
      <w:r>
        <w:t xml:space="preserve"> </w:t>
      </w:r>
      <w:r>
        <w:rPr>
          <w:i/>
          <w:iCs/>
        </w:rPr>
        <w:t xml:space="preserve">Education Sciences</w:t>
      </w:r>
      <w:r>
        <w:t xml:space="preserve"> </w:t>
      </w:r>
      <w:r>
        <w:t xml:space="preserve">15 (9): 1134.</w:t>
      </w:r>
      <w:r>
        <w:t xml:space="preserve"> </w:t>
      </w:r>
      <w:hyperlink r:id="rId62">
        <w:r>
          <w:rPr>
            <w:rStyle w:val="Hyperlink"/>
          </w:rPr>
          <w:t xml:space="preserve">https://doi.org/10.3390/educsci15091134</w:t>
        </w:r>
      </w:hyperlink>
      <w:r>
        <w:t xml:space="preserve">.</w:t>
      </w:r>
    </w:p>
    <w:bookmarkEnd w:id="63"/>
    <w:bookmarkStart w:id="64"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64"/>
    <w:bookmarkStart w:id="66" w:name="Xa078f9945c7a1cf901e6fb808b094b6ffe71948"/>
    <w:p>
      <w:pPr>
        <w:pStyle w:val="Bibliography"/>
      </w:pPr>
      <w:r>
        <w:t xml:space="preserve">Qureshi, Rizwan, Ranjan Sapkota, Abbas Shah, Amgad Muneer, Anas Zafar, Ashmal Vayani, Maged Shoman, et al. 2025.</w:t>
      </w:r>
      <w:r>
        <w:t xml:space="preserve"> </w:t>
      </w:r>
      <w:r>
        <w:t xml:space="preserve">“Thinking</w:t>
      </w:r>
      <w:r>
        <w:t xml:space="preserve"> </w:t>
      </w:r>
      <w:r>
        <w:t xml:space="preserve">Beyond Tokens</w:t>
      </w:r>
      <w:r>
        <w:t xml:space="preserve">:</w:t>
      </w:r>
      <w:r>
        <w:t xml:space="preserve"> </w:t>
      </w:r>
      <w:r>
        <w:t xml:space="preserve">From Brain-Inspired Intelligence</w:t>
      </w:r>
      <w:r>
        <w:t xml:space="preserve"> </w:t>
      </w:r>
      <w:r>
        <w:t xml:space="preserve">to</w:t>
      </w:r>
      <w:r>
        <w:t xml:space="preserve"> </w:t>
      </w:r>
      <w:r>
        <w:t xml:space="preserve">Cognitive Foundations</w:t>
      </w:r>
      <w:r>
        <w:t xml:space="preserve"> </w:t>
      </w:r>
      <w:r>
        <w:t xml:space="preserve">for</w:t>
      </w:r>
      <w:r>
        <w:t xml:space="preserve"> </w:t>
      </w:r>
      <w:r>
        <w:t xml:space="preserve">Artificial General Intelligence</w:t>
      </w:r>
      <w:r>
        <w:t xml:space="preserve"> </w:t>
      </w:r>
      <w:r>
        <w:t xml:space="preserve">and Its</w:t>
      </w:r>
      <w:r>
        <w:t xml:space="preserve"> </w:t>
      </w:r>
      <w:r>
        <w:t xml:space="preserve">Societal Impact</w:t>
      </w:r>
      <w:r>
        <w:t xml:space="preserve">.”</w:t>
      </w:r>
      <w:r>
        <w:t xml:space="preserve"> </w:t>
      </w:r>
      <w:r>
        <w:t xml:space="preserve">arXiv.</w:t>
      </w:r>
      <w:r>
        <w:t xml:space="preserve"> </w:t>
      </w:r>
      <w:hyperlink r:id="rId65">
        <w:r>
          <w:rPr>
            <w:rStyle w:val="Hyperlink"/>
          </w:rPr>
          <w:t xml:space="preserve">https://doi.org/10.48550/arXiv.2507.00951</w:t>
        </w:r>
      </w:hyperlink>
      <w:r>
        <w:t xml:space="preserve">.</w:t>
      </w:r>
    </w:p>
    <w:bookmarkEnd w:id="66"/>
    <w:bookmarkStart w:id="67"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67"/>
    <w:bookmarkStart w:id="69"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68">
        <w:r>
          <w:rPr>
            <w:rStyle w:val="Hyperlink"/>
          </w:rPr>
          <w:t xml:space="preserve">https://doi.org/10.18690/um.fov.4.2025.29</w:t>
        </w:r>
      </w:hyperlink>
      <w:r>
        <w:t xml:space="preserve">.</w:t>
      </w:r>
    </w:p>
    <w:bookmarkEnd w:id="69"/>
    <w:bookmarkStart w:id="71" w:name="ref-sundarRiseMachineAgency2020"/>
    <w:p>
      <w:pPr>
        <w:pStyle w:val="Bibliography"/>
      </w:pPr>
      <w:r>
        <w:t xml:space="preserve">Sundar, S Shyam. 2020.</w:t>
      </w:r>
      <w:r>
        <w:t xml:space="preserve"> </w:t>
      </w:r>
      <w:r>
        <w:t xml:space="preserve">“Rise of</w:t>
      </w:r>
      <w:r>
        <w:t xml:space="preserve"> </w:t>
      </w:r>
      <w:r>
        <w:t xml:space="preserve">Machine Agency</w:t>
      </w:r>
      <w:r>
        <w:t xml:space="preserve">:</w:t>
      </w:r>
      <w:r>
        <w:t xml:space="preserve"> </w:t>
      </w:r>
      <w:r>
        <w:t xml:space="preserve">A Framework</w:t>
      </w:r>
      <w:r>
        <w:t xml:space="preserve"> </w:t>
      </w:r>
      <w:r>
        <w:t xml:space="preserve">for</w:t>
      </w:r>
      <w:r>
        <w:t xml:space="preserve"> </w:t>
      </w:r>
      <w:r>
        <w:t xml:space="preserve">Studying</w:t>
      </w:r>
      <w:r>
        <w:t xml:space="preserve"> </w:t>
      </w:r>
      <w:r>
        <w:t xml:space="preserve">the</w:t>
      </w:r>
      <w:r>
        <w:t xml:space="preserve"> </w:t>
      </w:r>
      <w:r>
        <w:t xml:space="preserve">Psychology</w:t>
      </w:r>
      <w:r>
        <w:t xml:space="preserve"> </w:t>
      </w:r>
      <w:r>
        <w:t xml:space="preserve">of</w:t>
      </w:r>
      <w:r>
        <w:t xml:space="preserve"> </w:t>
      </w:r>
      <w:r>
        <w:t xml:space="preserve">Human</w:t>
      </w:r>
      <w:r>
        <w:t xml:space="preserve">–</w:t>
      </w:r>
      <w:r>
        <w:t xml:space="preserve">AI Interaction</w:t>
      </w:r>
      <w:r>
        <w:t xml:space="preserve"> </w:t>
      </w:r>
      <w:r>
        <w:t xml:space="preserve">(</w:t>
      </w:r>
      <w:r>
        <w:t xml:space="preserve">HAII</w:t>
      </w:r>
      <w:r>
        <w:t xml:space="preserve">).”</w:t>
      </w:r>
      <w:r>
        <w:t xml:space="preserve"> </w:t>
      </w:r>
      <w:r>
        <w:rPr>
          <w:i/>
          <w:iCs/>
        </w:rPr>
        <w:t xml:space="preserve">Journal of Computer-Mediated Communication</w:t>
      </w:r>
      <w:r>
        <w:t xml:space="preserve"> </w:t>
      </w:r>
      <w:r>
        <w:t xml:space="preserve">25 (1): 74–88.</w:t>
      </w:r>
      <w:r>
        <w:t xml:space="preserve"> </w:t>
      </w:r>
      <w:hyperlink r:id="rId70">
        <w:r>
          <w:rPr>
            <w:rStyle w:val="Hyperlink"/>
          </w:rPr>
          <w:t xml:space="preserve">https://doi.org/10.1093/jcmc/zmz026</w:t>
        </w:r>
      </w:hyperlink>
      <w:r>
        <w:t xml:space="preserve">.</w:t>
      </w:r>
    </w:p>
    <w:bookmarkEnd w:id="71"/>
    <w:bookmarkStart w:id="73" w:name="Xb49160b6b427715e673f52809fd3577a1560369"/>
    <w:p>
      <w:pPr>
        <w:pStyle w:val="Bibliography"/>
      </w:pPr>
      <w:r>
        <w:t xml:space="preserve">Suonpää, Maija, Jutta Heikkilä, and Ana Dimkar. 2024.</w:t>
      </w:r>
      <w:r>
        <w:t xml:space="preserve"> </w:t>
      </w:r>
      <w:r>
        <w:t xml:space="preserve">“Students’</w:t>
      </w:r>
      <w:r>
        <w:t xml:space="preserve"> </w:t>
      </w:r>
      <w:r>
        <w:t xml:space="preserve">Perceptions Of Generative Ai Usage And Risks In A Finnish Higher Education Institution</w:t>
      </w:r>
      <w:r>
        <w:t xml:space="preserve">.”</w:t>
      </w:r>
      <w:r>
        <w:t xml:space="preserve"> </w:t>
      </w:r>
      <w:r>
        <w:t xml:space="preserve">In</w:t>
      </w:r>
      <w:r>
        <w:t xml:space="preserve"> </w:t>
      </w:r>
      <w:r>
        <w:rPr>
          <w:i/>
          <w:iCs/>
        </w:rPr>
        <w:t xml:space="preserve">18th</w:t>
      </w:r>
      <w:r>
        <w:rPr>
          <w:i/>
          <w:iCs/>
        </w:rPr>
        <w:t xml:space="preserve"> </w:t>
      </w:r>
      <w:r>
        <w:rPr>
          <w:i/>
          <w:iCs/>
        </w:rPr>
        <w:t xml:space="preserve">International Technology</w:t>
      </w:r>
      <w:r>
        <w:rPr>
          <w:i/>
          <w:iCs/>
        </w:rPr>
        <w:t xml:space="preserve">,</w:t>
      </w:r>
      <w:r>
        <w:rPr>
          <w:i/>
          <w:iCs/>
        </w:rPr>
        <w:t xml:space="preserve"> </w:t>
      </w:r>
      <w:r>
        <w:rPr>
          <w:i/>
          <w:iCs/>
        </w:rPr>
        <w:t xml:space="preserve">Education</w:t>
      </w:r>
      <w:r>
        <w:rPr>
          <w:i/>
          <w:iCs/>
        </w:rPr>
        <w:t xml:space="preserve"> </w:t>
      </w:r>
      <w:r>
        <w:rPr>
          <w:i/>
          <w:iCs/>
        </w:rPr>
        <w:t xml:space="preserve">and</w:t>
      </w:r>
      <w:r>
        <w:rPr>
          <w:i/>
          <w:iCs/>
        </w:rPr>
        <w:t xml:space="preserve"> </w:t>
      </w:r>
      <w:r>
        <w:rPr>
          <w:i/>
          <w:iCs/>
        </w:rPr>
        <w:t xml:space="preserve">Development Conference</w:t>
      </w:r>
      <w:r>
        <w:t xml:space="preserve">, 3071–77. Valencia, Spain.</w:t>
      </w:r>
      <w:r>
        <w:t xml:space="preserve"> </w:t>
      </w:r>
      <w:hyperlink r:id="rId72">
        <w:r>
          <w:rPr>
            <w:rStyle w:val="Hyperlink"/>
          </w:rPr>
          <w:t xml:space="preserve">https://doi.org/10.21125/inted.2024.0825</w:t>
        </w:r>
      </w:hyperlink>
      <w:r>
        <w:t xml:space="preserve">.</w:t>
      </w:r>
    </w:p>
    <w:bookmarkEnd w:id="73"/>
    <w:bookmarkStart w:id="75"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4">
        <w:r>
          <w:rPr>
            <w:rStyle w:val="Hyperlink"/>
          </w:rPr>
          <w:t xml:space="preserve">https://doi.org/10.1016/j.learninstruc.2024.102011</w:t>
        </w:r>
      </w:hyperlink>
      <w:r>
        <w:t xml:space="preserve">.</w:t>
      </w:r>
    </w:p>
    <w:bookmarkEnd w:id="75"/>
    <w:bookmarkStart w:id="77" w:name="X9f31790f1dfe4114e532f4fc6242802d28adc49"/>
    <w:p>
      <w:pPr>
        <w:pStyle w:val="Bibliography"/>
      </w:pPr>
      <w:r>
        <w:t xml:space="preserve">Swanepoel, Danielle. 2021.</w:t>
      </w:r>
      <w:r>
        <w:t xml:space="preserve"> </w:t>
      </w:r>
      <w:r>
        <w:t xml:space="preserve">“Does</w:t>
      </w:r>
      <w:r>
        <w:t xml:space="preserve"> </w:t>
      </w:r>
      <w:r>
        <w:t xml:space="preserve">Artificial Intelligence Have Agency</w:t>
      </w:r>
      <w:r>
        <w:t xml:space="preserve">?”</w:t>
      </w:r>
      <w:r>
        <w:t xml:space="preserve"> In</w:t>
      </w:r>
      <w:r>
        <w:t xml:space="preserve"> </w:t>
      </w:r>
      <w:r>
        <w:rPr>
          <w:i/>
          <w:iCs/>
        </w:rPr>
        <w:t xml:space="preserve">The</w:t>
      </w:r>
      <w:r>
        <w:rPr>
          <w:i/>
          <w:iCs/>
        </w:rPr>
        <w:t xml:space="preserve"> </w:t>
      </w:r>
      <w:r>
        <w:rPr>
          <w:i/>
          <w:iCs/>
        </w:rPr>
        <w:t xml:space="preserve">Mind-Technology Problem</w:t>
      </w:r>
      <w:r>
        <w:t xml:space="preserve">, edited by Robert W. Clowes, Klaus Gärtner, and Inês Hipólito, 18:83–104. Cham: Springer International Publishing.</w:t>
      </w:r>
      <w:r>
        <w:t xml:space="preserve"> </w:t>
      </w:r>
      <w:hyperlink r:id="rId76">
        <w:r>
          <w:rPr>
            <w:rStyle w:val="Hyperlink"/>
          </w:rPr>
          <w:t xml:space="preserve">https://doi.org/10.1007/978-3-030-72644-7_4</w:t>
        </w:r>
      </w:hyperlink>
      <w:r>
        <w:t xml:space="preserve">.</w:t>
      </w:r>
    </w:p>
    <w:bookmarkEnd w:id="77"/>
    <w:bookmarkStart w:id="79"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78">
        <w:r>
          <w:rPr>
            <w:rStyle w:val="Hyperlink"/>
          </w:rPr>
          <w:t xml:space="preserve">https://doi.org/10.3389/fpsyg.2017.01552</w:t>
        </w:r>
      </w:hyperlink>
      <w:r>
        <w:t xml:space="preserve">.</w:t>
      </w:r>
    </w:p>
    <w:bookmarkEnd w:id="79"/>
    <w:bookmarkStart w:id="80" w:name="ref-WorldPopulationProspects"/>
    <w:p>
      <w:pPr>
        <w:pStyle w:val="Bibliography"/>
      </w:pPr>
      <w:r>
        <w:t xml:space="preserve">United Nations. 2024.</w:t>
      </w:r>
      <w:r>
        <w:t xml:space="preserve"> </w:t>
      </w:r>
      <w:r>
        <w:t xml:space="preserve">“World</w:t>
      </w:r>
      <w:r>
        <w:t xml:space="preserve"> </w:t>
      </w:r>
      <w:r>
        <w:t xml:space="preserve">Population Prospects</w:t>
      </w:r>
      <w:r>
        <w:t xml:space="preserve">.”</w:t>
      </w:r>
      <w:r>
        <w:t xml:space="preserve"> </w:t>
      </w:r>
      <w:r>
        <w:t xml:space="preserve">https://population.un.org/wpp/graphs?loc=900&amp;type=Probabilistic%20Projections&amp;category=Population&amp;subcategory=Age%200-24; United Nations.</w:t>
      </w:r>
    </w:p>
    <w:bookmarkEnd w:id="80"/>
    <w:bookmarkStart w:id="82" w:name="ref-vossWhyWeDont2023"/>
    <w:p>
      <w:pPr>
        <w:pStyle w:val="Bibliography"/>
      </w:pPr>
      <w:r>
        <w:t xml:space="preserve">Voss, Peter, and Mladjan Jovanovic. 2023.</w:t>
      </w:r>
      <w:r>
        <w:t xml:space="preserve"> </w:t>
      </w:r>
      <w:r>
        <w:t xml:space="preserve">“Why</w:t>
      </w:r>
      <w:r>
        <w:t xml:space="preserve"> </w:t>
      </w:r>
      <w:r>
        <w:t xml:space="preserve">We Don</w:t>
      </w:r>
      <w:r>
        <w:t xml:space="preserve">’t</w:t>
      </w:r>
      <w:r>
        <w:t xml:space="preserve"> </w:t>
      </w:r>
      <w:r>
        <w:t xml:space="preserve">Have AGI Yet</w:t>
      </w:r>
      <w:r>
        <w:t xml:space="preserve">.”</w:t>
      </w:r>
      <w:r>
        <w:t xml:space="preserve"> </w:t>
      </w:r>
      <w:r>
        <w:t xml:space="preserve">arXiv.</w:t>
      </w:r>
      <w:r>
        <w:t xml:space="preserve"> </w:t>
      </w:r>
      <w:hyperlink r:id="rId81">
        <w:r>
          <w:rPr>
            <w:rStyle w:val="Hyperlink"/>
          </w:rPr>
          <w:t xml:space="preserve">https://doi.org/10.48550/arXiv.2308.03598</w:t>
        </w:r>
      </w:hyperlink>
      <w:r>
        <w:t xml:space="preserve">.</w:t>
      </w:r>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7/978-3-030-72644-7_4" TargetMode="External" /><Relationship Type="http://schemas.openxmlformats.org/officeDocument/2006/relationships/hyperlink" Id="rId40" Target="https://doi.org/10.1007/978-94-009-9365-5_5" TargetMode="External" /><Relationship Type="http://schemas.openxmlformats.org/officeDocument/2006/relationships/hyperlink" Id="rId38" Target="https://doi.org/10.1007/s10796-022-10336-8" TargetMode="External" /><Relationship Type="http://schemas.openxmlformats.org/officeDocument/2006/relationships/hyperlink" Id="rId53" Target="https://doi.org/10.1007/s11948-013-9464-1" TargetMode="External" /><Relationship Type="http://schemas.openxmlformats.org/officeDocument/2006/relationships/hyperlink" Id="rId45" Target="https://doi.org/10.1007/s13347-023-00672-1" TargetMode="External" /><Relationship Type="http://schemas.openxmlformats.org/officeDocument/2006/relationships/hyperlink" Id="rId30" Target="https://doi.org/10.1007/s43681-024-00454-1" TargetMode="External" /><Relationship Type="http://schemas.openxmlformats.org/officeDocument/2006/relationships/hyperlink" Id="rId55" Target="https://doi.org/10.1007/s44206-025-00203-9" TargetMode="External" /><Relationship Type="http://schemas.openxmlformats.org/officeDocument/2006/relationships/hyperlink" Id="rId58" Target="https://doi.org/10.1016/j.chbah.2024.100062" TargetMode="External" /><Relationship Type="http://schemas.openxmlformats.org/officeDocument/2006/relationships/hyperlink" Id="rId51" Target="https://doi.org/10.1016/j.cobeha.2019.04.004" TargetMode="External" /><Relationship Type="http://schemas.openxmlformats.org/officeDocument/2006/relationships/hyperlink" Id="rId36" Target="https://doi.org/10.1016/j.dte.2024.100019" TargetMode="External" /><Relationship Type="http://schemas.openxmlformats.org/officeDocument/2006/relationships/hyperlink" Id="rId74" Target="https://doi.org/10.1016/j.learninstruc.2024.102011" TargetMode="External" /><Relationship Type="http://schemas.openxmlformats.org/officeDocument/2006/relationships/hyperlink" Id="rId70" Target="https://doi.org/10.1093/jcmc/zmz026" TargetMode="External" /><Relationship Type="http://schemas.openxmlformats.org/officeDocument/2006/relationships/hyperlink" Id="rId60" Target="https://doi.org/10.1108/JMD-06-2024-0182" TargetMode="External" /><Relationship Type="http://schemas.openxmlformats.org/officeDocument/2006/relationships/hyperlink" Id="rId25" Target="https://doi.org/10.1109/ACCESS.2025.3532853" TargetMode="External" /><Relationship Type="http://schemas.openxmlformats.org/officeDocument/2006/relationships/hyperlink" Id="rId32" Target="https://doi.org/10.1111/j.1467-8535.2007.00793.x" TargetMode="External" /><Relationship Type="http://schemas.openxmlformats.org/officeDocument/2006/relationships/hyperlink" Id="rId42" Target="https://doi.org/10.1145/3459990.3460712" TargetMode="External" /><Relationship Type="http://schemas.openxmlformats.org/officeDocument/2006/relationships/hyperlink" Id="rId34" Target="https://doi.org/10.1162/daed_a_01915" TargetMode="External" /><Relationship Type="http://schemas.openxmlformats.org/officeDocument/2006/relationships/hyperlink" Id="rId68" Target="https://doi.org/10.18690/um.fov.4.2025.29" TargetMode="External" /><Relationship Type="http://schemas.openxmlformats.org/officeDocument/2006/relationships/hyperlink" Id="rId72" Target="https://doi.org/10.21125/inted.2024.0825" TargetMode="External" /><Relationship Type="http://schemas.openxmlformats.org/officeDocument/2006/relationships/hyperlink" Id="rId78" Target="https://doi.org/10.3389/fpsyg.2017.01552" TargetMode="External" /><Relationship Type="http://schemas.openxmlformats.org/officeDocument/2006/relationships/hyperlink" Id="rId49" Target="https://doi.org/10.3389/fpsyg.2021.604977" TargetMode="External" /><Relationship Type="http://schemas.openxmlformats.org/officeDocument/2006/relationships/hyperlink" Id="rId62" Target="https://doi.org/10.3390/educsci15091134" TargetMode="External" /><Relationship Type="http://schemas.openxmlformats.org/officeDocument/2006/relationships/hyperlink" Id="rId81" Target="https://doi.org/10.48550/arXiv.2308.03598" TargetMode="External" /><Relationship Type="http://schemas.openxmlformats.org/officeDocument/2006/relationships/hyperlink" Id="rId65" Target="https://doi.org/10.48550/arXiv.2507.00951"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7/978-3-030-72644-7_4" TargetMode="External" /><Relationship Type="http://schemas.openxmlformats.org/officeDocument/2006/relationships/hyperlink" Id="rId40" Target="https://doi.org/10.1007/978-94-009-9365-5_5" TargetMode="External" /><Relationship Type="http://schemas.openxmlformats.org/officeDocument/2006/relationships/hyperlink" Id="rId38" Target="https://doi.org/10.1007/s10796-022-10336-8" TargetMode="External" /><Relationship Type="http://schemas.openxmlformats.org/officeDocument/2006/relationships/hyperlink" Id="rId53" Target="https://doi.org/10.1007/s11948-013-9464-1" TargetMode="External" /><Relationship Type="http://schemas.openxmlformats.org/officeDocument/2006/relationships/hyperlink" Id="rId45" Target="https://doi.org/10.1007/s13347-023-00672-1" TargetMode="External" /><Relationship Type="http://schemas.openxmlformats.org/officeDocument/2006/relationships/hyperlink" Id="rId30" Target="https://doi.org/10.1007/s43681-024-00454-1" TargetMode="External" /><Relationship Type="http://schemas.openxmlformats.org/officeDocument/2006/relationships/hyperlink" Id="rId55" Target="https://doi.org/10.1007/s44206-025-00203-9" TargetMode="External" /><Relationship Type="http://schemas.openxmlformats.org/officeDocument/2006/relationships/hyperlink" Id="rId58" Target="https://doi.org/10.1016/j.chbah.2024.100062" TargetMode="External" /><Relationship Type="http://schemas.openxmlformats.org/officeDocument/2006/relationships/hyperlink" Id="rId51" Target="https://doi.org/10.1016/j.cobeha.2019.04.004" TargetMode="External" /><Relationship Type="http://schemas.openxmlformats.org/officeDocument/2006/relationships/hyperlink" Id="rId36" Target="https://doi.org/10.1016/j.dte.2024.100019" TargetMode="External" /><Relationship Type="http://schemas.openxmlformats.org/officeDocument/2006/relationships/hyperlink" Id="rId74" Target="https://doi.org/10.1016/j.learninstruc.2024.102011" TargetMode="External" /><Relationship Type="http://schemas.openxmlformats.org/officeDocument/2006/relationships/hyperlink" Id="rId70" Target="https://doi.org/10.1093/jcmc/zmz026" TargetMode="External" /><Relationship Type="http://schemas.openxmlformats.org/officeDocument/2006/relationships/hyperlink" Id="rId60" Target="https://doi.org/10.1108/JMD-06-2024-0182" TargetMode="External" /><Relationship Type="http://schemas.openxmlformats.org/officeDocument/2006/relationships/hyperlink" Id="rId25" Target="https://doi.org/10.1109/ACCESS.2025.3532853" TargetMode="External" /><Relationship Type="http://schemas.openxmlformats.org/officeDocument/2006/relationships/hyperlink" Id="rId32" Target="https://doi.org/10.1111/j.1467-8535.2007.00793.x" TargetMode="External" /><Relationship Type="http://schemas.openxmlformats.org/officeDocument/2006/relationships/hyperlink" Id="rId42" Target="https://doi.org/10.1145/3459990.3460712" TargetMode="External" /><Relationship Type="http://schemas.openxmlformats.org/officeDocument/2006/relationships/hyperlink" Id="rId34" Target="https://doi.org/10.1162/daed_a_01915" TargetMode="External" /><Relationship Type="http://schemas.openxmlformats.org/officeDocument/2006/relationships/hyperlink" Id="rId68" Target="https://doi.org/10.18690/um.fov.4.2025.29" TargetMode="External" /><Relationship Type="http://schemas.openxmlformats.org/officeDocument/2006/relationships/hyperlink" Id="rId72" Target="https://doi.org/10.21125/inted.2024.0825" TargetMode="External" /><Relationship Type="http://schemas.openxmlformats.org/officeDocument/2006/relationships/hyperlink" Id="rId78" Target="https://doi.org/10.3389/fpsyg.2017.01552" TargetMode="External" /><Relationship Type="http://schemas.openxmlformats.org/officeDocument/2006/relationships/hyperlink" Id="rId49" Target="https://doi.org/10.3389/fpsyg.2021.604977" TargetMode="External" /><Relationship Type="http://schemas.openxmlformats.org/officeDocument/2006/relationships/hyperlink" Id="rId62" Target="https://doi.org/10.3390/educsci15091134" TargetMode="External" /><Relationship Type="http://schemas.openxmlformats.org/officeDocument/2006/relationships/hyperlink" Id="rId81" Target="https://doi.org/10.48550/arXiv.2308.03598" TargetMode="External" /><Relationship Type="http://schemas.openxmlformats.org/officeDocument/2006/relationships/hyperlink" Id="rId65" Target="https://doi.org/10.48550/arXiv.2507.009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 for adolescents</dc:title>
  <dc:creator/>
  <cp:keywords/>
  <dcterms:created xsi:type="dcterms:W3CDTF">2026-03-24T11:53:40Z</dcterms:created>
  <dcterms:modified xsi:type="dcterms:W3CDTF">2026-03-24T11:53:40Z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