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Avoiding the Turing Trap in an age of GenAI for increased human agency and freedom</w:t>
      </w:r>
    </w:p>
    <w:bookmarkStart w:id="22" w:name="introduction"/>
    <w:p>
      <w:pPr>
        <w:pStyle w:val="Heading2"/>
      </w:pPr>
      <w:r>
        <w:t xml:space="preserve">Introduction</w:t>
      </w:r>
    </w:p>
    <w:p>
      <w:pPr>
        <w:pStyle w:val="FirstParagraph"/>
      </w:pPr>
      <w:r>
        <w:t xml:space="preserve">Technological advances that herald and drive societal changes over the last 12,000 years have only benefited ordinary people when</w:t>
      </w:r>
      <w:r>
        <w:t xml:space="preserve"> </w:t>
      </w:r>
      <w:r>
        <w:t xml:space="preserve">“landowning and religious elites were not dominant enough to impose their vision and extract all the surplus from the technologies”</w:t>
      </w:r>
      <w:r>
        <w:t xml:space="preserve"> </w:t>
      </w:r>
      <w:r>
        <w:t xml:space="preserve">(Johnson and Acemoglu 2023, 78)</w:t>
      </w:r>
      <w:r>
        <w:t xml:space="preserve">.</w:t>
      </w:r>
    </w:p>
    <w:p>
      <w:pPr>
        <w:pStyle w:val="BodyText"/>
      </w:pPr>
      <w:r>
        <w:t xml:space="preserve">We are again on the precipice of a big transformation for our society with the wide adoption of Artificial Intelligence in all kinds of sectors and embedded in all kinds of software. The public has never adopted a technological platform so fast as it did with ChatGPT</w:t>
      </w:r>
      <w:r>
        <w:t xml:space="preserve"> </w:t>
      </w:r>
      <w:r>
        <w:t xml:space="preserve">(Milmo 2023)</w:t>
      </w:r>
      <w:r>
        <w:t xml:space="preserve">. Heralding the Generative Artificial Intelligence (genAI) boom with the text-based models like ChatGPT, Claude and Gemini and image-based products such as Dall-E and Midjourney being available for the public.</w:t>
      </w:r>
    </w:p>
    <w:p>
      <w:pPr>
        <w:pStyle w:val="BodyText"/>
      </w:pPr>
      <w:r>
        <w:t xml:space="preserve">Only a few years later we are slowly moving towards Agentic AI. Where the Large Language Models (LLMs) that make the likes of Claude and ChatGPT possible, are used to create (semi-)autonomous systems that</w:t>
      </w:r>
      <w:r>
        <w:t xml:space="preserve"> </w:t>
      </w:r>
      <w:r>
        <w:t xml:space="preserve">“reason”</w:t>
      </w:r>
      <w:r>
        <w:t xml:space="preserve"> </w:t>
      </w:r>
      <w:r>
        <w:t xml:space="preserve">and feedback into itself to perform the tasks or solutions that it proposes. This marks a paradigm shift in the use of the web, where not only humans shape its future</w:t>
      </w:r>
      <w:r>
        <w:t xml:space="preserve"> </w:t>
      </w:r>
      <w:r>
        <w:t xml:space="preserve">(Yang et al. 2025)</w:t>
      </w:r>
      <w:r>
        <w:t xml:space="preserve">. Because it is so new rules, regulations or benchmarks are not yet in place and it is</w:t>
      </w:r>
      <w:r>
        <w:t xml:space="preserve"> </w:t>
      </w:r>
      <w:r>
        <w:t xml:space="preserve">“hard to distinguish genuine advances from hype”</w:t>
      </w:r>
      <w:r>
        <w:t xml:space="preserve"> </w:t>
      </w:r>
      <w:r>
        <w:t xml:space="preserve">(Kapoor et al. 2024)</w:t>
      </w:r>
      <w:r>
        <w:t xml:space="preserve">.</w:t>
      </w:r>
    </w:p>
    <w:p>
      <w:pPr>
        <w:pStyle w:val="BodyText"/>
      </w:pPr>
      <w:r>
        <w:t xml:space="preserve">Generative Artificial Intelligence (genAI), a specific form of Artificial Intelligence harnessing the power of Large Language Models to</w:t>
      </w:r>
      <w:r>
        <w:t xml:space="preserve"> </w:t>
      </w:r>
      <w:r>
        <w:rPr>
          <w:i/>
          <w:iCs/>
        </w:rPr>
        <w:t xml:space="preserve">generate</w:t>
      </w:r>
      <w:r>
        <w:t xml:space="preserve"> </w:t>
      </w:r>
      <w:r>
        <w:t xml:space="preserve">new output based on vast and widely generalized data sources, is rapidly transforming our lives. Ranging from reshaping how we work</w:t>
      </w:r>
      <w:r>
        <w:t xml:space="preserve"> </w:t>
      </w:r>
      <w:r>
        <w:t xml:space="preserve">(Joshi 2025)</w:t>
      </w:r>
      <w:r>
        <w:t xml:space="preserve"> </w:t>
      </w:r>
      <w:r>
        <w:t xml:space="preserve">and how we learn</w:t>
      </w:r>
      <w:r>
        <w:t xml:space="preserve"> </w:t>
      </w:r>
      <w:r>
        <w:t xml:space="preserve">(Perifanou and Economides 2025)</w:t>
      </w:r>
      <w:r>
        <w:t xml:space="preserve">, to changing criminal behaviour</w:t>
      </w:r>
      <w:r>
        <w:t xml:space="preserve"> </w:t>
      </w:r>
      <w:r>
        <w:t xml:space="preserve">(Ferrara 2024)</w:t>
      </w:r>
      <w:r>
        <w:t xml:space="preserve"> </w:t>
      </w:r>
      <w:r>
        <w:t xml:space="preserve">and even influencing democratization</w:t>
      </w:r>
      <w:r>
        <w:t xml:space="preserve"> </w:t>
      </w:r>
      <w:r>
        <w:t xml:space="preserve">(Cupać, Schopmans, and Tuncer-Ebetürk 2024)</w:t>
      </w:r>
      <w:r>
        <w:t xml:space="preserve">.</w:t>
      </w:r>
    </w:p>
    <w:p>
      <w:pPr>
        <w:pStyle w:val="BodyText"/>
      </w:pPr>
      <w:r>
        <w:t xml:space="preserve">With it there is this sense that we are closer to the holy grail of AI: Artificial General Intelligence (AGI) or</w:t>
      </w:r>
      <w:r>
        <w:t xml:space="preserve"> </w:t>
      </w:r>
      <w:r>
        <w:t xml:space="preserve">“human-level intelligence”</w:t>
      </w:r>
      <w:r>
        <w:t xml:space="preserve">, a</w:t>
      </w:r>
      <w:r>
        <w:t xml:space="preserve"> </w:t>
      </w:r>
      <w:r>
        <w:t xml:space="preserve">“god-term”</w:t>
      </w:r>
      <w:r>
        <w:t xml:space="preserve"> </w:t>
      </w:r>
      <w:r>
        <w:t xml:space="preserve">and even</w:t>
      </w:r>
      <w:r>
        <w:t xml:space="preserve"> </w:t>
      </w:r>
      <w:r>
        <w:t xml:space="preserve">“devil-term”</w:t>
      </w:r>
      <w:r>
        <w:t xml:space="preserve">, where believers herald a utopia in which AGI is able to solve everything, and on the other hand doomsayers who believe it to become a catastrophe</w:t>
      </w:r>
      <w:r>
        <w:t xml:space="preserve"> </w:t>
      </w:r>
      <w:r>
        <w:t xml:space="preserve">(Heaven 2025)</w:t>
      </w:r>
      <w:r>
        <w:t xml:space="preserve">.</w:t>
      </w:r>
    </w:p>
    <w:p>
      <w:pPr>
        <w:pStyle w:val="BodyText"/>
      </w:pPr>
      <w:r>
        <w:t xml:space="preserve">What we are seeing is a repetition of the technology industry overpromising new techniques or technologies and packaging them as a panacea for all kinds of problems or General Purpose Tools, while also decreasing emphasis on a large variety of negative consequences that this technology also brings. For example the profound physical impact these new technologies are having on our environment</w:t>
      </w:r>
      <w:r>
        <w:t xml:space="preserve"> </w:t>
      </w:r>
      <w:r>
        <w:t xml:space="preserve">(Crawford 2021, 49)</w:t>
      </w:r>
      <w:r>
        <w:t xml:space="preserve">, the security issues of models with jailbreak attempts</w:t>
      </w:r>
      <w:r>
        <w:t xml:space="preserve"> </w:t>
      </w:r>
      <w:r>
        <w:t xml:space="preserve">Carlini et al. (2021)</w:t>
      </w:r>
      <w:r>
        <w:t xml:space="preserve">, nudging political preferences</w:t>
      </w:r>
      <w:r>
        <w:t xml:space="preserve">(Cupać, Schopmans, and Tuncer-Ebetürk 2024)</w:t>
      </w:r>
      <w:r>
        <w:t xml:space="preserve">, reducing the quality of democracy decision-making and the erosion of trust in legitimate institutions</w:t>
      </w:r>
      <w:r>
        <w:t xml:space="preserve"> </w:t>
      </w:r>
      <w:r>
        <w:t xml:space="preserve">(Miklian and Hoelscher, n.d.)</w:t>
      </w:r>
      <w:r>
        <w:t xml:space="preserve">.</w:t>
      </w:r>
    </w:p>
    <w:p>
      <w:pPr>
        <w:pStyle w:val="BodyText"/>
      </w:pPr>
      <w:r>
        <w:t xml:space="preserve">Myth and technology have a long history together. Collectively we adhere to the idea that with technology and change we also converge to a better reality, to progress, but believing this is a religious act itself</w:t>
      </w:r>
      <w:r>
        <w:t xml:space="preserve"> </w:t>
      </w:r>
      <w:r>
        <w:t xml:space="preserve">(Burdett 2014)</w:t>
      </w:r>
      <w:r>
        <w:t xml:space="preserve"> </w:t>
      </w:r>
      <w:r>
        <w:t xml:space="preserve">with more religious overtones in what</w:t>
      </w:r>
      <w:r>
        <w:t xml:space="preserve"> </w:t>
      </w:r>
      <w:r>
        <w:t xml:space="preserve">Winner (2018)</w:t>
      </w:r>
      <w:r>
        <w:t xml:space="preserve"> </w:t>
      </w:r>
      <w:r>
        <w:t xml:space="preserve">calls the</w:t>
      </w:r>
      <w:r>
        <w:t xml:space="preserve"> </w:t>
      </w:r>
      <w:r>
        <w:t xml:space="preserve">“Cult of Innovation”</w:t>
      </w:r>
      <w:r>
        <w:t xml:space="preserve">. We have seen similar rational and</w:t>
      </w:r>
      <w:r>
        <w:t xml:space="preserve"> </w:t>
      </w:r>
      <w:r>
        <w:t xml:space="preserve">“more-than-rational”</w:t>
      </w:r>
      <w:r>
        <w:t xml:space="preserve"> </w:t>
      </w:r>
      <w:r>
        <w:rPr>
          <w:i/>
          <w:iCs/>
        </w:rPr>
        <w:t xml:space="preserve">truths</w:t>
      </w:r>
      <w:r>
        <w:t xml:space="preserve"> </w:t>
      </w:r>
      <w:r>
        <w:t xml:space="preserve">with other technologies such as blockchain</w:t>
      </w:r>
      <w:r>
        <w:t xml:space="preserve"> </w:t>
      </w:r>
      <w:r>
        <w:t xml:space="preserve">(Gloerich 2025)</w:t>
      </w:r>
      <w:r>
        <w:t xml:space="preserve">.</w:t>
      </w:r>
    </w:p>
    <w:p>
      <w:pPr>
        <w:pStyle w:val="BodyText"/>
      </w:pPr>
      <w:r>
        <w:t xml:space="preserve">Technology is not merely a neutral phenomenon</w:t>
      </w:r>
      <w:r>
        <w:t xml:space="preserve"> </w:t>
      </w:r>
      <w:r>
        <w:t xml:space="preserve">(Heyndels 2023; Morrow 2014)</w:t>
      </w:r>
      <w:r>
        <w:t xml:space="preserve"> </w:t>
      </w:r>
      <w:r>
        <w:t xml:space="preserve">with inherently positive outcomes; there is a great need for finding solutions that benefit us all.</w:t>
      </w:r>
    </w:p>
    <w:bookmarkStart w:id="20" w:name="gap"/>
    <w:p>
      <w:pPr>
        <w:pStyle w:val="Heading3"/>
      </w:pPr>
      <w:r>
        <w:t xml:space="preserve">Gap</w:t>
      </w:r>
    </w:p>
    <w:p>
      <w:pPr>
        <w:pStyle w:val="FirstParagraph"/>
      </w:pPr>
      <w:r>
        <w:t xml:space="preserve">We do not know how AI will reshape the future of our human development, but there are some guesses we can make and historical lessons we can take into account. In all the major jumps in technological advancement that brought about societal change: steam engine, electricity, communications, digital communication and now the more broadly available statistical models that</w:t>
      </w:r>
      <w:r>
        <w:t xml:space="preserve"> </w:t>
      </w:r>
      <w:r>
        <w:t xml:space="preserve">“converse”</w:t>
      </w:r>
      <w:r>
        <w:t xml:space="preserve"> </w:t>
      </w:r>
      <w:r>
        <w:t xml:space="preserve">with us through chat like ChatGPT, we have seen that regulation and policy fueled by ideology (both benefiting the few or the many) has been the driver for the direction this advancement would take us</w:t>
      </w:r>
      <w:r>
        <w:t xml:space="preserve"> </w:t>
      </w:r>
      <w:r>
        <w:t xml:space="preserve">(Johnson and Acemoglu 2023, 57)</w:t>
      </w:r>
      <w:r>
        <w:t xml:space="preserve">.</w:t>
      </w:r>
    </w:p>
    <w:p>
      <w:pPr>
        <w:pStyle w:val="BodyText"/>
      </w:pPr>
      <w:r>
        <w:t xml:space="preserve">Much of the research regarding AI has been focussing on improving models</w:t>
      </w:r>
      <w:r>
        <w:t xml:space="preserve"> </w:t>
      </w:r>
      <w:r>
        <w:t xml:space="preserve">(Du, Yang, and Welleck 2025; Yao et al. 2025)</w:t>
      </w:r>
      <w:r>
        <w:t xml:space="preserve">, effects on policy</w:t>
      </w:r>
      <w:r>
        <w:t xml:space="preserve"> </w:t>
      </w:r>
      <w:r>
        <w:t xml:space="preserve">(Khanal, Zhang, and Taeihagh 2025; Leslie and Perini 2024)</w:t>
      </w:r>
      <w:r>
        <w:t xml:space="preserve">, impact on education</w:t>
      </w:r>
      <w:r>
        <w:t xml:space="preserve"> </w:t>
      </w:r>
      <w:r>
        <w:t xml:space="preserve">(Dai 2025; Han, Peng, and Liu 2025; Udeh 2025)</w:t>
      </w:r>
      <w:r>
        <w:t xml:space="preserve"> </w:t>
      </w:r>
      <w:r>
        <w:t xml:space="preserve">on human interactions</w:t>
      </w:r>
      <w:r>
        <w:t xml:space="preserve"> </w:t>
      </w:r>
      <w:r>
        <w:t xml:space="preserve">(Hou et al. 2025)</w:t>
      </w:r>
      <w:r>
        <w:t xml:space="preserve">, and how it can improve self-advocacy</w:t>
      </w:r>
      <w:r>
        <w:t xml:space="preserve"> </w:t>
      </w:r>
      <w:r>
        <w:t xml:space="preserve">(Register and Ko 2020)</w:t>
      </w:r>
      <w:r>
        <w:t xml:space="preserve"> </w:t>
      </w:r>
      <w:r>
        <w:t xml:space="preserve">but not how it affects agency and freedom which both count as indicative of improving human development</w:t>
      </w:r>
      <w:r>
        <w:t xml:space="preserve"> </w:t>
      </w:r>
      <w:r>
        <w:t xml:space="preserve">(UNDP 2025)</w:t>
      </w:r>
      <w:r>
        <w:t xml:space="preserve">.</w:t>
      </w:r>
    </w:p>
    <w:p>
      <w:pPr>
        <w:pStyle w:val="BodyText"/>
      </w:pPr>
      <w:r>
        <w:t xml:space="preserve">Most of the AI Literacy literature agree that AI Literacy education</w:t>
      </w:r>
      <w:r>
        <w:t xml:space="preserve"> </w:t>
      </w:r>
      <w:r>
        <w:t xml:space="preserve">“empowers individuals to achieve humanistic outcomes”</w:t>
      </w:r>
      <w:r>
        <w:t xml:space="preserve"> </w:t>
      </w:r>
      <w:r>
        <w:t xml:space="preserve">(Pinski and Benlian 2024)</w:t>
      </w:r>
      <w:r>
        <w:t xml:space="preserve">.</w:t>
      </w:r>
    </w:p>
    <w:bookmarkEnd w:id="20"/>
    <w:bookmarkStart w:id="21" w:name="hook"/>
    <w:p>
      <w:pPr>
        <w:pStyle w:val="Heading3"/>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(Mathur, n.d.)</w:t>
      </w:r>
    </w:p>
    <w:p>
      <w:pPr>
        <w:pStyle w:val="BodyText"/>
      </w:pPr>
      <w:r>
        <w:t xml:space="preserve">We need to figure a way out of what</w:t>
      </w:r>
      <w:r>
        <w:t xml:space="preserve"> </w:t>
      </w:r>
      <w:r>
        <w:t xml:space="preserve">Brynjolfsson (2022)</w:t>
      </w:r>
      <w:r>
        <w:t xml:space="preserve"> </w:t>
      </w:r>
      <w:r>
        <w:t xml:space="preserve">calls the</w:t>
      </w:r>
      <w:r>
        <w:t xml:space="preserve"> </w:t>
      </w:r>
      <w:r>
        <w:t xml:space="preserve">“Turing Trap”</w:t>
      </w:r>
      <w:r>
        <w:t xml:space="preserve"> </w:t>
      </w:r>
      <w:r>
        <w:t xml:space="preserve">where increasing technological and economic power create a concentration of political power and find solutions, patterns, systems, beyond policy where the benefits of transformational technology like agentic AI are available to everyone.</w:t>
      </w:r>
    </w:p>
    <w:p>
      <w:pPr>
        <w:pStyle w:val="BodyText"/>
      </w:pPr>
      <w:r>
        <w:t xml:space="preserve">Adolescents such as students in higher education institutes are often already interacting with tools like ChatGPT</w:t>
      </w:r>
      <w:r>
        <w:t xml:space="preserve"> </w:t>
      </w:r>
      <w:r>
        <w:t xml:space="preserve">(Dai 2025)</w:t>
      </w:r>
      <w:r>
        <w:t xml:space="preserve">, so this study primarily focuses on that group.</w:t>
      </w:r>
    </w:p>
    <w:bookmarkEnd w:id="21"/>
    <w:bookmarkEnd w:id="22"/>
    <w:bookmarkStart w:id="24" w:name="research-questions"/>
    <w:p>
      <w:pPr>
        <w:pStyle w:val="Heading2"/>
      </w:pPr>
      <w:r>
        <w:t xml:space="preserve">Research Questions</w:t>
      </w:r>
    </w:p>
    <w:p>
      <w:pPr>
        <w:pStyle w:val="FirstParagraph"/>
      </w:pPr>
      <w:r>
        <w:t xml:space="preserve">What kind of effects is GenAI having on human agency and freedom among adolescents?</w:t>
      </w:r>
    </w:p>
    <w:bookmarkStart w:id="23" w:name="sub-questions"/>
    <w:p>
      <w:pPr>
        <w:pStyle w:val="Heading3"/>
      </w:pPr>
      <w:r>
        <w:t xml:space="preserve">Sub-questions</w:t>
      </w:r>
    </w:p>
    <w:p>
      <w:pPr>
        <w:pStyle w:val="Compact"/>
        <w:numPr>
          <w:ilvl w:val="0"/>
          <w:numId w:val="1001"/>
        </w:numPr>
      </w:pPr>
      <w:r>
        <w:t xml:space="preserve">How are students interacting with GenAI?</w:t>
      </w:r>
    </w:p>
    <w:p>
      <w:pPr>
        <w:pStyle w:val="Compact"/>
        <w:numPr>
          <w:ilvl w:val="0"/>
          <w:numId w:val="1001"/>
        </w:numPr>
      </w:pPr>
      <w:r>
        <w:t xml:space="preserve">What kind of beliefs do students have about GenAI and its capabilities in relation to their own capabilities?</w:t>
      </w:r>
    </w:p>
    <w:p>
      <w:pPr>
        <w:pStyle w:val="Compact"/>
        <w:numPr>
          <w:ilvl w:val="0"/>
          <w:numId w:val="1001"/>
        </w:numPr>
      </w:pPr>
      <w:r>
        <w:t xml:space="preserve">How is GenAI affecting the execution of tasks for studying?</w:t>
      </w:r>
    </w:p>
    <w:bookmarkEnd w:id="23"/>
    <w:bookmarkEnd w:id="24"/>
    <w:bookmarkStart w:id="25" w:name="methodology"/>
    <w:p>
      <w:pPr>
        <w:pStyle w:val="Heading2"/>
      </w:pPr>
      <w:r>
        <w:t xml:space="preserve">Methodology</w:t>
      </w:r>
    </w:p>
    <w:bookmarkEnd w:id="25"/>
    <w:bookmarkStart w:id="81" w:name="references"/>
    <w:p>
      <w:pPr>
        <w:pStyle w:val="Heading2"/>
      </w:pPr>
      <w:r>
        <w:t xml:space="preserve">References</w:t>
      </w:r>
    </w:p>
    <w:bookmarkStart w:id="80" w:name="refs"/>
    <w:bookmarkStart w:id="27"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26">
        <w:r>
          <w:rPr>
            <w:rStyle w:val="Hyperlink"/>
          </w:rPr>
          <w:t xml:space="preserve">https://doi.org/10.1162/daed_a_01915</w:t>
        </w:r>
      </w:hyperlink>
      <w:r>
        <w:t xml:space="preserve">.</w:t>
      </w:r>
    </w:p>
    <w:bookmarkEnd w:id="27"/>
    <w:bookmarkStart w:id="28" w:name="ref-burdett2014religion"/>
    <w:p>
      <w:pPr>
        <w:pStyle w:val="Bibliography"/>
      </w:pPr>
      <w:r>
        <w:t xml:space="preserve">Burdett, Michael S. 2014.</w:t>
      </w:r>
      <w:r>
        <w:t xml:space="preserve"> </w:t>
      </w:r>
      <w:r>
        <w:t xml:space="preserve">“The Religion of Technology:</w:t>
      </w:r>
      <w:r>
        <w:t xml:space="preserve"> </w:t>
      </w:r>
      <w:r>
        <w:t xml:space="preserve">Transhumanism</w:t>
      </w:r>
      <w:r>
        <w:t xml:space="preserve"> </w:t>
      </w:r>
      <w:r>
        <w:t xml:space="preserve">and the Myth of Progress.”</w:t>
      </w:r>
      <w:r>
        <w:t xml:space="preserve"> </w:t>
      </w:r>
      <w:r>
        <w:rPr>
          <w:i/>
          <w:iCs/>
        </w:rPr>
        <w:t xml:space="preserve">Religion and Transhumanism: The Unknown Future of Human Enhancement</w:t>
      </w:r>
      <w:r>
        <w:t xml:space="preserve">, 131.</w:t>
      </w:r>
    </w:p>
    <w:bookmarkEnd w:id="28"/>
    <w:bookmarkStart w:id="30"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29">
        <w:r>
          <w:rPr>
            <w:rStyle w:val="Hyperlink"/>
          </w:rPr>
          <w:t xml:space="preserve">https://doi.org/10.48550/arXiv.2012.07805</w:t>
        </w:r>
      </w:hyperlink>
      <w:r>
        <w:t xml:space="preserve">.</w:t>
      </w:r>
    </w:p>
    <w:bookmarkEnd w:id="30"/>
    <w:bookmarkStart w:id="31" w:name="ref-crawford2021atlas"/>
    <w:p>
      <w:pPr>
        <w:pStyle w:val="Bibliography"/>
      </w:pPr>
      <w:r>
        <w:t xml:space="preserve">Crawford, Kate. 2021.</w:t>
      </w:r>
      <w:r>
        <w:t xml:space="preserve"> </w:t>
      </w:r>
      <w:r>
        <w:rPr>
          <w:i/>
          <w:iCs/>
        </w:rPr>
        <w:t xml:space="preserve">The Atlas of</w:t>
      </w:r>
      <w:r>
        <w:rPr>
          <w:i/>
          <w:iCs/>
        </w:rPr>
        <w:t xml:space="preserve"> </w:t>
      </w:r>
      <w:r>
        <w:rPr>
          <w:i/>
          <w:iCs/>
        </w:rPr>
        <w:t xml:space="preserve">AI</w:t>
      </w:r>
      <w:r>
        <w:rPr>
          <w:i/>
          <w:iCs/>
        </w:rPr>
        <w:t xml:space="preserve">:</w:t>
      </w:r>
      <w:r>
        <w:rPr>
          <w:i/>
          <w:iCs/>
        </w:rPr>
        <w:t xml:space="preserve"> </w:t>
      </w:r>
      <w:r>
        <w:rPr>
          <w:i/>
          <w:iCs/>
        </w:rPr>
        <w:t xml:space="preserve">Power</w:t>
      </w:r>
      <w:r>
        <w:rPr>
          <w:i/>
          <w:iCs/>
        </w:rPr>
        <w:t xml:space="preserve">, Politics, and the Planetary Costs of Artificial Intelligence</w:t>
      </w:r>
      <w:r>
        <w:t xml:space="preserve">. Yale University Press.</w:t>
      </w:r>
    </w:p>
    <w:bookmarkEnd w:id="31"/>
    <w:bookmarkStart w:id="33" w:name="X11753044df99c9f5661779529477c53c9dc0658"/>
    <w:p>
      <w:pPr>
        <w:pStyle w:val="Bibliography"/>
      </w:pPr>
      <w:r>
        <w:t xml:space="preserve">Cupać, Jelena, Hendrik Schopmans, and İrem Tuncer-Ebetürk. 2024.</w:t>
      </w:r>
      <w:r>
        <w:t xml:space="preserve"> </w:t>
      </w:r>
      <w:r>
        <w:t xml:space="preserve">“Democratization in the Age of Artificial Intelligence: Introduction to the Special Issue.”</w:t>
      </w:r>
      <w:r>
        <w:t xml:space="preserve"> </w:t>
      </w:r>
      <w:r>
        <w:rPr>
          <w:i/>
          <w:iCs/>
        </w:rPr>
        <w:t xml:space="preserve">Democratization</w:t>
      </w:r>
      <w:r>
        <w:t xml:space="preserve"> </w:t>
      </w:r>
      <w:r>
        <w:t xml:space="preserve">31 (5): 899–921.</w:t>
      </w:r>
      <w:r>
        <w:t xml:space="preserve"> </w:t>
      </w:r>
      <w:hyperlink r:id="rId32">
        <w:r>
          <w:rPr>
            <w:rStyle w:val="Hyperlink"/>
          </w:rPr>
          <w:t xml:space="preserve">https://doi.org/10.1080/13510347.2024.2338852</w:t>
        </w:r>
      </w:hyperlink>
      <w:r>
        <w:t xml:space="preserve">.</w:t>
      </w:r>
    </w:p>
    <w:bookmarkEnd w:id="33"/>
    <w:bookmarkStart w:id="35"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34">
        <w:r>
          <w:rPr>
            <w:rStyle w:val="Hyperlink"/>
          </w:rPr>
          <w:t xml:space="preserve">https://doi.org/10.1016/j.dte.2024.100019</w:t>
        </w:r>
      </w:hyperlink>
      <w:r>
        <w:t xml:space="preserve">.</w:t>
      </w:r>
    </w:p>
    <w:bookmarkEnd w:id="35"/>
    <w:bookmarkStart w:id="37" w:name="ref-duOptimizingTemperatureLanguage2025"/>
    <w:p>
      <w:pPr>
        <w:pStyle w:val="Bibliography"/>
      </w:pPr>
      <w:r>
        <w:t xml:space="preserve">Du, Weihua, Yiming Yang, and Sean Welleck. 2025.</w:t>
      </w:r>
      <w:r>
        <w:t xml:space="preserve"> </w:t>
      </w:r>
      <w:r>
        <w:t xml:space="preserve">“Optimizing</w:t>
      </w:r>
      <w:r>
        <w:t xml:space="preserve"> </w:t>
      </w:r>
      <w:r>
        <w:t xml:space="preserve">Temperature</w:t>
      </w:r>
      <w:r>
        <w:t xml:space="preserve"> </w:t>
      </w:r>
      <w:r>
        <w:t xml:space="preserve">for</w:t>
      </w:r>
      <w:r>
        <w:t xml:space="preserve"> </w:t>
      </w:r>
      <w:r>
        <w:t xml:space="preserve">Language Models</w:t>
      </w:r>
      <w:r>
        <w:t xml:space="preserve"> </w:t>
      </w:r>
      <w:r>
        <w:t xml:space="preserve">with</w:t>
      </w:r>
      <w:r>
        <w:t xml:space="preserve"> </w:t>
      </w:r>
      <w:r>
        <w:t xml:space="preserve">Multi-Sample Inference</w:t>
      </w:r>
      <w:r>
        <w:t xml:space="preserve">.”</w:t>
      </w:r>
      <w:r>
        <w:t xml:space="preserve"> </w:t>
      </w:r>
      <w:r>
        <w:t xml:space="preserve">arXiv.</w:t>
      </w:r>
      <w:r>
        <w:t xml:space="preserve"> </w:t>
      </w:r>
      <w:hyperlink r:id="rId36">
        <w:r>
          <w:rPr>
            <w:rStyle w:val="Hyperlink"/>
          </w:rPr>
          <w:t xml:space="preserve">https://doi.org/10.48550/arXiv.2502.05234</w:t>
        </w:r>
      </w:hyperlink>
      <w:r>
        <w:t xml:space="preserve">.</w:t>
      </w:r>
    </w:p>
    <w:bookmarkEnd w:id="37"/>
    <w:bookmarkStart w:id="39" w:name="ref-ferraraGenAIHumanityNefarious2024"/>
    <w:p>
      <w:pPr>
        <w:pStyle w:val="Bibliography"/>
      </w:pPr>
      <w:r>
        <w:t xml:space="preserve">Ferrara, Emilio. 2024.</w:t>
      </w:r>
      <w:r>
        <w:t xml:space="preserve"> </w:t>
      </w:r>
      <w:r>
        <w:t xml:space="preserve">“</w:t>
      </w:r>
      <w:r>
        <w:t xml:space="preserve">GenAI</w:t>
      </w:r>
      <w:r>
        <w:t xml:space="preserve"> </w:t>
      </w:r>
      <w:r>
        <w:t xml:space="preserve">Against Humanity: Nefarious Applications of Generative Artificial Intelligence and Large Language Models.”</w:t>
      </w:r>
      <w:r>
        <w:t xml:space="preserve"> </w:t>
      </w:r>
      <w:r>
        <w:rPr>
          <w:i/>
          <w:iCs/>
        </w:rPr>
        <w:t xml:space="preserve">Journal of Computational Social Science</w:t>
      </w:r>
      <w:r>
        <w:t xml:space="preserve"> </w:t>
      </w:r>
      <w:r>
        <w:t xml:space="preserve">7 (1): 549–69.</w:t>
      </w:r>
      <w:r>
        <w:t xml:space="preserve"> </w:t>
      </w:r>
      <w:hyperlink r:id="rId38">
        <w:r>
          <w:rPr>
            <w:rStyle w:val="Hyperlink"/>
          </w:rPr>
          <w:t xml:space="preserve">https://doi.org/10.1007/s42001-024-00250-1</w:t>
        </w:r>
      </w:hyperlink>
      <w:r>
        <w:t xml:space="preserve">.</w:t>
      </w:r>
    </w:p>
    <w:bookmarkEnd w:id="39"/>
    <w:bookmarkStart w:id="41" w:name="ref-gloerichReimaginingTruthMachine2025"/>
    <w:p>
      <w:pPr>
        <w:pStyle w:val="Bibliography"/>
      </w:pPr>
      <w:r>
        <w:t xml:space="preserve">Gloerich, Inte. 2025.</w:t>
      </w:r>
      <w:r>
        <w:t xml:space="preserve"> </w:t>
      </w:r>
      <w:r>
        <w:t xml:space="preserve">“Reimagining the</w:t>
      </w:r>
      <w:r>
        <w:t xml:space="preserve"> </w:t>
      </w:r>
      <w:r>
        <w:t xml:space="preserve">Truth Machine</w:t>
      </w:r>
      <w:r>
        <w:t xml:space="preserve">:</w:t>
      </w:r>
      <w:r>
        <w:t xml:space="preserve"> </w:t>
      </w:r>
      <w:r>
        <w:t xml:space="preserve">Blockchain Imaginaries</w:t>
      </w:r>
      <w:r>
        <w:t xml:space="preserve"> </w:t>
      </w:r>
      <w:r>
        <w:t xml:space="preserve">Between the</w:t>
      </w:r>
      <w:r>
        <w:t xml:space="preserve"> </w:t>
      </w:r>
      <w:r>
        <w:t xml:space="preserve">Rational</w:t>
      </w:r>
      <w:r>
        <w:t xml:space="preserve"> </w:t>
      </w:r>
      <w:r>
        <w:t xml:space="preserve">and the</w:t>
      </w:r>
      <w:r>
        <w:t xml:space="preserve"> </w:t>
      </w:r>
      <w:r>
        <w:t xml:space="preserve">More-than-Rational</w:t>
      </w:r>
      <w:r>
        <w:t xml:space="preserve">.”</w:t>
      </w:r>
      <w:r>
        <w:t xml:space="preserve"> </w:t>
      </w:r>
      <w:r>
        <w:t xml:space="preserve">Dr., Utrecht University.</w:t>
      </w:r>
      <w:r>
        <w:t xml:space="preserve"> </w:t>
      </w:r>
      <w:hyperlink r:id="rId40">
        <w:r>
          <w:rPr>
            <w:rStyle w:val="Hyperlink"/>
          </w:rPr>
          <w:t xml:space="preserve">https://doi.org/10.33540/2726</w:t>
        </w:r>
      </w:hyperlink>
      <w:r>
        <w:t xml:space="preserve">.</w:t>
      </w:r>
    </w:p>
    <w:bookmarkEnd w:id="41"/>
    <w:bookmarkStart w:id="43" w:name="ref-hanImpactGenAILearning2025"/>
    <w:p>
      <w:pPr>
        <w:pStyle w:val="Bibliography"/>
      </w:pPr>
      <w:r>
        <w:t xml:space="preserve">Han, Xiaoli, Hongchao Peng, and Mingzhuo Liu. 2025.</w:t>
      </w:r>
      <w:r>
        <w:t xml:space="preserve"> </w:t>
      </w:r>
      <w:r>
        <w:t xml:space="preserve">“The Impact of</w:t>
      </w:r>
      <w:r>
        <w:t xml:space="preserve"> </w:t>
      </w:r>
      <w:r>
        <w:t xml:space="preserve">GenAI</w:t>
      </w:r>
      <w:r>
        <w:t xml:space="preserve"> </w:t>
      </w:r>
      <w:r>
        <w:t xml:space="preserve">on Learning Outcomes:</w:t>
      </w:r>
      <w:r>
        <w:t xml:space="preserve"> </w:t>
      </w:r>
      <w:r>
        <w:t xml:space="preserve">A</w:t>
      </w:r>
      <w:r>
        <w:t xml:space="preserve"> </w:t>
      </w:r>
      <w:r>
        <w:t xml:space="preserve">Systematic Review and Meta-Analysis of Experimental Studies.”</w:t>
      </w:r>
      <w:r>
        <w:t xml:space="preserve"> </w:t>
      </w:r>
      <w:r>
        <w:rPr>
          <w:i/>
          <w:iCs/>
        </w:rPr>
        <w:t xml:space="preserve">Educational Research Review</w:t>
      </w:r>
      <w:r>
        <w:t xml:space="preserve"> </w:t>
      </w:r>
      <w:r>
        <w:t xml:space="preserve">48 (August): 100714.</w:t>
      </w:r>
      <w:r>
        <w:t xml:space="preserve"> </w:t>
      </w:r>
      <w:hyperlink r:id="rId42">
        <w:r>
          <w:rPr>
            <w:rStyle w:val="Hyperlink"/>
          </w:rPr>
          <w:t xml:space="preserve">https://doi.org/10.1016/j.edurev.2025.100714</w:t>
        </w:r>
      </w:hyperlink>
      <w:r>
        <w:t xml:space="preserve">.</w:t>
      </w:r>
    </w:p>
    <w:bookmarkEnd w:id="43"/>
    <w:bookmarkStart w:id="44" w:name="ref-HeavenHowAGIBecamea"/>
    <w:p>
      <w:pPr>
        <w:pStyle w:val="Bibliography"/>
      </w:pPr>
      <w:r>
        <w:t xml:space="preserve">Heaven, Will Douglas. 2025.</w:t>
      </w:r>
      <w:r>
        <w:t xml:space="preserve"> </w:t>
      </w:r>
      <w:r>
        <w:t xml:space="preserve">“How</w:t>
      </w:r>
      <w:r>
        <w:t xml:space="preserve"> </w:t>
      </w:r>
      <w:r>
        <w:t xml:space="preserve">AGI</w:t>
      </w:r>
      <w:r>
        <w:t xml:space="preserve"> </w:t>
      </w:r>
      <w:r>
        <w:t xml:space="preserve">Became the Most Consequential Conspiracy Theory of Our Time.”</w:t>
      </w:r>
      <w:r>
        <w:t xml:space="preserve"> </w:t>
      </w:r>
      <w:r>
        <w:rPr>
          <w:i/>
          <w:iCs/>
        </w:rPr>
        <w:t xml:space="preserve">MIT Technology Review</w:t>
      </w:r>
      <w:r>
        <w:t xml:space="preserve">. https://www.technologyreview.com/2025/10/30/1127057/agi-conspiracy-theory-artifcial-general-intelligence/.</w:t>
      </w:r>
    </w:p>
    <w:bookmarkEnd w:id="44"/>
    <w:bookmarkStart w:id="46"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5">
        <w:r>
          <w:rPr>
            <w:rStyle w:val="Hyperlink"/>
          </w:rPr>
          <w:t xml:space="preserve">https://doi.org/10.1007/s13347-023-00672-1</w:t>
        </w:r>
      </w:hyperlink>
      <w:r>
        <w:t xml:space="preserve">.</w:t>
      </w:r>
    </w:p>
    <w:bookmarkEnd w:id="46"/>
    <w:bookmarkStart w:id="48" w:name="ref-houAllRoadsLead2025"/>
    <w:p>
      <w:pPr>
        <w:pStyle w:val="Bibliography"/>
      </w:pPr>
      <w:r>
        <w:t xml:space="preserve">Hou, Irene, Owen Man, Kate Hamilton, Srishty Muthusekaran, Jeffin Johnykutty, Leili Zadeh, and Stephen MacNeil. 2025.</w:t>
      </w:r>
      <w:r>
        <w:t xml:space="preserve"> </w:t>
      </w:r>
      <w:r>
        <w:t xml:space="preserve">“’</w:t>
      </w:r>
      <w:r>
        <w:t xml:space="preserve">All Roads Lead</w:t>
      </w:r>
      <w:r>
        <w:t xml:space="preserve"> </w:t>
      </w:r>
      <w:r>
        <w:t xml:space="preserve">to</w:t>
      </w:r>
      <w:r>
        <w:t xml:space="preserve"> </w:t>
      </w:r>
      <w:r>
        <w:t xml:space="preserve">ChatGPT</w:t>
      </w:r>
      <w:r>
        <w:t xml:space="preserve">’:</w:t>
      </w:r>
      <w:r>
        <w:t xml:space="preserve"> </w:t>
      </w:r>
      <w:r>
        <w:t xml:space="preserve">How Generative AI</w:t>
      </w:r>
      <w:r>
        <w:t xml:space="preserve"> </w:t>
      </w:r>
      <w:r>
        <w:t xml:space="preserve">Is</w:t>
      </w:r>
      <w:r>
        <w:t xml:space="preserve"> </w:t>
      </w:r>
      <w:r>
        <w:t xml:space="preserve">Eroding Social Interactions</w:t>
      </w:r>
      <w:r>
        <w:t xml:space="preserve"> </w:t>
      </w:r>
      <w:r>
        <w:t xml:space="preserve">and</w:t>
      </w:r>
      <w:r>
        <w:t xml:space="preserve"> </w:t>
      </w:r>
      <w:r>
        <w:t xml:space="preserve">Student Learning Communities</w:t>
      </w:r>
      <w:r>
        <w:t xml:space="preserve">.”</w:t>
      </w:r>
      <w:r>
        <w:t xml:space="preserve"> </w:t>
      </w:r>
      <w:r>
        <w:t xml:space="preserve">In</w:t>
      </w:r>
      <w:r>
        <w:t xml:space="preserve"> </w:t>
      </w:r>
      <w:r>
        <w:rPr>
          <w:i/>
          <w:iCs/>
        </w:rPr>
        <w:t xml:space="preserve">Proceedings of the 30th</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Innovation</w:t>
      </w:r>
      <w:r>
        <w:rPr>
          <w:i/>
          <w:iCs/>
        </w:rPr>
        <w:t xml:space="preserve"> </w:t>
      </w:r>
      <w:r>
        <w:rPr>
          <w:i/>
          <w:iCs/>
        </w:rPr>
        <w:t xml:space="preserve">and</w:t>
      </w:r>
      <w:r>
        <w:rPr>
          <w:i/>
          <w:iCs/>
        </w:rPr>
        <w:t xml:space="preserve"> </w:t>
      </w:r>
      <w:r>
        <w:rPr>
          <w:i/>
          <w:iCs/>
        </w:rPr>
        <w:t xml:space="preserve">Technology</w:t>
      </w:r>
      <w:r>
        <w:rPr>
          <w:i/>
          <w:iCs/>
        </w:rPr>
        <w:t xml:space="preserve"> </w:t>
      </w:r>
      <w:r>
        <w:rPr>
          <w:i/>
          <w:iCs/>
        </w:rPr>
        <w:t xml:space="preserve">in</w:t>
      </w:r>
      <w:r>
        <w:rPr>
          <w:i/>
          <w:iCs/>
        </w:rPr>
        <w:t xml:space="preserve"> </w:t>
      </w:r>
      <w:r>
        <w:rPr>
          <w:i/>
          <w:iCs/>
        </w:rPr>
        <w:t xml:space="preserve">Computer Science Education V</w:t>
      </w:r>
      <w:r>
        <w:rPr>
          <w:i/>
          <w:iCs/>
        </w:rPr>
        <w:t xml:space="preserve">. 1</w:t>
      </w:r>
      <w:r>
        <w:t xml:space="preserve">, 79–85. Nijmegen Netherlands: ACM.</w:t>
      </w:r>
      <w:r>
        <w:t xml:space="preserve"> </w:t>
      </w:r>
      <w:hyperlink r:id="rId47">
        <w:r>
          <w:rPr>
            <w:rStyle w:val="Hyperlink"/>
          </w:rPr>
          <w:t xml:space="preserve">https://doi.org/10.1145/3724363.3729024</w:t>
        </w:r>
      </w:hyperlink>
      <w:r>
        <w:t xml:space="preserve">.</w:t>
      </w:r>
    </w:p>
    <w:bookmarkEnd w:id="48"/>
    <w:bookmarkStart w:id="49"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49"/>
    <w:bookmarkStart w:id="50" w:name="ref-joshi2025transformative"/>
    <w:p>
      <w:pPr>
        <w:pStyle w:val="Bibliography"/>
      </w:pPr>
      <w:r>
        <w:t xml:space="preserve">Joshi, Satyadhar. 2025.</w:t>
      </w:r>
      <w:r>
        <w:t xml:space="preserve"> </w:t>
      </w:r>
      <w:r>
        <w:t xml:space="preserve">“The Transformative Role of Agentic</w:t>
      </w:r>
      <w:r>
        <w:t xml:space="preserve"> </w:t>
      </w:r>
      <w:r>
        <w:t xml:space="preserve">GenAI</w:t>
      </w:r>
      <w:r>
        <w:t xml:space="preserve"> </w:t>
      </w:r>
      <w:r>
        <w:t xml:space="preserve">in Shaping Workforce Development and Education in the</w:t>
      </w:r>
      <w:r>
        <w:t xml:space="preserve"> </w:t>
      </w:r>
      <w:r>
        <w:t xml:space="preserve">US</w:t>
      </w:r>
      <w:r>
        <w:t xml:space="preserve">.”</w:t>
      </w:r>
      <w:r>
        <w:t xml:space="preserve"> </w:t>
      </w:r>
      <w:r>
        <w:rPr>
          <w:i/>
          <w:iCs/>
        </w:rPr>
        <w:t xml:space="preserve">Available at SSRN 5133376</w:t>
      </w:r>
      <w:r>
        <w:t xml:space="preserve">.</w:t>
      </w:r>
    </w:p>
    <w:bookmarkEnd w:id="50"/>
    <w:bookmarkStart w:id="52" w:name="ref-kapoorAIAgentsThat2024"/>
    <w:p>
      <w:pPr>
        <w:pStyle w:val="Bibliography"/>
      </w:pPr>
      <w:r>
        <w:t xml:space="preserve">Kapoor, Sayash, Benedikt Stroebl, Zachary S. Siegel, Nitya Nadgir, and Arvind Narayanan. 2024.</w:t>
      </w:r>
      <w:r>
        <w:t xml:space="preserve"> </w:t>
      </w:r>
      <w:r>
        <w:t xml:space="preserve">“</w:t>
      </w:r>
      <w:r>
        <w:t xml:space="preserve">AI Agents That Matter</w:t>
      </w:r>
      <w:r>
        <w:t xml:space="preserve">.”</w:t>
      </w:r>
      <w:r>
        <w:t xml:space="preserve"> </w:t>
      </w:r>
      <w:r>
        <w:t xml:space="preserve">arXiv.</w:t>
      </w:r>
      <w:r>
        <w:t xml:space="preserve"> </w:t>
      </w:r>
      <w:hyperlink r:id="rId51">
        <w:r>
          <w:rPr>
            <w:rStyle w:val="Hyperlink"/>
          </w:rPr>
          <w:t xml:space="preserve">https://doi.org/10.48550/ARXIV.2407.01502</w:t>
        </w:r>
      </w:hyperlink>
      <w:r>
        <w:t xml:space="preserve">.</w:t>
      </w:r>
    </w:p>
    <w:bookmarkEnd w:id="52"/>
    <w:bookmarkStart w:id="54" w:name="ref-khanalWhyHowPower2025"/>
    <w:p>
      <w:pPr>
        <w:pStyle w:val="Bibliography"/>
      </w:pPr>
      <w:r>
        <w:t xml:space="preserve">Khanal, Shaleen, Hongzhou Zhang, and Araz Taeihagh. 2025.</w:t>
      </w:r>
      <w:r>
        <w:t xml:space="preserve"> </w:t>
      </w:r>
      <w:r>
        <w:t xml:space="preserve">“Why and How Is the Power of</w:t>
      </w:r>
      <w:r>
        <w:t xml:space="preserve"> </w:t>
      </w:r>
      <w:r>
        <w:t xml:space="preserve">Big Tech</w:t>
      </w:r>
      <w:r>
        <w:t xml:space="preserve"> </w:t>
      </w:r>
      <w:r>
        <w:t xml:space="preserve">Increasing in the Policy Process?</w:t>
      </w:r>
      <w:r>
        <w:t xml:space="preserve"> </w:t>
      </w:r>
      <w:r>
        <w:t xml:space="preserve">The</w:t>
      </w:r>
      <w:r>
        <w:t xml:space="preserve"> </w:t>
      </w:r>
      <w:r>
        <w:t xml:space="preserve">Case of Generative</w:t>
      </w:r>
      <w:r>
        <w:t xml:space="preserve"> </w:t>
      </w:r>
      <w:r>
        <w:t xml:space="preserve">AI</w:t>
      </w:r>
      <w:r>
        <w:t xml:space="preserve">.”</w:t>
      </w:r>
      <w:r>
        <w:t xml:space="preserve"> </w:t>
      </w:r>
      <w:r>
        <w:rPr>
          <w:i/>
          <w:iCs/>
        </w:rPr>
        <w:t xml:space="preserve">Policy and Society</w:t>
      </w:r>
      <w:r>
        <w:t xml:space="preserve"> </w:t>
      </w:r>
      <w:r>
        <w:t xml:space="preserve">44 (1): 52–69.</w:t>
      </w:r>
      <w:r>
        <w:t xml:space="preserve"> </w:t>
      </w:r>
      <w:hyperlink r:id="rId53">
        <w:r>
          <w:rPr>
            <w:rStyle w:val="Hyperlink"/>
          </w:rPr>
          <w:t xml:space="preserve">https://doi.org/10.1093/polsoc/puae012</w:t>
        </w:r>
      </w:hyperlink>
      <w:r>
        <w:t xml:space="preserve">.</w:t>
      </w:r>
    </w:p>
    <w:bookmarkEnd w:id="54"/>
    <w:bookmarkStart w:id="56" w:name="ref-leslieFutureShockGenerative2024"/>
    <w:p>
      <w:pPr>
        <w:pStyle w:val="Bibliography"/>
      </w:pPr>
      <w:r>
        <w:t xml:space="preserve">Leslie, David, and Antonella Maia Perini. 2024.</w:t>
      </w:r>
      <w:r>
        <w:t xml:space="preserve"> </w:t>
      </w:r>
      <w:r>
        <w:t xml:space="preserve">“Future</w:t>
      </w:r>
      <w:r>
        <w:t xml:space="preserve"> </w:t>
      </w:r>
      <w:r>
        <w:t xml:space="preserve">Shock</w:t>
      </w:r>
      <w:r>
        <w:t xml:space="preserve">:</w:t>
      </w:r>
      <w:r>
        <w:t xml:space="preserve"> </w:t>
      </w:r>
      <w:r>
        <w:t xml:space="preserve">Generative AI</w:t>
      </w:r>
      <w:r>
        <w:t xml:space="preserve"> </w:t>
      </w:r>
      <w:r>
        <w:t xml:space="preserve">and the</w:t>
      </w:r>
      <w:r>
        <w:t xml:space="preserve"> </w:t>
      </w:r>
      <w:r>
        <w:t xml:space="preserve">International AI Policy</w:t>
      </w:r>
      <w:r>
        <w:t xml:space="preserve"> </w:t>
      </w:r>
      <w:r>
        <w:t xml:space="preserve">and</w:t>
      </w:r>
      <w:r>
        <w:t xml:space="preserve"> </w:t>
      </w:r>
      <w:r>
        <w:t xml:space="preserve">Governance Crisis</w:t>
      </w:r>
      <w:r>
        <w:t xml:space="preserve">.”</w:t>
      </w:r>
      <w:r>
        <w:t xml:space="preserve"> </w:t>
      </w:r>
      <w:r>
        <w:rPr>
          <w:i/>
          <w:iCs/>
        </w:rPr>
        <w:t xml:space="preserve">Harvard Data Science Review</w:t>
      </w:r>
      <w:r>
        <w:t xml:space="preserve">, no. Special Issue 5 (May).</w:t>
      </w:r>
      <w:r>
        <w:t xml:space="preserve"> </w:t>
      </w:r>
      <w:hyperlink r:id="rId55">
        <w:r>
          <w:rPr>
            <w:rStyle w:val="Hyperlink"/>
          </w:rPr>
          <w:t xml:space="preserve">https://doi.org/10.1162/99608f92.88b4cc98</w:t>
        </w:r>
      </w:hyperlink>
      <w:r>
        <w:t xml:space="preserve">.</w:t>
      </w:r>
    </w:p>
    <w:bookmarkEnd w:id="56"/>
    <w:bookmarkStart w:id="58"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57">
        <w:r>
          <w:rPr>
            <w:rStyle w:val="Hyperlink"/>
          </w:rPr>
          <w:t xml:space="preserve">https://doi.org/10.48550/arXiv.2304.05197</w:t>
        </w:r>
      </w:hyperlink>
      <w:r>
        <w:t xml:space="preserve">.</w:t>
      </w:r>
    </w:p>
    <w:bookmarkEnd w:id="58"/>
    <w:bookmarkStart w:id="59" w:name="ref-mathurTechnologyFreedom"/>
    <w:p>
      <w:pPr>
        <w:pStyle w:val="Bibliography"/>
      </w:pPr>
      <w:r>
        <w:t xml:space="preserve">Mathur, A B. n.d.</w:t>
      </w:r>
      <w:r>
        <w:t xml:space="preserve"> </w:t>
      </w:r>
      <w:r>
        <w:t xml:space="preserve">“Technology and</w:t>
      </w:r>
      <w:r>
        <w:t xml:space="preserve"> </w:t>
      </w:r>
      <w:r>
        <w:t xml:space="preserve">Freedom</w:t>
      </w:r>
      <w:r>
        <w:t xml:space="preserve">.”</w:t>
      </w:r>
    </w:p>
    <w:bookmarkEnd w:id="59"/>
    <w:bookmarkStart w:id="60" w:name="ref-miklianNewDigitalDivide"/>
    <w:p>
      <w:pPr>
        <w:pStyle w:val="Bibliography"/>
      </w:pPr>
      <w:r>
        <w:t xml:space="preserve">Miklian, Jason, and Kristian Hoelscher. n.d.</w:t>
      </w:r>
      <w:r>
        <w:t xml:space="preserve"> </w:t>
      </w:r>
      <w:r>
        <w:t xml:space="preserve">“A New Digital Divide?</w:t>
      </w:r>
      <w:r>
        <w:t xml:space="preserve"> </w:t>
      </w:r>
      <w:r>
        <w:t xml:space="preserve">Coder</w:t>
      </w:r>
      <w:r>
        <w:t xml:space="preserve"> </w:t>
      </w:r>
      <w:r>
        <w:t xml:space="preserve">Worldviews, the</w:t>
      </w:r>
      <w:r>
        <w:t xml:space="preserve"> </w:t>
      </w:r>
      <w:r>
        <w:t xml:space="preserve">‘</w:t>
      </w:r>
      <w:r>
        <w:t xml:space="preserve">Slop</w:t>
      </w:r>
      <w:r>
        <w:t xml:space="preserve"> </w:t>
      </w:r>
      <w:r>
        <w:t xml:space="preserve">Economy,’</w:t>
      </w:r>
      <w:r>
        <w:t xml:space="preserve"> </w:t>
      </w:r>
      <w:r>
        <w:t xml:space="preserve">and Democracy in the Age of</w:t>
      </w:r>
      <w:r>
        <w:t xml:space="preserve"> </w:t>
      </w:r>
      <w:r>
        <w:t xml:space="preserve">AI</w:t>
      </w:r>
      <w:r>
        <w:t xml:space="preserve">.”</w:t>
      </w:r>
    </w:p>
    <w:bookmarkEnd w:id="60"/>
    <w:bookmarkStart w:id="61" w:name="ref-milmoChatGPTReaches1002023"/>
    <w:p>
      <w:pPr>
        <w:pStyle w:val="Bibliography"/>
      </w:pPr>
      <w:r>
        <w:t xml:space="preserve">Milmo, Dan. 2023.</w:t>
      </w:r>
      <w:r>
        <w:t xml:space="preserve"> </w:t>
      </w:r>
      <w:r>
        <w:t xml:space="preserve">“</w:t>
      </w:r>
      <w:r>
        <w:t xml:space="preserve">ChatGPT</w:t>
      </w:r>
      <w:r>
        <w:t xml:space="preserve"> </w:t>
      </w:r>
      <w:r>
        <w:t xml:space="preserve">Reaches 100 Million Users Two Months After Launch.”</w:t>
      </w:r>
      <w:r>
        <w:t xml:space="preserve"> </w:t>
      </w:r>
      <w:r>
        <w:rPr>
          <w:i/>
          <w:iCs/>
        </w:rPr>
        <w:t xml:space="preserve">The Guardian</w:t>
      </w:r>
      <w:r>
        <w:t xml:space="preserve">, February.</w:t>
      </w:r>
    </w:p>
    <w:bookmarkEnd w:id="61"/>
    <w:bookmarkStart w:id="63"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62">
        <w:r>
          <w:rPr>
            <w:rStyle w:val="Hyperlink"/>
          </w:rPr>
          <w:t xml:space="preserve">https://doi.org/10.1007/s11948-013-9464-1</w:t>
        </w:r>
      </w:hyperlink>
      <w:r>
        <w:t xml:space="preserve">.</w:t>
      </w:r>
    </w:p>
    <w:bookmarkEnd w:id="63"/>
    <w:bookmarkStart w:id="65"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64">
        <w:r>
          <w:rPr>
            <w:rStyle w:val="Hyperlink"/>
          </w:rPr>
          <w:t xml:space="preserve">https://doi.org/10.48550/arXiv.2211.09527</w:t>
        </w:r>
      </w:hyperlink>
      <w:r>
        <w:t xml:space="preserve">.</w:t>
      </w:r>
    </w:p>
    <w:bookmarkEnd w:id="65"/>
    <w:bookmarkStart w:id="67" w:name="ref-perifanouCollaborativeUsesGenAI2025"/>
    <w:p>
      <w:pPr>
        <w:pStyle w:val="Bibliography"/>
      </w:pPr>
      <w:r>
        <w:t xml:space="preserve">Perifanou, Maria, and Anastasios A. Economides. 2025.</w:t>
      </w:r>
      <w:r>
        <w:t xml:space="preserve"> </w:t>
      </w:r>
      <w:r>
        <w:t xml:space="preserve">“Collaborative</w:t>
      </w:r>
      <w:r>
        <w:t xml:space="preserve"> </w:t>
      </w:r>
      <w:r>
        <w:t xml:space="preserve">Uses</w:t>
      </w:r>
      <w:r>
        <w:t xml:space="preserve"> </w:t>
      </w:r>
      <w:r>
        <w:t xml:space="preserve">of</w:t>
      </w:r>
      <w:r>
        <w:t xml:space="preserve"> </w:t>
      </w:r>
      <w:r>
        <w:t xml:space="preserve">GenAI Tools</w:t>
      </w:r>
      <w:r>
        <w:t xml:space="preserve"> </w:t>
      </w:r>
      <w:r>
        <w:t xml:space="preserve">in</w:t>
      </w:r>
      <w:r>
        <w:t xml:space="preserve"> </w:t>
      </w:r>
      <w:r>
        <w:t xml:space="preserve">Project-Based Learning</w:t>
      </w:r>
      <w:r>
        <w:t xml:space="preserve">.”</w:t>
      </w:r>
      <w:r>
        <w:t xml:space="preserve"> </w:t>
      </w:r>
      <w:r>
        <w:rPr>
          <w:i/>
          <w:iCs/>
        </w:rPr>
        <w:t xml:space="preserve">Education Sciences</w:t>
      </w:r>
      <w:r>
        <w:t xml:space="preserve"> </w:t>
      </w:r>
      <w:r>
        <w:t xml:space="preserve">15 (3): 354.</w:t>
      </w:r>
      <w:r>
        <w:t xml:space="preserve"> </w:t>
      </w:r>
      <w:hyperlink r:id="rId66">
        <w:r>
          <w:rPr>
            <w:rStyle w:val="Hyperlink"/>
          </w:rPr>
          <w:t xml:space="preserve">https://doi.org/10.3390/educsci15030354</w:t>
        </w:r>
      </w:hyperlink>
      <w:r>
        <w:t xml:space="preserve">.</w:t>
      </w:r>
    </w:p>
    <w:bookmarkEnd w:id="67"/>
    <w:bookmarkStart w:id="69"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8">
        <w:r>
          <w:rPr>
            <w:rStyle w:val="Hyperlink"/>
          </w:rPr>
          <w:t xml:space="preserve">https://doi.org/10.1016/j.chbah.2024.100062</w:t>
        </w:r>
      </w:hyperlink>
      <w:r>
        <w:t xml:space="preserve">.</w:t>
      </w:r>
    </w:p>
    <w:bookmarkEnd w:id="69"/>
    <w:bookmarkStart w:id="71" w:name="ref-registerLearningMachineLearning2020"/>
    <w:p>
      <w:pPr>
        <w:pStyle w:val="Bibliography"/>
      </w:pPr>
      <w:r>
        <w:t xml:space="preserve">Register, Yim, and Amy J. Ko. 2020.</w:t>
      </w:r>
      <w:r>
        <w:t xml:space="preserve"> </w:t>
      </w:r>
      <w:r>
        <w:t xml:space="preserve">“Learning</w:t>
      </w:r>
      <w:r>
        <w:t xml:space="preserve"> </w:t>
      </w:r>
      <w:r>
        <w:t xml:space="preserve">Machine Learning</w:t>
      </w:r>
      <w:r>
        <w:t xml:space="preserve"> </w:t>
      </w:r>
      <w:r>
        <w:t xml:space="preserve">with</w:t>
      </w:r>
      <w:r>
        <w:t xml:space="preserve"> </w:t>
      </w:r>
      <w:r>
        <w:t xml:space="preserve">Personal Data Helps Stakeholders Ground Advocacy Arguments</w:t>
      </w:r>
      <w:r>
        <w:t xml:space="preserve"> </w:t>
      </w:r>
      <w:r>
        <w:t xml:space="preserve">in</w:t>
      </w:r>
      <w:r>
        <w:t xml:space="preserve"> </w:t>
      </w:r>
      <w:r>
        <w:t xml:space="preserve">Model Mechanics</w:t>
      </w:r>
      <w:r>
        <w:t xml:space="preserve">.”</w:t>
      </w:r>
      <w:r>
        <w:t xml:space="preserve"> </w:t>
      </w:r>
      <w:r>
        <w:t xml:space="preserve">In</w:t>
      </w:r>
      <w:r>
        <w:t xml:space="preserve"> </w:t>
      </w:r>
      <w:r>
        <w:rPr>
          <w:i/>
          <w:iCs/>
        </w:rPr>
        <w:t xml:space="preserve">Proceedings of the 2020</w:t>
      </w:r>
      <w:r>
        <w:rPr>
          <w:i/>
          <w:iCs/>
        </w:rPr>
        <w:t xml:space="preserve"> </w:t>
      </w:r>
      <w:r>
        <w:rPr>
          <w:i/>
          <w:iCs/>
        </w:rPr>
        <w:t xml:space="preserve">ACM Conference</w:t>
      </w:r>
      <w:r>
        <w:rPr>
          <w:i/>
          <w:iCs/>
        </w:rPr>
        <w:t xml:space="preserve"> </w:t>
      </w:r>
      <w:r>
        <w:rPr>
          <w:i/>
          <w:iCs/>
        </w:rPr>
        <w:t xml:space="preserve">on</w:t>
      </w:r>
      <w:r>
        <w:rPr>
          <w:i/>
          <w:iCs/>
        </w:rPr>
        <w:t xml:space="preserve"> </w:t>
      </w:r>
      <w:r>
        <w:rPr>
          <w:i/>
          <w:iCs/>
        </w:rPr>
        <w:t xml:space="preserve">International Computing Education Research</w:t>
      </w:r>
      <w:r>
        <w:t xml:space="preserve">, 67–78. Virtual Event New Zealand: ACM.</w:t>
      </w:r>
      <w:r>
        <w:t xml:space="preserve"> </w:t>
      </w:r>
      <w:hyperlink r:id="rId70">
        <w:r>
          <w:rPr>
            <w:rStyle w:val="Hyperlink"/>
          </w:rPr>
          <w:t xml:space="preserve">https://doi.org/10.1145/3372782.3406252</w:t>
        </w:r>
      </w:hyperlink>
      <w:r>
        <w:t xml:space="preserve">.</w:t>
      </w:r>
    </w:p>
    <w:bookmarkEnd w:id="71"/>
    <w:bookmarkStart w:id="73" w:name="ref-udehRoleGenerativeAI2025"/>
    <w:p>
      <w:pPr>
        <w:pStyle w:val="Bibliography"/>
      </w:pPr>
      <w:r>
        <w:t xml:space="preserve">Udeh, Chinemelum Goodness. 2025.</w:t>
      </w:r>
      <w:r>
        <w:t xml:space="preserve"> </w:t>
      </w:r>
      <w:r>
        <w:t xml:space="preserve">“The Role of Generative</w:t>
      </w:r>
      <w:r>
        <w:t xml:space="preserve"> </w:t>
      </w:r>
      <w:r>
        <w:t xml:space="preserve">AI</w:t>
      </w:r>
      <w:r>
        <w:t xml:space="preserve"> </w:t>
      </w:r>
      <w:r>
        <w:t xml:space="preserve">in Personalized Learning for Higher Education.”</w:t>
      </w:r>
      <w:r>
        <w:t xml:space="preserve"> </w:t>
      </w:r>
      <w:r>
        <w:rPr>
          <w:i/>
          <w:iCs/>
        </w:rPr>
        <w:t xml:space="preserve">World Journal of Advanced Engineering Technology and Sciences</w:t>
      </w:r>
      <w:r>
        <w:t xml:space="preserve"> </w:t>
      </w:r>
      <w:r>
        <w:t xml:space="preserve">14 (2): 205–7.</w:t>
      </w:r>
      <w:r>
        <w:t xml:space="preserve"> </w:t>
      </w:r>
      <w:hyperlink r:id="rId72">
        <w:r>
          <w:rPr>
            <w:rStyle w:val="Hyperlink"/>
          </w:rPr>
          <w:t xml:space="preserve">https://doi.org/10.30574/wjaets.2025.14.2.0077</w:t>
        </w:r>
      </w:hyperlink>
      <w:r>
        <w:t xml:space="preserve">.</w:t>
      </w:r>
    </w:p>
    <w:bookmarkEnd w:id="73"/>
    <w:bookmarkStart w:id="74" w:name="ref-undpHumanDevelopmentReport2025"/>
    <w:p>
      <w:pPr>
        <w:pStyle w:val="Bibliography"/>
      </w:pPr>
      <w:r>
        <w:t xml:space="preserve">UNDP. 2025.</w:t>
      </w:r>
      <w:r>
        <w:t xml:space="preserve"> </w:t>
      </w:r>
      <w:r>
        <w:t xml:space="preserve">“Human Development Report 2025.”</w:t>
      </w:r>
      <w:r>
        <w:t xml:space="preserve"> </w:t>
      </w:r>
      <w:r>
        <w:rPr>
          <w:i/>
          <w:iCs/>
        </w:rPr>
        <w:t xml:space="preserve">UNDP (United Nations Development Programme)</w:t>
      </w:r>
      <w:r>
        <w:t xml:space="preserve">.</w:t>
      </w:r>
    </w:p>
    <w:bookmarkEnd w:id="74"/>
    <w:bookmarkStart w:id="76"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75">
        <w:r>
          <w:rPr>
            <w:rStyle w:val="Hyperlink"/>
          </w:rPr>
          <w:t xml:space="preserve">https://doi.org/10.1007/978-3-319-91134-2_8</w:t>
        </w:r>
      </w:hyperlink>
      <w:r>
        <w:t xml:space="preserve">.</w:t>
      </w:r>
    </w:p>
    <w:bookmarkEnd w:id="76"/>
    <w:bookmarkStart w:id="78" w:name="ref-yangAgenticWebWeaving2025"/>
    <w:p>
      <w:pPr>
        <w:pStyle w:val="Bibliography"/>
      </w:pPr>
      <w:r>
        <w:t xml:space="preserve">Yang, Yingxuan, Mulei Ma, Yuxuan Huang, Huacan Chai, Chenyu Gong, Haoran Geng, Yuanjian Zhou, et al. 2025.</w:t>
      </w:r>
      <w:r>
        <w:t xml:space="preserve"> </w:t>
      </w:r>
      <w:r>
        <w:t xml:space="preserve">“Agentic</w:t>
      </w:r>
      <w:r>
        <w:t xml:space="preserve"> </w:t>
      </w:r>
      <w:r>
        <w:t xml:space="preserve">Web</w:t>
      </w:r>
      <w:r>
        <w:t xml:space="preserve">:</w:t>
      </w:r>
      <w:r>
        <w:t xml:space="preserve"> </w:t>
      </w:r>
      <w:r>
        <w:t xml:space="preserve">Weaving</w:t>
      </w:r>
      <w:r>
        <w:t xml:space="preserve"> </w:t>
      </w:r>
      <w:r>
        <w:t xml:space="preserve">the</w:t>
      </w:r>
      <w:r>
        <w:t xml:space="preserve"> </w:t>
      </w:r>
      <w:r>
        <w:t xml:space="preserve">Next Web</w:t>
      </w:r>
      <w:r>
        <w:t xml:space="preserve"> </w:t>
      </w:r>
      <w:r>
        <w:t xml:space="preserve">with</w:t>
      </w:r>
      <w:r>
        <w:t xml:space="preserve"> </w:t>
      </w:r>
      <w:r>
        <w:t xml:space="preserve">AI Agents</w:t>
      </w:r>
      <w:r>
        <w:t xml:space="preserve">.”</w:t>
      </w:r>
      <w:r>
        <w:t xml:space="preserve"> </w:t>
      </w:r>
      <w:r>
        <w:t xml:space="preserve">arXiv.</w:t>
      </w:r>
      <w:r>
        <w:t xml:space="preserve"> </w:t>
      </w:r>
      <w:hyperlink r:id="rId77">
        <w:r>
          <w:rPr>
            <w:rStyle w:val="Hyperlink"/>
          </w:rPr>
          <w:t xml:space="preserve">https://doi.org/10.48550/arXiv.2507.21206</w:t>
        </w:r>
      </w:hyperlink>
      <w:r>
        <w:t xml:space="preserve">.</w:t>
      </w:r>
    </w:p>
    <w:bookmarkEnd w:id="78"/>
    <w:bookmarkStart w:id="79" w:name="ref-yaoCAReDiOEnhancingCultural2025"/>
    <w:p>
      <w:pPr>
        <w:pStyle w:val="Bibliography"/>
      </w:pPr>
      <w:r>
        <w:t xml:space="preserve">Yao, Jing, Xiaoyuan Yi, Jindong Wang, Zhicheng Dou, and Xing Xie. 2025.</w:t>
      </w:r>
      <w:r>
        <w:t xml:space="preserve"> </w:t>
      </w:r>
      <w:r>
        <w:t xml:space="preserve">“</w:t>
      </w:r>
      <w:r>
        <w:t xml:space="preserve">CAReDiO</w:t>
      </w:r>
      <w:r>
        <w:t xml:space="preserve">:</w:t>
      </w:r>
      <w:r>
        <w:t xml:space="preserve"> </w:t>
      </w:r>
      <w:r>
        <w:t xml:space="preserve">Enhancing Cultural Alignment</w:t>
      </w:r>
      <w:r>
        <w:t xml:space="preserve"> </w:t>
      </w:r>
      <w:r>
        <w:t xml:space="preserve">of</w:t>
      </w:r>
      <w:r>
        <w:t xml:space="preserve"> </w:t>
      </w:r>
      <w:r>
        <w:t xml:space="preserve">LLM</w:t>
      </w:r>
      <w:r>
        <w:t xml:space="preserve"> </w:t>
      </w:r>
      <w:r>
        <w:t xml:space="preserve">via</w:t>
      </w:r>
      <w:r>
        <w:t xml:space="preserve"> </w:t>
      </w:r>
      <w:r>
        <w:t xml:space="preserve">Representativeness</w:t>
      </w:r>
      <w:r>
        <w:t xml:space="preserve"> </w:t>
      </w:r>
      <w:r>
        <w:t xml:space="preserve">and</w:t>
      </w:r>
      <w:r>
        <w:t xml:space="preserve"> </w:t>
      </w:r>
      <w:r>
        <w:t xml:space="preserve">Distinctiveness Guided Data Optimization</w:t>
      </w:r>
      <w:r>
        <w:t xml:space="preserve">,”</w:t>
      </w:r>
      <w:r>
        <w:t xml:space="preserve"> </w:t>
      </w:r>
      <w:r>
        <w:t xml:space="preserve">October.</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doi.org/10.1007/978-3-319-91134-2_8" TargetMode="External" /><Relationship Type="http://schemas.openxmlformats.org/officeDocument/2006/relationships/hyperlink" Id="rId62" Target="https://doi.org/10.1007/s11948-013-9464-1" TargetMode="External" /><Relationship Type="http://schemas.openxmlformats.org/officeDocument/2006/relationships/hyperlink" Id="rId45" Target="https://doi.org/10.1007/s13347-023-00672-1" TargetMode="External" /><Relationship Type="http://schemas.openxmlformats.org/officeDocument/2006/relationships/hyperlink" Id="rId38" Target="https://doi.org/10.1007/s42001-024-00250-1" TargetMode="External" /><Relationship Type="http://schemas.openxmlformats.org/officeDocument/2006/relationships/hyperlink" Id="rId68" Target="https://doi.org/10.1016/j.chbah.2024.100062" TargetMode="External" /><Relationship Type="http://schemas.openxmlformats.org/officeDocument/2006/relationships/hyperlink" Id="rId34" Target="https://doi.org/10.1016/j.dte.2024.100019" TargetMode="External" /><Relationship Type="http://schemas.openxmlformats.org/officeDocument/2006/relationships/hyperlink" Id="rId42" Target="https://doi.org/10.1016/j.edurev.2025.100714" TargetMode="External" /><Relationship Type="http://schemas.openxmlformats.org/officeDocument/2006/relationships/hyperlink" Id="rId32" Target="https://doi.org/10.1080/13510347.2024.2338852" TargetMode="External" /><Relationship Type="http://schemas.openxmlformats.org/officeDocument/2006/relationships/hyperlink" Id="rId53" Target="https://doi.org/10.1093/polsoc/puae012" TargetMode="External" /><Relationship Type="http://schemas.openxmlformats.org/officeDocument/2006/relationships/hyperlink" Id="rId70" Target="https://doi.org/10.1145/3372782.3406252" TargetMode="External" /><Relationship Type="http://schemas.openxmlformats.org/officeDocument/2006/relationships/hyperlink" Id="rId47" Target="https://doi.org/10.1145/3724363.3729024" TargetMode="External" /><Relationship Type="http://schemas.openxmlformats.org/officeDocument/2006/relationships/hyperlink" Id="rId55" Target="https://doi.org/10.1162/99608f92.88b4cc98" TargetMode="External" /><Relationship Type="http://schemas.openxmlformats.org/officeDocument/2006/relationships/hyperlink" Id="rId26" Target="https://doi.org/10.1162/daed_a_01915" TargetMode="External" /><Relationship Type="http://schemas.openxmlformats.org/officeDocument/2006/relationships/hyperlink" Id="rId72" Target="https://doi.org/10.30574/wjaets.2025.14.2.0077" TargetMode="External" /><Relationship Type="http://schemas.openxmlformats.org/officeDocument/2006/relationships/hyperlink" Id="rId40" Target="https://doi.org/10.33540/2726" TargetMode="External" /><Relationship Type="http://schemas.openxmlformats.org/officeDocument/2006/relationships/hyperlink" Id="rId66" Target="https://doi.org/10.3390/educsci15030354" TargetMode="External" /><Relationship Type="http://schemas.openxmlformats.org/officeDocument/2006/relationships/hyperlink" Id="rId51" Target="https://doi.org/10.48550/ARXIV.2407.01502" TargetMode="External" /><Relationship Type="http://schemas.openxmlformats.org/officeDocument/2006/relationships/hyperlink" Id="rId29" Target="https://doi.org/10.48550/arXiv.2012.07805" TargetMode="External" /><Relationship Type="http://schemas.openxmlformats.org/officeDocument/2006/relationships/hyperlink" Id="rId64" Target="https://doi.org/10.48550/arXiv.2211.09527" TargetMode="External" /><Relationship Type="http://schemas.openxmlformats.org/officeDocument/2006/relationships/hyperlink" Id="rId57" Target="https://doi.org/10.48550/arXiv.2304.05197" TargetMode="External" /><Relationship Type="http://schemas.openxmlformats.org/officeDocument/2006/relationships/hyperlink" Id="rId36" Target="https://doi.org/10.48550/arXiv.2502.05234" TargetMode="External" /><Relationship Type="http://schemas.openxmlformats.org/officeDocument/2006/relationships/hyperlink" Id="rId77" Target="https://doi.org/10.48550/arXiv.2507.21206"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7/978-3-319-91134-2_8" TargetMode="External" /><Relationship Type="http://schemas.openxmlformats.org/officeDocument/2006/relationships/hyperlink" Id="rId62" Target="https://doi.org/10.1007/s11948-013-9464-1" TargetMode="External" /><Relationship Type="http://schemas.openxmlformats.org/officeDocument/2006/relationships/hyperlink" Id="rId45" Target="https://doi.org/10.1007/s13347-023-00672-1" TargetMode="External" /><Relationship Type="http://schemas.openxmlformats.org/officeDocument/2006/relationships/hyperlink" Id="rId38" Target="https://doi.org/10.1007/s42001-024-00250-1" TargetMode="External" /><Relationship Type="http://schemas.openxmlformats.org/officeDocument/2006/relationships/hyperlink" Id="rId68" Target="https://doi.org/10.1016/j.chbah.2024.100062" TargetMode="External" /><Relationship Type="http://schemas.openxmlformats.org/officeDocument/2006/relationships/hyperlink" Id="rId34" Target="https://doi.org/10.1016/j.dte.2024.100019" TargetMode="External" /><Relationship Type="http://schemas.openxmlformats.org/officeDocument/2006/relationships/hyperlink" Id="rId42" Target="https://doi.org/10.1016/j.edurev.2025.100714" TargetMode="External" /><Relationship Type="http://schemas.openxmlformats.org/officeDocument/2006/relationships/hyperlink" Id="rId32" Target="https://doi.org/10.1080/13510347.2024.2338852" TargetMode="External" /><Relationship Type="http://schemas.openxmlformats.org/officeDocument/2006/relationships/hyperlink" Id="rId53" Target="https://doi.org/10.1093/polsoc/puae012" TargetMode="External" /><Relationship Type="http://schemas.openxmlformats.org/officeDocument/2006/relationships/hyperlink" Id="rId70" Target="https://doi.org/10.1145/3372782.3406252" TargetMode="External" /><Relationship Type="http://schemas.openxmlformats.org/officeDocument/2006/relationships/hyperlink" Id="rId47" Target="https://doi.org/10.1145/3724363.3729024" TargetMode="External" /><Relationship Type="http://schemas.openxmlformats.org/officeDocument/2006/relationships/hyperlink" Id="rId55" Target="https://doi.org/10.1162/99608f92.88b4cc98" TargetMode="External" /><Relationship Type="http://schemas.openxmlformats.org/officeDocument/2006/relationships/hyperlink" Id="rId26" Target="https://doi.org/10.1162/daed_a_01915" TargetMode="External" /><Relationship Type="http://schemas.openxmlformats.org/officeDocument/2006/relationships/hyperlink" Id="rId72" Target="https://doi.org/10.30574/wjaets.2025.14.2.0077" TargetMode="External" /><Relationship Type="http://schemas.openxmlformats.org/officeDocument/2006/relationships/hyperlink" Id="rId40" Target="https://doi.org/10.33540/2726" TargetMode="External" /><Relationship Type="http://schemas.openxmlformats.org/officeDocument/2006/relationships/hyperlink" Id="rId66" Target="https://doi.org/10.3390/educsci15030354" TargetMode="External" /><Relationship Type="http://schemas.openxmlformats.org/officeDocument/2006/relationships/hyperlink" Id="rId51" Target="https://doi.org/10.48550/ARXIV.2407.01502" TargetMode="External" /><Relationship Type="http://schemas.openxmlformats.org/officeDocument/2006/relationships/hyperlink" Id="rId29" Target="https://doi.org/10.48550/arXiv.2012.07805" TargetMode="External" /><Relationship Type="http://schemas.openxmlformats.org/officeDocument/2006/relationships/hyperlink" Id="rId64" Target="https://doi.org/10.48550/arXiv.2211.09527" TargetMode="External" /><Relationship Type="http://schemas.openxmlformats.org/officeDocument/2006/relationships/hyperlink" Id="rId57" Target="https://doi.org/10.48550/arXiv.2304.05197" TargetMode="External" /><Relationship Type="http://schemas.openxmlformats.org/officeDocument/2006/relationships/hyperlink" Id="rId36" Target="https://doi.org/10.48550/arXiv.2502.05234" TargetMode="External" /><Relationship Type="http://schemas.openxmlformats.org/officeDocument/2006/relationships/hyperlink" Id="rId77" Target="https://doi.org/10.48550/arXiv.2507.212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Avoiding the Turing Trap in an age of GenAI for increased human agency and freedom</dc:title>
  <dc:creator/>
  <cp:keywords/>
  <dcterms:created xsi:type="dcterms:W3CDTF">2026-03-02T13:16:29Z</dcterms:created>
  <dcterms:modified xsi:type="dcterms:W3CDTF">2026-03-02T13:16:29Z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