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the question whether Artificial Intelligence (AI) itself exhibits agency has been debated</w:t>
      </w:r>
      <w:r>
        <w:t xml:space="preserve"> </w:t>
      </w:r>
      <w:r>
        <w:t xml:space="preserve">(Legaspi, He, and Toyoizumi 2019; Swanepoel 2021)</w:t>
      </w:r>
      <w:r>
        <w:t xml:space="preserve">. If they do exhibit, then perhaps not agency</w:t>
      </w:r>
      <w:r>
        <w:t xml:space="preserve"> </w:t>
      </w:r>
      <w:r>
        <w:t xml:space="preserve">“arising from beliefs, desires and reasons”</w:t>
      </w:r>
      <w:r>
        <w:t xml:space="preserve"> </w:t>
      </w:r>
      <w:r>
        <w:t xml:space="preserve">(Dattathrani and De’ 2023)</w:t>
      </w:r>
      <w:r>
        <w:t xml:space="preserve">.</w:t>
      </w:r>
    </w:p>
    <w:p>
      <w:pPr>
        <w:pStyle w:val="BodyText"/>
      </w:pPr>
      <w:r>
        <w:t xml:space="preserve">This distinction between human and technological agency becomes more blurred with the emerging paradigm of Agentic AI,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w:t>
      </w:r>
    </w:p>
    <w:p>
      <w:pPr>
        <w:pStyle w:val="BodyText"/>
      </w:pPr>
      <w:r>
        <w:t xml:space="preserve">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structuralist definition of human agency, placed within society, it is the capability to</w:t>
      </w:r>
      <w:r>
        <w:t xml:space="preserve"> </w:t>
      </w:r>
      <w:r>
        <w:t xml:space="preserve">“make a difference”</w:t>
      </w:r>
      <w:r>
        <w:t xml:space="preserve">, in other words to have and be able to exercise power over a situation in a certain context or structure</w:t>
      </w:r>
      <w:r>
        <w:t xml:space="preserve"> </w:t>
      </w:r>
      <w:r>
        <w:t xml:space="preserve">(Giddens 1984)</w:t>
      </w:r>
      <w:r>
        <w:t xml:space="preserve">.</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freedom increase</w:t>
      </w:r>
      <w:r>
        <w:t xml:space="preserve"> </w:t>
      </w:r>
      <w:r>
        <w:t xml:space="preserve">(Prados de la Escosura 2022; Sen 1999)</w:t>
      </w:r>
      <w:r>
        <w:t xml:space="preserve">. Agency is however a bloated term that can mean a number of things in different domains, such as psychology where it focuses on individual human agency</w:t>
      </w:r>
      <w:r>
        <w:t xml:space="preserve"> </w:t>
      </w:r>
      <w:r>
        <w:t xml:space="preserve">(Bandura 2001)</w:t>
      </w:r>
      <w:r>
        <w:t xml:space="preserve">, sociology where it focuses on the structures within an actor operates</w:t>
      </w:r>
      <w:r>
        <w:t xml:space="preserve"> </w:t>
      </w:r>
      <w:r>
        <w:t xml:space="preserve">(Giddens 1984)</w:t>
      </w:r>
      <w:r>
        <w:t xml:space="preserve">. Agency is a term closely related to and with overlaps to terms such as autonomy and freedom. To be clear in this context</w:t>
      </w:r>
      <w:r>
        <w:t xml:space="preserve"> </w:t>
      </w:r>
      <w:r>
        <w:t xml:space="preserve">“agency”</w:t>
      </w:r>
      <w:r>
        <w:t xml:space="preserve"> </w:t>
      </w:r>
      <w:r>
        <w:t xml:space="preserve">means for an actor to be free to act true to that same actor’s intentions.</w:t>
      </w:r>
    </w:p>
    <w:p>
      <w:pPr>
        <w:pStyle w:val="BodyText"/>
      </w:pPr>
      <w:r>
        <w:t xml:space="preserve">This in itself is impossible to measure, being dependent on so many factors. But some attempts have been made to measure how people perceive their</w:t>
      </w:r>
      <w:r>
        <w:t xml:space="preserve"> </w:t>
      </w:r>
      <w:r>
        <w:rPr>
          <w:i/>
          <w:iCs/>
        </w:rPr>
        <w:t xml:space="preserve">sense of agency</w:t>
      </w:r>
      <w:r>
        <w:t xml:space="preserve"> </w:t>
      </w:r>
      <w:r>
        <w:t xml:space="preserve">(Tapal, Oren, and Eitam 2017)</w:t>
      </w:r>
      <w:r>
        <w:t xml:space="preserve"> </w:t>
      </w:r>
      <w:r>
        <w:t xml:space="preserve">or how Trust in Automation (TiA) influences there autonomy</w:t>
      </w:r>
      <w:r>
        <w:t xml:space="preserve"> </w:t>
      </w:r>
      <w:r>
        <w:t xml:space="preserve">(Kohn et al. 2021)</w:t>
      </w:r>
      <w:r>
        <w:t xml:space="preserve">.</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Sense of Agency (SoA).</w:t>
      </w:r>
    </w:p>
    <w:p>
      <w:pPr>
        <w:pStyle w:val="BodyText"/>
      </w:pPr>
      <w:r>
        <w:t xml:space="preserve">The way Agentic AI or AI in general is influencing agency in adolescents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r>
        <w:t xml:space="preserve">.</w:t>
      </w:r>
    </w:p>
    <w:p>
      <w:pPr>
        <w:pStyle w:val="BodyText"/>
      </w:pPr>
      <w:r>
        <w:t xml:space="preserve">While the Human AI - Interaction framework suggested by</w:t>
      </w:r>
      <w:r>
        <w:t xml:space="preserve"> </w:t>
      </w:r>
      <w:r>
        <w:t xml:space="preserve">Sundar (2020)</w:t>
      </w:r>
      <w:r>
        <w:t xml:space="preserve"> </w:t>
      </w:r>
      <w:r>
        <w:t xml:space="preserve">incorporates agency, it does not investigate the different angles it proposes as interesting.</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 AI Literacies among adolescents has not been studies in relation to their human agency.</w:t>
      </w:r>
    </w:p>
    <w:p>
      <w:pPr>
        <w:pStyle w:val="BodyText"/>
      </w:pPr>
      <w:r>
        <w:t xml:space="preserve">In goal attainment and AI assisted coaching, there is a real opportunity for an AI to participate in the process</w:t>
      </w:r>
      <w:r>
        <w:t xml:space="preserve"> </w:t>
      </w:r>
      <w:r>
        <w:t xml:space="preserve">(Plotkina and Sri Ramalu 2024)</w:t>
      </w:r>
      <w:r>
        <w:t xml:space="preserve">, this then is suggested to increase agency. A literature review collecting these kinds of studies, that are influential to agency is however hard to find.</w:t>
      </w:r>
    </w:p>
    <w:bookmarkEnd w:id="21"/>
    <w:bookmarkStart w:id="22" w:name="hook"/>
    <w:p>
      <w:pPr>
        <w:pStyle w:val="Heading2"/>
      </w:pPr>
      <w:r>
        <w:t xml:space="preserve">Hook</w:t>
      </w:r>
    </w:p>
    <w:p>
      <w:pPr>
        <w:pStyle w:val="FirstParagraph"/>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It is therefore imperative to understand how and why agency is being threatened and how agency can be increased in the context of Agentic AI. That firstly means understanding how we can assess agency is being influenced. I propose using and translating the Sense of Agency Scale</w:t>
      </w:r>
      <w:r>
        <w:t xml:space="preserve"> </w:t>
      </w:r>
      <w:r>
        <w:t xml:space="preserve">(Tapal, Oren, and Eitam 2017)</w:t>
      </w:r>
      <w:r>
        <w:t xml:space="preserve"> </w:t>
      </w:r>
      <w:r>
        <w:t xml:space="preserve">to the context of Agentic AI. Secondly what kind of influence AI Literacy can have on understanding Agentic AI.</w:t>
      </w:r>
    </w:p>
    <w:bookmarkEnd w:id="22"/>
    <w:bookmarkStart w:id="24" w:name="research-questions"/>
    <w:p>
      <w:pPr>
        <w:pStyle w:val="Heading2"/>
      </w:pPr>
      <w:r>
        <w:t xml:space="preserve">Research Questions</w:t>
      </w:r>
    </w:p>
    <w:p>
      <w:pPr>
        <w:pStyle w:val="FirstParagraph"/>
      </w:pPr>
      <w:r>
        <w:t xml:space="preserve">How can adolescents excercise increased human agency and freedom in a with agentic AI?</w:t>
      </w:r>
    </w:p>
    <w:bookmarkStart w:id="23" w:name="sub-questions"/>
    <w:p>
      <w:pPr>
        <w:pStyle w:val="Heading3"/>
      </w:pPr>
      <w:r>
        <w:t xml:space="preserve">Sub-questions</w:t>
      </w:r>
    </w:p>
    <w:p>
      <w:pPr>
        <w:pStyle w:val="Compact"/>
        <w:numPr>
          <w:ilvl w:val="0"/>
          <w:numId w:val="1001"/>
        </w:numPr>
      </w:pPr>
      <w:r>
        <w:t xml:space="preserve">What kind of studies related to agency are already available?</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 on the Scale of Sense of Agency</w:t>
      </w:r>
      <w:r>
        <w:t xml:space="preserve"> </w:t>
      </w:r>
      <w:r>
        <w:t xml:space="preserve">(Tapal, Oren, and Eitam 2017)</w:t>
      </w:r>
      <w:r>
        <w:t xml:space="preserve">?</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rationality of technology as ideological. His ideology that technological progress is inevitable and oppressive</w:t>
      </w:r>
      <w:r>
        <w:t xml:space="preserve"> </w:t>
      </w:r>
      <w:r>
        <w:t xml:space="preserve">(Habermas 1971)</w:t>
      </w:r>
      <w:r>
        <w:t xml:space="preserve"> </w:t>
      </w:r>
      <w:r>
        <w:t xml:space="preserve">is in direct opposition to the hegemony of Silicon Valley that believes in Innovation at all costs,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Hegelian</w:t>
      </w:r>
      <w:r>
        <w:t xml:space="preserve"> </w:t>
      </w:r>
      <w:r>
        <w:rPr>
          <w:i/>
          <w:iCs/>
        </w:rPr>
        <w:t xml:space="preserve">Rationality</w:t>
      </w:r>
      <w:r>
        <w:t xml:space="preserve"> </w:t>
      </w:r>
      <w:r>
        <w:t xml:space="preserve">should leads towards freedom and cannot be seen separate from the societal boundaries [</w:t>
      </w:r>
      <w:r>
        <w:t xml:space="preserve">Pippin (2008)</w:t>
      </w:r>
      <w:r>
        <w:t xml:space="preserve"> </w:t>
      </w:r>
      <w:r>
        <w:t xml:space="preserve">p. 122;], where there might be roles one fits instead of actually performing an action by one’s own beliefs.</w:t>
      </w:r>
    </w:p>
    <w:p>
      <w:pPr>
        <w:pStyle w:val="BodyText"/>
      </w:pPr>
      <w:r>
        <w:t xml:space="preserve">Sense of Agency in relation to Agentic AI or AI in general, is under pressure from societal beliefs and expectations that we have that technology will fullfill.</w:t>
      </w:r>
    </w:p>
    <w:p>
      <w:pPr>
        <w:pStyle w:val="BodyText"/>
      </w:pPr>
    </w:p>
    <w:p>
      <w:pPr>
        <w:pStyle w:val="BodyText"/>
      </w:pPr>
      <w:r>
        <w:drawing>
          <wp:inline>
            <wp:extent cx="5334000" cy="4371758"/>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4371758"/>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94" w:name="references"/>
    <w:p>
      <w:pPr>
        <w:pStyle w:val="Heading2"/>
      </w:pPr>
      <w:r>
        <w:t xml:space="preserve">References</w:t>
      </w:r>
    </w:p>
    <w:bookmarkStart w:id="93"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41">
        <w:r>
          <w:rPr>
            <w:rStyle w:val="Hyperlink"/>
          </w:rPr>
          <w:t xml:space="preserve">https://doi.org/10.1016/j.dte.2024.100019</w:t>
        </w:r>
      </w:hyperlink>
      <w:r>
        <w:t xml:space="preserve">.</w:t>
      </w:r>
    </w:p>
    <w:bookmarkEnd w:id="42"/>
    <w:bookmarkStart w:id="44" w:name="ref-dattathraniConceptAgencyEra2023"/>
    <w:p>
      <w:pPr>
        <w:pStyle w:val="Bibliography"/>
      </w:pPr>
      <w:r>
        <w:t xml:space="preserve">Dattathrani, Sai, and Rahul De’. 2023.</w:t>
      </w:r>
      <w:r>
        <w:t xml:space="preserve"> </w:t>
      </w:r>
      <w:r>
        <w:t xml:space="preserve">“The</w:t>
      </w:r>
      <w:r>
        <w:t xml:space="preserve"> </w:t>
      </w:r>
      <w:r>
        <w:t xml:space="preserve">Concept</w:t>
      </w:r>
      <w:r>
        <w:t xml:space="preserve"> </w:t>
      </w:r>
      <w:r>
        <w:t xml:space="preserve">of</w:t>
      </w:r>
      <w:r>
        <w:t xml:space="preserve"> </w:t>
      </w:r>
      <w:r>
        <w:t xml:space="preserve">Agency</w:t>
      </w:r>
      <w:r>
        <w:t xml:space="preserve"> </w:t>
      </w:r>
      <w:r>
        <w:t xml:space="preserve">in the</w:t>
      </w:r>
      <w:r>
        <w:t xml:space="preserve"> </w:t>
      </w:r>
      <w:r>
        <w:t xml:space="preserve">Era</w:t>
      </w:r>
      <w:r>
        <w:t xml:space="preserve"> </w:t>
      </w:r>
      <w:r>
        <w:t xml:space="preserve">of</w:t>
      </w:r>
      <w:r>
        <w:t xml:space="preserve"> </w:t>
      </w:r>
      <w:r>
        <w:t xml:space="preserve">Artificial Intelligence</w:t>
      </w:r>
      <w:r>
        <w:t xml:space="preserve">:</w:t>
      </w:r>
      <w:r>
        <w:t xml:space="preserve"> </w:t>
      </w:r>
      <w:r>
        <w:t xml:space="preserve">Dimensions</w:t>
      </w:r>
      <w:r>
        <w:t xml:space="preserve"> </w:t>
      </w:r>
      <w:r>
        <w:t xml:space="preserve">and</w:t>
      </w:r>
      <w:r>
        <w:t xml:space="preserve"> </w:t>
      </w:r>
      <w:r>
        <w:t xml:space="preserve">Degrees</w:t>
      </w:r>
      <w:r>
        <w:t xml:space="preserve">.”</w:t>
      </w:r>
      <w:r>
        <w:t xml:space="preserve"> </w:t>
      </w:r>
      <w:r>
        <w:rPr>
          <w:i/>
          <w:iCs/>
        </w:rPr>
        <w:t xml:space="preserve">Information Systems Frontiers</w:t>
      </w:r>
      <w:r>
        <w:t xml:space="preserve"> </w:t>
      </w:r>
      <w:r>
        <w:t xml:space="preserve">25 (1): 29–54.</w:t>
      </w:r>
      <w:r>
        <w:t xml:space="preserve"> </w:t>
      </w:r>
      <w:hyperlink r:id="rId43">
        <w:r>
          <w:rPr>
            <w:rStyle w:val="Hyperlink"/>
          </w:rPr>
          <w:t xml:space="preserve">https://doi.org/10.1007/s10796-022-10336-8</w:t>
        </w:r>
      </w:hyperlink>
      <w:r>
        <w:t xml:space="preserve">.</w:t>
      </w:r>
    </w:p>
    <w:bookmarkEnd w:id="44"/>
    <w:bookmarkStart w:id="46"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5">
        <w:r>
          <w:rPr>
            <w:rStyle w:val="Hyperlink"/>
          </w:rPr>
          <w:t xml:space="preserve">https://doi.org/10.1007/978-94-009-9365-5_5</w:t>
        </w:r>
      </w:hyperlink>
      <w:r>
        <w:t xml:space="preserve">.</w:t>
      </w:r>
    </w:p>
    <w:bookmarkEnd w:id="46"/>
    <w:bookmarkStart w:id="48"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7">
        <w:r>
          <w:rPr>
            <w:rStyle w:val="Hyperlink"/>
          </w:rPr>
          <w:t xml:space="preserve">https://doi.org/10.1145/3459990.3460712</w:t>
        </w:r>
      </w:hyperlink>
      <w:r>
        <w:t xml:space="preserve">.</w:t>
      </w:r>
    </w:p>
    <w:bookmarkEnd w:id="48"/>
    <w:bookmarkStart w:id="49"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9"/>
    <w:bookmarkStart w:id="50"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50"/>
    <w:bookmarkStart w:id="51"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51"/>
    <w:bookmarkStart w:id="53"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2">
        <w:r>
          <w:rPr>
            <w:rStyle w:val="Hyperlink"/>
          </w:rPr>
          <w:t xml:space="preserve">https://doi.org/10.1007/s13347-023-00672-1</w:t>
        </w:r>
      </w:hyperlink>
      <w:r>
        <w:t xml:space="preserve">.</w:t>
      </w:r>
    </w:p>
    <w:bookmarkEnd w:id="53"/>
    <w:bookmarkStart w:id="54"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4"/>
    <w:bookmarkStart w:id="55"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5"/>
    <w:bookmarkStart w:id="57" w:name="ref-kohnMeasurementTrustAutomation2021"/>
    <w:p>
      <w:pPr>
        <w:pStyle w:val="Bibliography"/>
      </w:pPr>
      <w:r>
        <w:t xml:space="preserve">Kohn, Spencer C., Ewart J. de Visser, Eva Wiese, Yi-Ching Lee, and Tyler H. Shaw. 2021.</w:t>
      </w:r>
      <w:r>
        <w:t xml:space="preserve"> </w:t>
      </w:r>
      <w:r>
        <w:t xml:space="preserve">“Measurement of</w:t>
      </w:r>
      <w:r>
        <w:t xml:space="preserve"> </w:t>
      </w:r>
      <w:r>
        <w:t xml:space="preserve">Trust</w:t>
      </w:r>
      <w:r>
        <w:t xml:space="preserve"> </w:t>
      </w:r>
      <w:r>
        <w:t xml:space="preserve">in</w:t>
      </w:r>
      <w:r>
        <w:t xml:space="preserve"> </w:t>
      </w:r>
      <w:r>
        <w:t xml:space="preserve">Automation</w:t>
      </w:r>
      <w:r>
        <w:t xml:space="preserve">:</w:t>
      </w:r>
      <w:r>
        <w:t xml:space="preserve"> </w:t>
      </w:r>
      <w:r>
        <w:t xml:space="preserve">A Narrative Review</w:t>
      </w:r>
      <w:r>
        <w:t xml:space="preserve"> </w:t>
      </w:r>
      <w:r>
        <w:t xml:space="preserve">and</w:t>
      </w:r>
      <w:r>
        <w:t xml:space="preserve"> </w:t>
      </w:r>
      <w:r>
        <w:t xml:space="preserve">Reference Guide</w:t>
      </w:r>
      <w:r>
        <w:t xml:space="preserve">.”</w:t>
      </w:r>
      <w:r>
        <w:t xml:space="preserve"> </w:t>
      </w:r>
      <w:r>
        <w:rPr>
          <w:i/>
          <w:iCs/>
        </w:rPr>
        <w:t xml:space="preserve">Frontiers in Psychology</w:t>
      </w:r>
      <w:r>
        <w:t xml:space="preserve"> </w:t>
      </w:r>
      <w:r>
        <w:t xml:space="preserve">12 (October).</w:t>
      </w:r>
      <w:r>
        <w:t xml:space="preserve"> </w:t>
      </w:r>
      <w:hyperlink r:id="rId56">
        <w:r>
          <w:rPr>
            <w:rStyle w:val="Hyperlink"/>
          </w:rPr>
          <w:t xml:space="preserve">https://doi.org/10.3389/fpsyg.2021.604977</w:t>
        </w:r>
      </w:hyperlink>
      <w:r>
        <w:t xml:space="preserve">.</w:t>
      </w:r>
    </w:p>
    <w:bookmarkEnd w:id="57"/>
    <w:bookmarkStart w:id="59"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8">
        <w:r>
          <w:rPr>
            <w:rStyle w:val="Hyperlink"/>
          </w:rPr>
          <w:t xml:space="preserve">https://doi.org/10.1016/j.cobeha.2019.04.004</w:t>
        </w:r>
      </w:hyperlink>
      <w:r>
        <w:t xml:space="preserve">.</w:t>
      </w:r>
    </w:p>
    <w:bookmarkEnd w:id="59"/>
    <w:bookmarkStart w:id="61"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0">
        <w:r>
          <w:rPr>
            <w:rStyle w:val="Hyperlink"/>
          </w:rPr>
          <w:t xml:space="preserve">https://doi.org/10.1007/s11948-013-9464-1</w:t>
        </w:r>
      </w:hyperlink>
      <w:r>
        <w:t xml:space="preserve">.</w:t>
      </w:r>
    </w:p>
    <w:bookmarkEnd w:id="61"/>
    <w:bookmarkStart w:id="63"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2">
        <w:r>
          <w:rPr>
            <w:rStyle w:val="Hyperlink"/>
          </w:rPr>
          <w:t xml:space="preserve">https://doi.org/10.1007/s44206-025-00203-9</w:t>
        </w:r>
      </w:hyperlink>
      <w:r>
        <w:t xml:space="preserve">.</w:t>
      </w:r>
    </w:p>
    <w:bookmarkEnd w:id="63"/>
    <w:bookmarkStart w:id="64"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4"/>
    <w:bookmarkStart w:id="66"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5">
        <w:r>
          <w:rPr>
            <w:rStyle w:val="Hyperlink"/>
          </w:rPr>
          <w:t xml:space="preserve">https://doi.org/10.1016/j.chbah.2024.100062</w:t>
        </w:r>
      </w:hyperlink>
      <w:r>
        <w:t xml:space="preserve">.</w:t>
      </w:r>
    </w:p>
    <w:bookmarkEnd w:id="66"/>
    <w:bookmarkStart w:id="67" w:name="ref-Pippin_2008"/>
    <w:p>
      <w:pPr>
        <w:pStyle w:val="Bibliography"/>
      </w:pPr>
      <w:r>
        <w:t xml:space="preserve">Pippin, Robert B. 2008.</w:t>
      </w:r>
      <w:r>
        <w:t xml:space="preserve"> </w:t>
      </w:r>
      <w:r>
        <w:t xml:space="preserve">“Institutional Rationality.”</w:t>
      </w:r>
      <w:r>
        <w:t xml:space="preserve"> </w:t>
      </w:r>
      <w:r>
        <w:t xml:space="preserve">In</w:t>
      </w:r>
      <w:r>
        <w:t xml:space="preserve"> </w:t>
      </w:r>
      <w:r>
        <w:rPr>
          <w:i/>
          <w:iCs/>
        </w:rPr>
        <w:t xml:space="preserve">Hegel’s Practical Philosophy:</w:t>
      </w:r>
      <w:r>
        <w:rPr>
          <w:i/>
          <w:iCs/>
        </w:rPr>
        <w:t xml:space="preserve"> </w:t>
      </w:r>
      <w:r>
        <w:rPr>
          <w:i/>
          <w:iCs/>
        </w:rPr>
        <w:t xml:space="preserve">Rational</w:t>
      </w:r>
      <w:r>
        <w:rPr>
          <w:i/>
          <w:iCs/>
        </w:rPr>
        <w:t xml:space="preserve"> </w:t>
      </w:r>
      <w:r>
        <w:rPr>
          <w:i/>
          <w:iCs/>
        </w:rPr>
        <w:t xml:space="preserve">Agency as Ethical Life</w:t>
      </w:r>
      <w:r>
        <w:t xml:space="preserve">, 239–72. Cambridge: Cambridge University Press.</w:t>
      </w:r>
    </w:p>
    <w:bookmarkEnd w:id="67"/>
    <w:bookmarkStart w:id="69" w:name="ref-plotkinaUnearthingAICoaching2024"/>
    <w:p>
      <w:pPr>
        <w:pStyle w:val="Bibliography"/>
      </w:pPr>
      <w:r>
        <w:t xml:space="preserve">Plotkina, Lidia, and Subramaniam Sri Ramalu. 2024.</w:t>
      </w:r>
      <w:r>
        <w:t xml:space="preserve"> </w:t>
      </w:r>
      <w:r>
        <w:t xml:space="preserve">“Unearthing</w:t>
      </w:r>
      <w:r>
        <w:t xml:space="preserve"> </w:t>
      </w:r>
      <w:r>
        <w:t xml:space="preserve">AI</w:t>
      </w:r>
      <w:r>
        <w:t xml:space="preserve"> </w:t>
      </w:r>
      <w:r>
        <w:t xml:space="preserve">Coaching Chatbots Capabilities for Professional Coaching: A Systematic Literature Review.”</w:t>
      </w:r>
      <w:r>
        <w:t xml:space="preserve"> </w:t>
      </w:r>
      <w:r>
        <w:rPr>
          <w:i/>
          <w:iCs/>
        </w:rPr>
        <w:t xml:space="preserve">Journal of Management Development</w:t>
      </w:r>
      <w:r>
        <w:t xml:space="preserve"> </w:t>
      </w:r>
      <w:r>
        <w:t xml:space="preserve">43 (6): 833–48.</w:t>
      </w:r>
      <w:r>
        <w:t xml:space="preserve"> </w:t>
      </w:r>
      <w:hyperlink r:id="rId68">
        <w:r>
          <w:rPr>
            <w:rStyle w:val="Hyperlink"/>
          </w:rPr>
          <w:t xml:space="preserve">https://doi.org/10.1108/JMD-06-2024-0182</w:t>
        </w:r>
      </w:hyperlink>
      <w:r>
        <w:t xml:space="preserve">.</w:t>
      </w:r>
    </w:p>
    <w:bookmarkEnd w:id="69"/>
    <w:bookmarkStart w:id="71"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70">
        <w:r>
          <w:rPr>
            <w:rStyle w:val="Hyperlink"/>
          </w:rPr>
          <w:t xml:space="preserve">https://doi.org/10.3390/educsci15091134</w:t>
        </w:r>
      </w:hyperlink>
      <w:r>
        <w:t xml:space="preserve">.</w:t>
      </w:r>
    </w:p>
    <w:bookmarkEnd w:id="71"/>
    <w:bookmarkStart w:id="72"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72"/>
    <w:bookmarkStart w:id="74"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73">
        <w:r>
          <w:rPr>
            <w:rStyle w:val="Hyperlink"/>
          </w:rPr>
          <w:t xml:space="preserve">https://doi.org/10.48550/arXiv.2507.00951</w:t>
        </w:r>
      </w:hyperlink>
      <w:r>
        <w:t xml:space="preserve">.</w:t>
      </w:r>
    </w:p>
    <w:bookmarkEnd w:id="74"/>
    <w:bookmarkStart w:id="75"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75"/>
    <w:bookmarkStart w:id="77"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6">
        <w:r>
          <w:rPr>
            <w:rStyle w:val="Hyperlink"/>
          </w:rPr>
          <w:t xml:space="preserve">https://doi.org/10.18690/um.fov.4.2025.29</w:t>
        </w:r>
      </w:hyperlink>
      <w:r>
        <w:t xml:space="preserve">.</w:t>
      </w:r>
    </w:p>
    <w:bookmarkEnd w:id="77"/>
    <w:bookmarkStart w:id="79" w:name="ref-sundarRiseMachineAgency2020"/>
    <w:p>
      <w:pPr>
        <w:pStyle w:val="Bibliography"/>
      </w:pPr>
      <w:r>
        <w:t xml:space="preserve">Sundar, S Shyam. 2020.</w:t>
      </w:r>
      <w:r>
        <w:t xml:space="preserve"> </w:t>
      </w:r>
      <w:r>
        <w:t xml:space="preserve">“Rise of</w:t>
      </w:r>
      <w:r>
        <w:t xml:space="preserve"> </w:t>
      </w:r>
      <w:r>
        <w:t xml:space="preserve">Machine Agency</w:t>
      </w:r>
      <w:r>
        <w:t xml:space="preserve">:</w:t>
      </w:r>
      <w:r>
        <w:t xml:space="preserve"> </w:t>
      </w:r>
      <w:r>
        <w:t xml:space="preserve">A Framework</w:t>
      </w:r>
      <w:r>
        <w:t xml:space="preserve"> </w:t>
      </w:r>
      <w:r>
        <w:t xml:space="preserve">for</w:t>
      </w:r>
      <w:r>
        <w:t xml:space="preserve"> </w:t>
      </w:r>
      <w:r>
        <w:t xml:space="preserve">Studying</w:t>
      </w:r>
      <w:r>
        <w:t xml:space="preserve"> </w:t>
      </w:r>
      <w:r>
        <w:t xml:space="preserve">the</w:t>
      </w:r>
      <w:r>
        <w:t xml:space="preserve"> </w:t>
      </w:r>
      <w:r>
        <w:t xml:space="preserve">Psychology</w:t>
      </w:r>
      <w:r>
        <w:t xml:space="preserve"> </w:t>
      </w:r>
      <w:r>
        <w:t xml:space="preserve">of</w:t>
      </w:r>
      <w:r>
        <w:t xml:space="preserve"> </w:t>
      </w:r>
      <w:r>
        <w:t xml:space="preserve">Human</w:t>
      </w:r>
      <w:r>
        <w:t xml:space="preserve">–</w:t>
      </w:r>
      <w:r>
        <w:t xml:space="preserve">AI Interaction</w:t>
      </w:r>
      <w:r>
        <w:t xml:space="preserve"> </w:t>
      </w:r>
      <w:r>
        <w:t xml:space="preserve">(</w:t>
      </w:r>
      <w:r>
        <w:t xml:space="preserve">HAII</w:t>
      </w:r>
      <w:r>
        <w:t xml:space="preserve">).”</w:t>
      </w:r>
      <w:r>
        <w:t xml:space="preserve"> </w:t>
      </w:r>
      <w:r>
        <w:rPr>
          <w:i/>
          <w:iCs/>
        </w:rPr>
        <w:t xml:space="preserve">Journal of Computer-Mediated Communication</w:t>
      </w:r>
      <w:r>
        <w:t xml:space="preserve"> </w:t>
      </w:r>
      <w:r>
        <w:t xml:space="preserve">25 (1): 74–88.</w:t>
      </w:r>
      <w:r>
        <w:t xml:space="preserve"> </w:t>
      </w:r>
      <w:hyperlink r:id="rId78">
        <w:r>
          <w:rPr>
            <w:rStyle w:val="Hyperlink"/>
          </w:rPr>
          <w:t xml:space="preserve">https://doi.org/10.1093/jcmc/zmz026</w:t>
        </w:r>
      </w:hyperlink>
      <w:r>
        <w:t xml:space="preserve">.</w:t>
      </w:r>
    </w:p>
    <w:bookmarkEnd w:id="79"/>
    <w:bookmarkStart w:id="81"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80">
        <w:r>
          <w:rPr>
            <w:rStyle w:val="Hyperlink"/>
          </w:rPr>
          <w:t xml:space="preserve">https://doi.org/10.21125/inted.2024.0825</w:t>
        </w:r>
      </w:hyperlink>
      <w:r>
        <w:t xml:space="preserve">.</w:t>
      </w:r>
    </w:p>
    <w:bookmarkEnd w:id="81"/>
    <w:bookmarkStart w:id="83"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82">
        <w:r>
          <w:rPr>
            <w:rStyle w:val="Hyperlink"/>
          </w:rPr>
          <w:t xml:space="preserve">https://doi.org/10.1016/j.learninstruc.2024.102011</w:t>
        </w:r>
      </w:hyperlink>
      <w:r>
        <w:t xml:space="preserve">.</w:t>
      </w:r>
    </w:p>
    <w:bookmarkEnd w:id="83"/>
    <w:bookmarkStart w:id="85"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84">
        <w:r>
          <w:rPr>
            <w:rStyle w:val="Hyperlink"/>
          </w:rPr>
          <w:t xml:space="preserve">https://doi.org/10.1007/978-3-030-72644-7_4</w:t>
        </w:r>
      </w:hyperlink>
      <w:r>
        <w:t xml:space="preserve">.</w:t>
      </w:r>
    </w:p>
    <w:bookmarkEnd w:id="85"/>
    <w:bookmarkStart w:id="8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86">
        <w:r>
          <w:rPr>
            <w:rStyle w:val="Hyperlink"/>
          </w:rPr>
          <w:t xml:space="preserve">https://doi.org/10.3389/fpsyg.2017.01552</w:t>
        </w:r>
      </w:hyperlink>
      <w:r>
        <w:t xml:space="preserve">.</w:t>
      </w:r>
    </w:p>
    <w:bookmarkEnd w:id="87"/>
    <w:bookmarkStart w:id="88"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88"/>
    <w:bookmarkStart w:id="90"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89">
        <w:r>
          <w:rPr>
            <w:rStyle w:val="Hyperlink"/>
          </w:rPr>
          <w:t xml:space="preserve">https://doi.org/10.48550/arXiv.2308.03598</w:t>
        </w:r>
      </w:hyperlink>
      <w:r>
        <w:t xml:space="preserve">.</w:t>
      </w:r>
    </w:p>
    <w:bookmarkEnd w:id="90"/>
    <w:bookmarkStart w:id="92"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91">
        <w:r>
          <w:rPr>
            <w:rStyle w:val="Hyperlink"/>
          </w:rPr>
          <w:t xml:space="preserve">https://doi.org/10.1007/978-3-319-91134-2_8</w:t>
        </w:r>
      </w:hyperlink>
      <w:r>
        <w:t xml:space="preserve">.</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84" Target="https://doi.org/10.1007/978-3-030-72644-7_4" TargetMode="External" /><Relationship Type="http://schemas.openxmlformats.org/officeDocument/2006/relationships/hyperlink" Id="rId91"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2" Target="https://doi.org/10.1007/s44206-025-00203-9" TargetMode="External" /><Relationship Type="http://schemas.openxmlformats.org/officeDocument/2006/relationships/hyperlink" Id="rId65" Target="https://doi.org/10.1016/j.chbah.2024.100062" TargetMode="External" /><Relationship Type="http://schemas.openxmlformats.org/officeDocument/2006/relationships/hyperlink" Id="rId58"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2" Target="https://doi.org/10.1016/j.learninstruc.2024.102011" TargetMode="External" /><Relationship Type="http://schemas.openxmlformats.org/officeDocument/2006/relationships/hyperlink" Id="rId78" Target="https://doi.org/10.1093/jcmc/zmz026" TargetMode="External" /><Relationship Type="http://schemas.openxmlformats.org/officeDocument/2006/relationships/hyperlink" Id="rId68" Target="https://doi.org/10.1108/JMD-06-2024-0182"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6" Target="https://doi.org/10.18690/um.fov.4.2025.29" TargetMode="External" /><Relationship Type="http://schemas.openxmlformats.org/officeDocument/2006/relationships/hyperlink" Id="rId80" Target="https://doi.org/10.21125/inted.2024.0825" TargetMode="External" /><Relationship Type="http://schemas.openxmlformats.org/officeDocument/2006/relationships/hyperlink" Id="rId86" Target="https://doi.org/10.3389/fpsyg.2017.01552" TargetMode="External" /><Relationship Type="http://schemas.openxmlformats.org/officeDocument/2006/relationships/hyperlink" Id="rId56" Target="https://doi.org/10.3389/fpsyg.2021.604977" TargetMode="External" /><Relationship Type="http://schemas.openxmlformats.org/officeDocument/2006/relationships/hyperlink" Id="rId70" Target="https://doi.org/10.3390/educsci15091134" TargetMode="External" /><Relationship Type="http://schemas.openxmlformats.org/officeDocument/2006/relationships/hyperlink" Id="rId89" Target="https://doi.org/10.48550/arXiv.2308.03598" TargetMode="External" /><Relationship Type="http://schemas.openxmlformats.org/officeDocument/2006/relationships/hyperlink" Id="rId73"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7/978-3-030-72644-7_4" TargetMode="External" /><Relationship Type="http://schemas.openxmlformats.org/officeDocument/2006/relationships/hyperlink" Id="rId91"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60"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2" Target="https://doi.org/10.1007/s44206-025-00203-9" TargetMode="External" /><Relationship Type="http://schemas.openxmlformats.org/officeDocument/2006/relationships/hyperlink" Id="rId65" Target="https://doi.org/10.1016/j.chbah.2024.100062" TargetMode="External" /><Relationship Type="http://schemas.openxmlformats.org/officeDocument/2006/relationships/hyperlink" Id="rId58"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82" Target="https://doi.org/10.1016/j.learninstruc.2024.102011" TargetMode="External" /><Relationship Type="http://schemas.openxmlformats.org/officeDocument/2006/relationships/hyperlink" Id="rId78" Target="https://doi.org/10.1093/jcmc/zmz026" TargetMode="External" /><Relationship Type="http://schemas.openxmlformats.org/officeDocument/2006/relationships/hyperlink" Id="rId68" Target="https://doi.org/10.1108/JMD-06-2024-0182"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6" Target="https://doi.org/10.18690/um.fov.4.2025.29" TargetMode="External" /><Relationship Type="http://schemas.openxmlformats.org/officeDocument/2006/relationships/hyperlink" Id="rId80" Target="https://doi.org/10.21125/inted.2024.0825" TargetMode="External" /><Relationship Type="http://schemas.openxmlformats.org/officeDocument/2006/relationships/hyperlink" Id="rId86" Target="https://doi.org/10.3389/fpsyg.2017.01552" TargetMode="External" /><Relationship Type="http://schemas.openxmlformats.org/officeDocument/2006/relationships/hyperlink" Id="rId56" Target="https://doi.org/10.3389/fpsyg.2021.604977" TargetMode="External" /><Relationship Type="http://schemas.openxmlformats.org/officeDocument/2006/relationships/hyperlink" Id="rId70" Target="https://doi.org/10.3390/educsci15091134" TargetMode="External" /><Relationship Type="http://schemas.openxmlformats.org/officeDocument/2006/relationships/hyperlink" Id="rId89" Target="https://doi.org/10.48550/arXiv.2308.03598" TargetMode="External" /><Relationship Type="http://schemas.openxmlformats.org/officeDocument/2006/relationships/hyperlink" Id="rId73"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2026-03-24T11:55:56Z</dcterms:created>
  <dcterms:modified xsi:type="dcterms:W3CDTF">2026-03-24T11:55:56Z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