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‘Dear LLM..’</w:t>
      </w:r>
      <w:r>
        <w:t xml:space="preserve">: Anonimity and privacy in an age of magical machines</w:t>
      </w:r>
    </w:p>
    <w:p>
      <w:pPr>
        <w:pStyle w:val="FirstParagraph"/>
      </w:pPr>
      <w:r>
        <w:t xml:space="preserve">“Hey ChatGPT, what’s the weather like, should I take the bike?”</w:t>
      </w:r>
      <w:r>
        <w:t xml:space="preserve">. A simple</w:t>
      </w:r>
      <w:r>
        <w:t xml:space="preserve"> </w:t>
      </w:r>
      <w:r>
        <w:t xml:space="preserve">“prompt”</w:t>
      </w:r>
      <w:r>
        <w:t xml:space="preserve"> </w:t>
      </w:r>
      <w:r>
        <w:t xml:space="preserve">like this already presumes sharing personal details such like location. Taking advice from tools such as ChatGPT or other large language model (LLM) based generative artifical intelligence (genAI) systems has quickly become commonplace since its launch for the masses at the end of 2022</w:t>
      </w:r>
      <w:r>
        <w:t xml:space="preserve"> </w:t>
      </w:r>
      <w:r>
        <w:t xml:space="preserve">(P. Zhang 2023)</w:t>
      </w:r>
      <w:r>
        <w:t xml:space="preserve">. Ranging from advice on cardiovascular health</w:t>
      </w:r>
      <w:r>
        <w:t xml:space="preserve"> </w:t>
      </w:r>
      <w:r>
        <w:t xml:space="preserve">(Lautrup et al. 2023)</w:t>
      </w:r>
      <w:r>
        <w:t xml:space="preserve">, visualisation design advice</w:t>
      </w:r>
      <w:r>
        <w:t xml:space="preserve"> </w:t>
      </w:r>
      <w:r>
        <w:t xml:space="preserve">(Kim et al. 2025)</w:t>
      </w:r>
      <w:r>
        <w:t xml:space="preserve">, relationship advice</w:t>
      </w:r>
      <w:r>
        <w:t xml:space="preserve"> </w:t>
      </w:r>
      <w:r>
        <w:t xml:space="preserve">(Hou, Leach, and Huang 2024)</w:t>
      </w:r>
      <w:r>
        <w:t xml:space="preserve">. It can even perceived as</w:t>
      </w:r>
      <w:r>
        <w:t xml:space="preserve"> </w:t>
      </w:r>
      <w:r>
        <w:t xml:space="preserve">“better”</w:t>
      </w:r>
      <w:r>
        <w:t xml:space="preserve"> </w:t>
      </w:r>
      <w:r>
        <w:t xml:space="preserve">than real humans</w:t>
      </w:r>
      <w:r>
        <w:t xml:space="preserve"> </w:t>
      </w:r>
      <w:r>
        <w:t xml:space="preserve">(Howe et al. 2023; Oehler and Horn 2024)</w:t>
      </w:r>
      <w:r>
        <w:t xml:space="preserve">. Furthermore,</w:t>
      </w:r>
      <w:r>
        <w:t xml:space="preserve"> </w:t>
      </w:r>
      <w:r>
        <w:t xml:space="preserve">“secret use”</w:t>
      </w:r>
      <w:r>
        <w:t xml:space="preserve"> </w:t>
      </w:r>
      <w:r>
        <w:t xml:space="preserve">of an LLM for real-world tasks makes it difficult to determine whether a real human doing a task is unaided or not</w:t>
      </w:r>
      <w:r>
        <w:t xml:space="preserve"> </w:t>
      </w:r>
      <w:r>
        <w:t xml:space="preserve">(Z. Zhang et al. 2025)</w:t>
      </w:r>
      <w:r>
        <w:t xml:space="preserve">. The models however are flawed and can produce inaccurate, untrue or malevolent results</w:t>
      </w:r>
      <w:r>
        <w:t xml:space="preserve"> </w:t>
      </w:r>
      <w:r>
        <w:t xml:space="preserve">(Cheung 2024; Liu et al. 2024)</w:t>
      </w:r>
      <w:r>
        <w:t xml:space="preserve">.</w:t>
      </w:r>
    </w:p>
    <w:p>
      <w:pPr>
        <w:pStyle w:val="BodyText"/>
      </w:pPr>
      <w:r>
        <w:t xml:space="preserve">To properly make use of an LLM’s based chat such as ChatGPT, users give prompts that provide context for offering a reply. This context users give can be greatly personal if we are to ask for advice such as highlighted in the section above where it concerns medical and relationship advice. It can be in the form of the question itself, but also in the form of documents uploaded to the service</w:t>
      </w:r>
      <w:r>
        <w:t xml:space="preserve"> </w:t>
      </w:r>
      <w:r>
        <w:t xml:space="preserve">(Naik, Naik, and Naik 2024)</w:t>
      </w:r>
      <w:r>
        <w:t xml:space="preserve">.</w:t>
      </w:r>
    </w:p>
    <w:p>
      <w:pPr>
        <w:pStyle w:val="BodyText"/>
      </w:pPr>
      <w:r>
        <w:t xml:space="preserve">Jailbreak prompts are a way to subvert the main goals and to misuse LLM’s</w:t>
      </w:r>
      <w:r>
        <w:t xml:space="preserve"> </w:t>
      </w:r>
      <w:r>
        <w:t xml:space="preserve">(Perez and Ribeiro 2022)</w:t>
      </w:r>
      <w:r>
        <w:t xml:space="preserve">. Which could lead to the extraction of personally identifiable information</w:t>
      </w:r>
      <w:r>
        <w:t xml:space="preserve"> </w:t>
      </w:r>
      <w:r>
        <w:t xml:space="preserve">(Li et al. 2023)</w:t>
      </w:r>
      <w:r>
        <w:t xml:space="preserve">. In older models (GPT-2) training data could be even be extracted after an attack</w:t>
      </w:r>
      <w:r>
        <w:t xml:space="preserve"> </w:t>
      </w:r>
      <w:r>
        <w:t xml:space="preserve">(Carlini et al. 2021)</w:t>
      </w:r>
      <w:r>
        <w:t xml:space="preserve">.</w:t>
      </w:r>
      <w:r>
        <w:t xml:space="preserve"> </w:t>
      </w:r>
      <w:r>
        <w:t xml:space="preserve">The terms of service for ChatGPT allow for OpenAI (the company behind the popular chat based LLM) to make use of content provided by users to improve services, and even to train models</w:t>
      </w:r>
      <w:r>
        <w:t xml:space="preserve"> </w:t>
      </w:r>
      <w:r>
        <w:t xml:space="preserve">(OpenAi n.d.)</w:t>
      </w:r>
      <w:r>
        <w:t xml:space="preserve">. The same holds true for Anthropic (Claude)</w:t>
      </w:r>
      <w:r>
        <w:t xml:space="preserve"> </w:t>
      </w:r>
      <w:r>
        <w:t xml:space="preserve">(Anthropic n.d.)</w:t>
      </w:r>
      <w:r>
        <w:t xml:space="preserve">, Google (Gemini)</w:t>
      </w:r>
      <w:r>
        <w:t xml:space="preserve"> </w:t>
      </w:r>
      <w:r>
        <w:t xml:space="preserve">(Google n.d.)</w:t>
      </w:r>
      <w:r>
        <w:t xml:space="preserve"> </w:t>
      </w:r>
      <w:r>
        <w:t xml:space="preserve">and X (Grok)</w:t>
      </w:r>
      <w:r>
        <w:t xml:space="preserve"> </w:t>
      </w:r>
      <w:r>
        <w:t xml:space="preserve">(X n.d.)</w:t>
      </w:r>
      <w:r>
        <w:t xml:space="preserve">, even in areas with stricter legal restrictions such as the European GDPR.</w:t>
      </w:r>
    </w:p>
    <w:p>
      <w:pPr>
        <w:pStyle w:val="BodyText"/>
      </w:pPr>
      <w:r>
        <w:t xml:space="preserve">The extraction and use of personal data for turning a profit by large corporations has been well documented and has ushered us into an age of new forms of capitalism</w:t>
      </w:r>
      <w:r>
        <w:t xml:space="preserve"> </w:t>
      </w:r>
      <w:r>
        <w:t xml:space="preserve">(Sadowski 2019; Marciano, Nicita, and Ramello 2020; Birch, Cochrane, and Ward 2021)</w:t>
      </w:r>
      <w:r>
        <w:t xml:space="preserve">. For consumers there is little to no protection or privacy for unless government regulation explicitly makes it so, like the GDPR program</w:t>
      </w:r>
      <w:r>
        <w:t xml:space="preserve"> </w:t>
      </w:r>
      <w:r>
        <w:t xml:space="preserve">(Arora 2019)</w:t>
      </w:r>
      <w:r>
        <w:t xml:space="preserve">.</w:t>
      </w:r>
      <w:r>
        <w:t xml:space="preserve"> </w:t>
      </w:r>
      <w:r>
        <w:t xml:space="preserve">However people largely underestimate the small bits of information we give to big tech and how the sum of that can still offer a persona or Gestalt</w:t>
      </w:r>
      <w:r>
        <w:t xml:space="preserve"> </w:t>
      </w:r>
      <w:r>
        <w:t xml:space="preserve">(Puaschunder 2018)</w:t>
      </w:r>
      <w:r>
        <w:t xml:space="preserve">.</w:t>
      </w:r>
    </w:p>
    <w:bookmarkStart w:id="20" w:name="conceptual-framework"/>
    <w:p>
      <w:pPr>
        <w:pStyle w:val="Heading2"/>
      </w:pPr>
      <w:r>
        <w:t xml:space="preserve">Conceptual framework</w:t>
      </w:r>
    </w:p>
    <w:p>
      <w:pPr>
        <w:pStyle w:val="FirstParagraph"/>
      </w:pPr>
      <w:r>
        <w:t xml:space="preserve">In the field of privacy the concept of Contextual Integrity by</w:t>
      </w:r>
      <w:r>
        <w:t xml:space="preserve"> </w:t>
      </w:r>
      <w:r>
        <w:t xml:space="preserve">Nissenbaum (2004)</w:t>
      </w:r>
      <w:r>
        <w:t xml:space="preserve"> </w:t>
      </w:r>
      <w:r>
        <w:t xml:space="preserve">is widely regarded to be able to hold multiple aspects of privacy and to take into account the context in which information flows</w:t>
      </w:r>
      <w:r>
        <w:t xml:space="preserve"> </w:t>
      </w:r>
      <w:r>
        <w:t xml:space="preserve">(Barth et al. 2006)</w:t>
      </w:r>
      <w:r>
        <w:t xml:space="preserve">.</w:t>
      </w:r>
    </w:p>
    <w:bookmarkEnd w:id="20"/>
    <w:bookmarkStart w:id="63" w:name="bibliography"/>
    <w:p>
      <w:pPr>
        <w:pStyle w:val="Heading2"/>
      </w:pPr>
      <w:r>
        <w:t xml:space="preserve">Bibliography</w:t>
      </w:r>
    </w:p>
    <w:bookmarkStart w:id="62" w:name="refs"/>
    <w:bookmarkStart w:id="21" w:name="ref-anthropicHowYouUse"/>
    <w:p>
      <w:pPr>
        <w:pStyle w:val="Bibliography"/>
      </w:pPr>
      <w:r>
        <w:t xml:space="preserve">Anthropic. n.d.</w:t>
      </w:r>
      <w:r>
        <w:t xml:space="preserve"> </w:t>
      </w:r>
      <w:r>
        <w:t xml:space="preserve">“How</w:t>
      </w:r>
      <w:r>
        <w:t xml:space="preserve"> </w:t>
      </w:r>
      <w:r>
        <w:t xml:space="preserve">Do You Use Personal Data</w:t>
      </w:r>
      <w:r>
        <w:t xml:space="preserve"> </w:t>
      </w:r>
      <w:r>
        <w:t xml:space="preserve">in</w:t>
      </w:r>
      <w:r>
        <w:t xml:space="preserve"> </w:t>
      </w:r>
      <w:r>
        <w:t xml:space="preserve">Model Training</w:t>
      </w:r>
      <w:r>
        <w:t xml:space="preserve">?</w:t>
      </w:r>
      <w:r>
        <w:t xml:space="preserve"> </w:t>
      </w:r>
      <w:r>
        <w:t xml:space="preserve"> </w:t>
      </w:r>
      <w:r>
        <w:t xml:space="preserve">Anthropic Privacy Center</w:t>
      </w:r>
      <w:r>
        <w:t xml:space="preserve">.”</w:t>
      </w:r>
      <w:r>
        <w:t xml:space="preserve"> </w:t>
      </w:r>
      <w:r>
        <w:t xml:space="preserve">https://privacy.claude.com/en/articles/10023555-how-do-you-use-personal-data-in-model-training. Accessed November 17, 2025.</w:t>
      </w:r>
    </w:p>
    <w:bookmarkEnd w:id="21"/>
    <w:bookmarkStart w:id="22" w:name="ref-arora2019general"/>
    <w:p>
      <w:pPr>
        <w:pStyle w:val="Bibliography"/>
      </w:pPr>
      <w:r>
        <w:t xml:space="preserve">Arora, Payal. 2019.</w:t>
      </w:r>
      <w:r>
        <w:t xml:space="preserve"> </w:t>
      </w:r>
      <w:r>
        <w:t xml:space="preserve">“General Data Protection Regulation—</w:t>
      </w:r>
      <w:r>
        <w:t xml:space="preserve">A</w:t>
      </w:r>
      <w:r>
        <w:t xml:space="preserve"> </w:t>
      </w:r>
      <w:r>
        <w:t xml:space="preserve">Global Standard?</w:t>
      </w:r>
      <w:r>
        <w:t xml:space="preserve"> </w:t>
      </w:r>
      <w:r>
        <w:t xml:space="preserve">Privacy</w:t>
      </w:r>
      <w:r>
        <w:t xml:space="preserve"> </w:t>
      </w:r>
      <w:r>
        <w:t xml:space="preserve">Futures, Digital Activism, and Surveillance Cultures in the</w:t>
      </w:r>
      <w:r>
        <w:t xml:space="preserve"> </w:t>
      </w:r>
      <w:r>
        <w:t xml:space="preserve">Global South</w:t>
      </w:r>
      <w:r>
        <w:t xml:space="preserve">.”</w:t>
      </w:r>
      <w:r>
        <w:t xml:space="preserve"> </w:t>
      </w:r>
      <w:r>
        <w:rPr>
          <w:i/>
          <w:iCs/>
        </w:rPr>
        <w:t xml:space="preserve">Surveillance &amp; Society</w:t>
      </w:r>
      <w:r>
        <w:t xml:space="preserve"> </w:t>
      </w:r>
      <w:r>
        <w:t xml:space="preserve">17 (5): 717–25.</w:t>
      </w:r>
    </w:p>
    <w:bookmarkEnd w:id="22"/>
    <w:bookmarkStart w:id="24" w:name="ref-barthPrivacyContextualIntegrity2006"/>
    <w:p>
      <w:pPr>
        <w:pStyle w:val="Bibliography"/>
      </w:pPr>
      <w:r>
        <w:t xml:space="preserve">Barth, A., A. Datta, J. C. Mitchell, and H. Nissenbaum. 2006.</w:t>
      </w:r>
      <w:r>
        <w:t xml:space="preserve"> </w:t>
      </w:r>
      <w:r>
        <w:t xml:space="preserve">“Privacy and Contextual Integrity: Framework and Applications.”</w:t>
      </w:r>
      <w:r>
        <w:t xml:space="preserve"> </w:t>
      </w:r>
      <w:r>
        <w:t xml:space="preserve">In</w:t>
      </w:r>
      <w:r>
        <w:t xml:space="preserve"> </w:t>
      </w:r>
      <w:r>
        <w:rPr>
          <w:i/>
          <w:iCs/>
        </w:rPr>
        <w:t xml:space="preserve">2006</w:t>
      </w:r>
      <w:r>
        <w:rPr>
          <w:i/>
          <w:iCs/>
        </w:rPr>
        <w:t xml:space="preserve"> </w:t>
      </w:r>
      <w:r>
        <w:rPr>
          <w:i/>
          <w:iCs/>
        </w:rPr>
        <w:t xml:space="preserve">IEEE Symposium</w:t>
      </w:r>
      <w:r>
        <w:rPr>
          <w:i/>
          <w:iCs/>
        </w:rPr>
        <w:t xml:space="preserve"> </w:t>
      </w:r>
      <w:r>
        <w:rPr>
          <w:i/>
          <w:iCs/>
        </w:rPr>
        <w:t xml:space="preserve">on</w:t>
      </w:r>
      <w:r>
        <w:rPr>
          <w:i/>
          <w:iCs/>
        </w:rPr>
        <w:t xml:space="preserve"> </w:t>
      </w:r>
      <w:r>
        <w:rPr>
          <w:i/>
          <w:iCs/>
        </w:rPr>
        <w:t xml:space="preserve">Security</w:t>
      </w:r>
      <w:r>
        <w:rPr>
          <w:i/>
          <w:iCs/>
        </w:rPr>
        <w:t xml:space="preserve"> </w:t>
      </w:r>
      <w:r>
        <w:rPr>
          <w:i/>
          <w:iCs/>
        </w:rPr>
        <w:t xml:space="preserve">and</w:t>
      </w:r>
      <w:r>
        <w:rPr>
          <w:i/>
          <w:iCs/>
        </w:rPr>
        <w:t xml:space="preserve"> </w:t>
      </w:r>
      <w:r>
        <w:rPr>
          <w:i/>
          <w:iCs/>
        </w:rPr>
        <w:t xml:space="preserve">Privacy</w:t>
      </w:r>
      <w:r>
        <w:rPr>
          <w:i/>
          <w:iCs/>
        </w:rPr>
        <w:t xml:space="preserve"> </w:t>
      </w:r>
      <w:r>
        <w:rPr>
          <w:i/>
          <w:iCs/>
        </w:rPr>
        <w:t xml:space="preserve">(</w:t>
      </w:r>
      <w:r>
        <w:rPr>
          <w:i/>
          <w:iCs/>
        </w:rPr>
        <w:t xml:space="preserve">S</w:t>
      </w:r>
      <w:r>
        <w:rPr>
          <w:i/>
          <w:iCs/>
        </w:rPr>
        <w:t xml:space="preserve">&amp;</w:t>
      </w:r>
      <w:r>
        <w:rPr>
          <w:i/>
          <w:iCs/>
        </w:rPr>
        <w:t xml:space="preserve">P</w:t>
      </w:r>
      <w:r>
        <w:rPr>
          <w:i/>
          <w:iCs/>
        </w:rPr>
        <w:t xml:space="preserve">’06)</w:t>
      </w:r>
      <w:r>
        <w:t xml:space="preserve">, 15 pp.–198. Berkeley/Oakland, CA: IEEE.</w:t>
      </w:r>
      <w:r>
        <w:t xml:space="preserve"> </w:t>
      </w:r>
      <w:hyperlink r:id="rId23">
        <w:r>
          <w:rPr>
            <w:rStyle w:val="Hyperlink"/>
          </w:rPr>
          <w:t xml:space="preserve">https://doi.org/10.1109/SP.2006.32</w:t>
        </w:r>
      </w:hyperlink>
      <w:r>
        <w:t xml:space="preserve">.</w:t>
      </w:r>
    </w:p>
    <w:bookmarkEnd w:id="24"/>
    <w:bookmarkStart w:id="26" w:name="ref-birchDataAssetMeasurement2021"/>
    <w:p>
      <w:pPr>
        <w:pStyle w:val="Bibliography"/>
      </w:pPr>
      <w:r>
        <w:t xml:space="preserve">Birch, Kean, DT Cochrane, and Callum Ward. 2021.</w:t>
      </w:r>
      <w:r>
        <w:t xml:space="preserve"> </w:t>
      </w:r>
      <w:r>
        <w:t xml:space="preserve">“Data as Asset?</w:t>
      </w:r>
      <w:r>
        <w:t xml:space="preserve"> </w:t>
      </w:r>
      <w:r>
        <w:t xml:space="preserve">The</w:t>
      </w:r>
      <w:r>
        <w:t xml:space="preserve"> </w:t>
      </w:r>
      <w:r>
        <w:t xml:space="preserve">Measurement, Governance, and Valuation of Digital Personal Data by</w:t>
      </w:r>
      <w:r>
        <w:t xml:space="preserve"> </w:t>
      </w:r>
      <w:r>
        <w:t xml:space="preserve">Big Tech</w:t>
      </w:r>
      <w:r>
        <w:t xml:space="preserve">.”</w:t>
      </w:r>
      <w:r>
        <w:t xml:space="preserve"> </w:t>
      </w:r>
      <w:r>
        <w:rPr>
          <w:i/>
          <w:iCs/>
        </w:rPr>
        <w:t xml:space="preserve">Big Data &amp; Society</w:t>
      </w:r>
      <w:r>
        <w:t xml:space="preserve"> </w:t>
      </w:r>
      <w:r>
        <w:t xml:space="preserve">8 (1): 20539517211017308.</w:t>
      </w:r>
      <w:r>
        <w:t xml:space="preserve"> </w:t>
      </w:r>
      <w:hyperlink r:id="rId25">
        <w:r>
          <w:rPr>
            <w:rStyle w:val="Hyperlink"/>
          </w:rPr>
          <w:t xml:space="preserve">https://doi.org/10.1177/20539517211017308</w:t>
        </w:r>
      </w:hyperlink>
      <w:r>
        <w:t xml:space="preserve">.</w:t>
      </w:r>
    </w:p>
    <w:bookmarkEnd w:id="26"/>
    <w:bookmarkStart w:id="28" w:name="ref-carliniExtractingTrainingData2021"/>
    <w:p>
      <w:pPr>
        <w:pStyle w:val="Bibliography"/>
      </w:pPr>
      <w:r>
        <w:t xml:space="preserve">Carlini, Nicholas, Florian Tramer, Eric Wallace, Matthew Jagielski, Ariel Herbert-Voss, Katherine Lee, Adam Roberts, et al. 2021.</w:t>
      </w:r>
      <w:r>
        <w:t xml:space="preserve"> </w:t>
      </w:r>
      <w:r>
        <w:t xml:space="preserve">“Extracting</w:t>
      </w:r>
      <w:r>
        <w:t xml:space="preserve"> </w:t>
      </w:r>
      <w:r>
        <w:t xml:space="preserve">Training Data</w:t>
      </w:r>
      <w:r>
        <w:t xml:space="preserve"> </w:t>
      </w:r>
      <w:r>
        <w:t xml:space="preserve">from</w:t>
      </w:r>
      <w:r>
        <w:t xml:space="preserve"> </w:t>
      </w:r>
      <w:r>
        <w:t xml:space="preserve">Large Language Models</w:t>
      </w:r>
      <w:r>
        <w:t xml:space="preserve">.”</w:t>
      </w:r>
      <w:r>
        <w:t xml:space="preserve"> </w:t>
      </w:r>
      <w:r>
        <w:t xml:space="preserve">arXiv.</w:t>
      </w:r>
      <w:r>
        <w:t xml:space="preserve"> </w:t>
      </w:r>
      <w:hyperlink r:id="rId27">
        <w:r>
          <w:rPr>
            <w:rStyle w:val="Hyperlink"/>
          </w:rPr>
          <w:t xml:space="preserve">https://doi.org/10.48550/arXiv.2012.07805</w:t>
        </w:r>
      </w:hyperlink>
      <w:r>
        <w:t xml:space="preserve">.</w:t>
      </w:r>
    </w:p>
    <w:bookmarkEnd w:id="28"/>
    <w:bookmarkStart w:id="30" w:name="ref-cheungRealityCheckBenefits2024"/>
    <w:p>
      <w:pPr>
        <w:pStyle w:val="Bibliography"/>
      </w:pPr>
      <w:r>
        <w:t xml:space="preserve">Cheung, Ming. 2024.</w:t>
      </w:r>
      <w:r>
        <w:t xml:space="preserve"> </w:t>
      </w:r>
      <w:r>
        <w:t xml:space="preserve">“A</w:t>
      </w:r>
      <w:r>
        <w:t xml:space="preserve"> </w:t>
      </w:r>
      <w:r>
        <w:t xml:space="preserve">Reality</w:t>
      </w:r>
      <w:r>
        <w:t xml:space="preserve"> </w:t>
      </w:r>
      <w:r>
        <w:t xml:space="preserve">Check of the Benefits of</w:t>
      </w:r>
      <w:r>
        <w:t xml:space="preserve"> </w:t>
      </w:r>
      <w:r>
        <w:t xml:space="preserve">LLM</w:t>
      </w:r>
      <w:r>
        <w:t xml:space="preserve"> </w:t>
      </w:r>
      <w:r>
        <w:t xml:space="preserve">in Business.”</w:t>
      </w:r>
      <w:r>
        <w:t xml:space="preserve"> </w:t>
      </w:r>
      <w:r>
        <w:t xml:space="preserve">arXiv.</w:t>
      </w:r>
      <w:r>
        <w:t xml:space="preserve"> </w:t>
      </w:r>
      <w:hyperlink r:id="rId29">
        <w:r>
          <w:rPr>
            <w:rStyle w:val="Hyperlink"/>
          </w:rPr>
          <w:t xml:space="preserve">https://doi.org/10.48550/arXiv.2406.10249</w:t>
        </w:r>
      </w:hyperlink>
      <w:r>
        <w:t xml:space="preserve">.</w:t>
      </w:r>
    </w:p>
    <w:bookmarkEnd w:id="30"/>
    <w:bookmarkStart w:id="31" w:name="ref-googlePrivacyPolicyPrivacy"/>
    <w:p>
      <w:pPr>
        <w:pStyle w:val="Bibliography"/>
      </w:pPr>
      <w:r>
        <w:t xml:space="preserve">Google. n.d.</w:t>
      </w:r>
      <w:r>
        <w:t xml:space="preserve"> </w:t>
      </w:r>
      <w:r>
        <w:t xml:space="preserve">“Privacy</w:t>
      </w:r>
      <w:r>
        <w:t xml:space="preserve"> </w:t>
      </w:r>
      <w:r>
        <w:t xml:space="preserve">Policy</w:t>
      </w:r>
      <w:r>
        <w:t xml:space="preserve"> </w:t>
      </w:r>
      <w:r>
        <w:t xml:space="preserve">–</w:t>
      </w:r>
      <w:r>
        <w:t xml:space="preserve"> </w:t>
      </w:r>
      <w:r>
        <w:t xml:space="preserve">Privacy</w:t>
      </w:r>
      <w:r>
        <w:t xml:space="preserve"> </w:t>
      </w:r>
      <w:r>
        <w:t xml:space="preserve">&amp;</w:t>
      </w:r>
      <w:r>
        <w:t xml:space="preserve"> </w:t>
      </w:r>
      <w:r>
        <w:t xml:space="preserve">Terms</w:t>
      </w:r>
      <w:r>
        <w:t xml:space="preserve"> </w:t>
      </w:r>
      <w:r>
        <w:t xml:space="preserve">–</w:t>
      </w:r>
      <w:r>
        <w:t xml:space="preserve"> </w:t>
      </w:r>
      <w:r>
        <w:t xml:space="preserve">Google</w:t>
      </w:r>
      <w:r>
        <w:t xml:space="preserve">.”</w:t>
      </w:r>
      <w:r>
        <w:t xml:space="preserve"> </w:t>
      </w:r>
      <w:r>
        <w:t xml:space="preserve">https://policies.google.com/privacy. Accessed November 17, 2025.</w:t>
      </w:r>
    </w:p>
    <w:bookmarkEnd w:id="31"/>
    <w:bookmarkStart w:id="33" w:name="ref-houChatGPTGivingRelationship2024"/>
    <w:p>
      <w:pPr>
        <w:pStyle w:val="Bibliography"/>
      </w:pPr>
      <w:r>
        <w:t xml:space="preserve">Hou, Haonan, Kevin Leach, and Yu Huang. 2024.</w:t>
      </w:r>
      <w:r>
        <w:t xml:space="preserve"> </w:t>
      </w:r>
      <w:r>
        <w:t xml:space="preserve">“</w:t>
      </w:r>
      <w:r>
        <w:t xml:space="preserve">ChatGPT Giving Relationship Advice</w:t>
      </w:r>
      <w:r>
        <w:t xml:space="preserve"> </w:t>
      </w:r>
      <w:r>
        <w:t xml:space="preserve">–</w:t>
      </w:r>
      <w:r>
        <w:t xml:space="preserve"> </w:t>
      </w:r>
      <w:r>
        <w:t xml:space="preserve">How Reliable Is It</w:t>
      </w:r>
      <w:r>
        <w:t xml:space="preserve">?”</w:t>
      </w:r>
      <w:r>
        <w:t xml:space="preserve"> </w:t>
      </w:r>
      <w:r>
        <w:rPr>
          <w:i/>
          <w:iCs/>
        </w:rPr>
        <w:t xml:space="preserve">Proceedings of the International AAAI Conference on Web and Social Media</w:t>
      </w:r>
      <w:r>
        <w:t xml:space="preserve"> </w:t>
      </w:r>
      <w:r>
        <w:t xml:space="preserve">18 (May): 610–23.</w:t>
      </w:r>
      <w:r>
        <w:t xml:space="preserve"> </w:t>
      </w:r>
      <w:hyperlink r:id="rId32">
        <w:r>
          <w:rPr>
            <w:rStyle w:val="Hyperlink"/>
          </w:rPr>
          <w:t xml:space="preserve">https://doi.org/10.1609/icwsm.v18i1.31338</w:t>
        </w:r>
      </w:hyperlink>
      <w:r>
        <w:t xml:space="preserve">.</w:t>
      </w:r>
    </w:p>
    <w:bookmarkEnd w:id="33"/>
    <w:bookmarkStart w:id="35" w:name="ref-howeChatGPTsAdvicePerceived2023"/>
    <w:p>
      <w:pPr>
        <w:pStyle w:val="Bibliography"/>
      </w:pPr>
      <w:r>
        <w:t xml:space="preserve">Howe, Piers Douglas Lionel, Nicolas Fay, Morgan Saletta, and Eduard Hovy. 2023.</w:t>
      </w:r>
      <w:r>
        <w:t xml:space="preserve"> </w:t>
      </w:r>
      <w:r>
        <w:t xml:space="preserve">“</w:t>
      </w:r>
      <w:r>
        <w:t xml:space="preserve">ChatGPT</w:t>
      </w:r>
      <w:r>
        <w:t xml:space="preserve">’s Advice Is Perceived as Better Than That of Professional Advice Columnists.”</w:t>
      </w:r>
      <w:r>
        <w:t xml:space="preserve"> </w:t>
      </w:r>
      <w:r>
        <w:rPr>
          <w:i/>
          <w:iCs/>
        </w:rPr>
        <w:t xml:space="preserve">Frontiers in Psychology</w:t>
      </w:r>
      <w:r>
        <w:t xml:space="preserve"> </w:t>
      </w:r>
      <w:r>
        <w:t xml:space="preserve">14 (November): 1281255.</w:t>
      </w:r>
      <w:r>
        <w:t xml:space="preserve"> </w:t>
      </w:r>
      <w:hyperlink r:id="rId34">
        <w:r>
          <w:rPr>
            <w:rStyle w:val="Hyperlink"/>
          </w:rPr>
          <w:t xml:space="preserve">https://doi.org/10.3389/fpsyg.2023.1281255</w:t>
        </w:r>
      </w:hyperlink>
      <w:r>
        <w:t xml:space="preserve">.</w:t>
      </w:r>
    </w:p>
    <w:bookmarkEnd w:id="35"/>
    <w:bookmarkStart w:id="37" w:name="ref-kimHowGoodChatGPT2025"/>
    <w:p>
      <w:pPr>
        <w:pStyle w:val="Bibliography"/>
      </w:pPr>
      <w:r>
        <w:t xml:space="preserve">Kim, Nam Wook, Yongsu Ahn, Grace Myers, and Benjamin Bach. 2025.</w:t>
      </w:r>
      <w:r>
        <w:t xml:space="preserve"> </w:t>
      </w:r>
      <w:r>
        <w:t xml:space="preserve">“How</w:t>
      </w:r>
      <w:r>
        <w:t xml:space="preserve"> </w:t>
      </w:r>
      <w:r>
        <w:t xml:space="preserve">Good Is ChatGPT</w:t>
      </w:r>
      <w:r>
        <w:t xml:space="preserve"> </w:t>
      </w:r>
      <w:r>
        <w:t xml:space="preserve">in</w:t>
      </w:r>
      <w:r>
        <w:t xml:space="preserve"> </w:t>
      </w:r>
      <w:r>
        <w:t xml:space="preserve">Giving Advice</w:t>
      </w:r>
      <w:r>
        <w:t xml:space="preserve"> </w:t>
      </w:r>
      <w:r>
        <w:t xml:space="preserve">on</w:t>
      </w:r>
      <w:r>
        <w:t xml:space="preserve"> </w:t>
      </w:r>
      <w:r>
        <w:t xml:space="preserve">Your Visualization Design</w:t>
      </w:r>
      <w:r>
        <w:t xml:space="preserve">?”</w:t>
      </w:r>
      <w:r>
        <w:t xml:space="preserve"> </w:t>
      </w:r>
      <w:r>
        <w:rPr>
          <w:i/>
          <w:iCs/>
        </w:rPr>
        <w:t xml:space="preserve">ACM Transactions on Computer-Human Interaction</w:t>
      </w:r>
      <w:r>
        <w:t xml:space="preserve"> </w:t>
      </w:r>
      <w:r>
        <w:t xml:space="preserve">32 (5): 1–33.</w:t>
      </w:r>
      <w:r>
        <w:t xml:space="preserve"> </w:t>
      </w:r>
      <w:hyperlink r:id="rId36">
        <w:r>
          <w:rPr>
            <w:rStyle w:val="Hyperlink"/>
          </w:rPr>
          <w:t xml:space="preserve">https://doi.org/10.1145/3745768</w:t>
        </w:r>
      </w:hyperlink>
      <w:r>
        <w:t xml:space="preserve">.</w:t>
      </w:r>
    </w:p>
    <w:bookmarkEnd w:id="37"/>
    <w:bookmarkStart w:id="39" w:name="ref-lautrupHearttoheartChatGPTImpact2023"/>
    <w:p>
      <w:pPr>
        <w:pStyle w:val="Bibliography"/>
      </w:pPr>
      <w:r>
        <w:t xml:space="preserve">Lautrup, Anton Danholt, Tobias Hyrup, Anna Schneider-Kamp, Marie Dahl, Jes Sanddal Lindholt, and Peter Schneider-Kamp. 2023.</w:t>
      </w:r>
      <w:r>
        <w:t xml:space="preserve"> </w:t>
      </w:r>
      <w:r>
        <w:t xml:space="preserve">“Heart-to-Heart with</w:t>
      </w:r>
      <w:r>
        <w:t xml:space="preserve"> </w:t>
      </w:r>
      <w:r>
        <w:t xml:space="preserve">ChatGPT</w:t>
      </w:r>
      <w:r>
        <w:t xml:space="preserve">: The Impact of Patients Consulting</w:t>
      </w:r>
      <w:r>
        <w:t xml:space="preserve"> </w:t>
      </w:r>
      <w:r>
        <w:t xml:space="preserve">AI</w:t>
      </w:r>
      <w:r>
        <w:t xml:space="preserve"> </w:t>
      </w:r>
      <w:r>
        <w:t xml:space="preserve">for Cardiovascular Health Advice.”</w:t>
      </w:r>
      <w:r>
        <w:t xml:space="preserve"> </w:t>
      </w:r>
      <w:r>
        <w:rPr>
          <w:i/>
          <w:iCs/>
        </w:rPr>
        <w:t xml:space="preserve">Open Heart</w:t>
      </w:r>
      <w:r>
        <w:t xml:space="preserve"> </w:t>
      </w:r>
      <w:r>
        <w:t xml:space="preserve">10 (2): e002455.</w:t>
      </w:r>
      <w:r>
        <w:t xml:space="preserve"> </w:t>
      </w:r>
      <w:hyperlink r:id="rId38">
        <w:r>
          <w:rPr>
            <w:rStyle w:val="Hyperlink"/>
          </w:rPr>
          <w:t xml:space="preserve">https://doi.org/10.1136/openhrt-2023-002455</w:t>
        </w:r>
      </w:hyperlink>
      <w:r>
        <w:t xml:space="preserve">.</w:t>
      </w:r>
    </w:p>
    <w:bookmarkEnd w:id="39"/>
    <w:bookmarkStart w:id="41" w:name="ref-liMultistepJailbreakingPrivacy2023"/>
    <w:p>
      <w:pPr>
        <w:pStyle w:val="Bibliography"/>
      </w:pPr>
      <w:r>
        <w:t xml:space="preserve">Li, Haoran, Dadi Guo, Wei Fan, Mingshi Xu, Jie Huang, Fanpu Meng, and Yangqiu Song. 2023.</w:t>
      </w:r>
      <w:r>
        <w:t xml:space="preserve"> </w:t>
      </w:r>
      <w:r>
        <w:t xml:space="preserve">“Multi-Step</w:t>
      </w:r>
      <w:r>
        <w:t xml:space="preserve"> </w:t>
      </w:r>
      <w:r>
        <w:t xml:space="preserve">Jailbreaking Privacy Attacks</w:t>
      </w:r>
      <w:r>
        <w:t xml:space="preserve"> </w:t>
      </w:r>
      <w:r>
        <w:t xml:space="preserve">on</w:t>
      </w:r>
      <w:r>
        <w:t xml:space="preserve"> </w:t>
      </w:r>
      <w:r>
        <w:t xml:space="preserve">ChatGPT</w:t>
      </w:r>
      <w:r>
        <w:t xml:space="preserve">.”</w:t>
      </w:r>
      <w:r>
        <w:t xml:space="preserve"> </w:t>
      </w:r>
      <w:r>
        <w:t xml:space="preserve">arXiv.</w:t>
      </w:r>
      <w:r>
        <w:t xml:space="preserve"> </w:t>
      </w:r>
      <w:hyperlink r:id="rId40">
        <w:r>
          <w:rPr>
            <w:rStyle w:val="Hyperlink"/>
          </w:rPr>
          <w:t xml:space="preserve">https://doi.org/10.48550/arXiv.2304.05197</w:t>
        </w:r>
      </w:hyperlink>
      <w:r>
        <w:t xml:space="preserve">.</w:t>
      </w:r>
    </w:p>
    <w:bookmarkEnd w:id="41"/>
    <w:bookmarkStart w:id="43" w:name="ref-liuRobustnessTimeUnderstanding2024"/>
    <w:p>
      <w:pPr>
        <w:pStyle w:val="Bibliography"/>
      </w:pPr>
      <w:r>
        <w:t xml:space="preserve">Liu, Yugeng, Tianshuo Cong, Zhengyu Zhao, Michael Backes, Yun Shen, and Yang Zhang. 2024.</w:t>
      </w:r>
      <w:r>
        <w:t xml:space="preserve"> </w:t>
      </w:r>
      <w:r>
        <w:t xml:space="preserve">“Robustness</w:t>
      </w:r>
      <w:r>
        <w:t xml:space="preserve"> </w:t>
      </w:r>
      <w:r>
        <w:t xml:space="preserve">Over Time</w:t>
      </w:r>
      <w:r>
        <w:t xml:space="preserve">:</w:t>
      </w:r>
      <w:r>
        <w:t xml:space="preserve"> </w:t>
      </w:r>
      <w:r>
        <w:t xml:space="preserve">Understanding Adversarial Examples</w:t>
      </w:r>
      <w:r>
        <w:t xml:space="preserve">’</w:t>
      </w:r>
      <w:r>
        <w:t xml:space="preserve"> </w:t>
      </w:r>
      <w:r>
        <w:t xml:space="preserve">Effectiveness</w:t>
      </w:r>
      <w:r>
        <w:t xml:space="preserve"> </w:t>
      </w:r>
      <w:r>
        <w:t xml:space="preserve">on</w:t>
      </w:r>
      <w:r>
        <w:t xml:space="preserve"> </w:t>
      </w:r>
      <w:r>
        <w:t xml:space="preserve">Longitudinal Versions</w:t>
      </w:r>
      <w:r>
        <w:t xml:space="preserve"> </w:t>
      </w:r>
      <w:r>
        <w:t xml:space="preserve">of</w:t>
      </w:r>
      <w:r>
        <w:t xml:space="preserve"> </w:t>
      </w:r>
      <w:r>
        <w:t xml:space="preserve">Large Language Models</w:t>
      </w:r>
      <w:r>
        <w:t xml:space="preserve">.”</w:t>
      </w:r>
      <w:r>
        <w:t xml:space="preserve"> </w:t>
      </w:r>
      <w:r>
        <w:t xml:space="preserve">arXiv.</w:t>
      </w:r>
      <w:r>
        <w:t xml:space="preserve"> </w:t>
      </w:r>
      <w:hyperlink r:id="rId42">
        <w:r>
          <w:rPr>
            <w:rStyle w:val="Hyperlink"/>
          </w:rPr>
          <w:t xml:space="preserve">https://doi.org/10.48550/arXiv.2308.07847</w:t>
        </w:r>
      </w:hyperlink>
      <w:r>
        <w:t xml:space="preserve">.</w:t>
      </w:r>
    </w:p>
    <w:bookmarkEnd w:id="43"/>
    <w:bookmarkStart w:id="45" w:name="ref-marcianoBigDataBig2020"/>
    <w:p>
      <w:pPr>
        <w:pStyle w:val="Bibliography"/>
      </w:pPr>
      <w:r>
        <w:t xml:space="preserve">Marciano, Alain, Antonio Nicita, and Giovanni Battista Ramello. 2020.</w:t>
      </w:r>
      <w:r>
        <w:t xml:space="preserve"> </w:t>
      </w:r>
      <w:r>
        <w:t xml:space="preserve">“Big Data and Big Techs: Understanding the Value of Information in Platform Capitalism.”</w:t>
      </w:r>
      <w:r>
        <w:t xml:space="preserve"> </w:t>
      </w:r>
      <w:r>
        <w:rPr>
          <w:i/>
          <w:iCs/>
        </w:rPr>
        <w:t xml:space="preserve">European Journal of Law and Economics</w:t>
      </w:r>
      <w:r>
        <w:t xml:space="preserve"> </w:t>
      </w:r>
      <w:r>
        <w:t xml:space="preserve">50 (3): 345–58.</w:t>
      </w:r>
      <w:r>
        <w:t xml:space="preserve"> </w:t>
      </w:r>
      <w:hyperlink r:id="rId44">
        <w:r>
          <w:rPr>
            <w:rStyle w:val="Hyperlink"/>
          </w:rPr>
          <w:t xml:space="preserve">https://doi.org/10.1007/s10657-020-09675-1</w:t>
        </w:r>
      </w:hyperlink>
      <w:r>
        <w:t xml:space="preserve">.</w:t>
      </w:r>
    </w:p>
    <w:bookmarkEnd w:id="45"/>
    <w:bookmarkStart w:id="47" w:name="ref-naikChatGPTAllYou2024"/>
    <w:p>
      <w:pPr>
        <w:pStyle w:val="Bibliography"/>
      </w:pPr>
      <w:r>
        <w:t xml:space="preserve">Naik, Ishita, Dishita Naik, and Nitin Naik. 2024.</w:t>
      </w:r>
      <w:r>
        <w:t xml:space="preserve"> </w:t>
      </w:r>
      <w:r>
        <w:t xml:space="preserve">“</w:t>
      </w:r>
      <w:r>
        <w:t xml:space="preserve">ChatGPT Is All You Need</w:t>
      </w:r>
      <w:r>
        <w:t xml:space="preserve">:</w:t>
      </w:r>
      <w:r>
        <w:t xml:space="preserve"> </w:t>
      </w:r>
      <w:r>
        <w:t xml:space="preserve">Untangling Its Underlying AI Models</w:t>
      </w:r>
      <w:r>
        <w:t xml:space="preserve">,</w:t>
      </w:r>
      <w:r>
        <w:t xml:space="preserve"> </w:t>
      </w:r>
      <w:r>
        <w:t xml:space="preserve">Architecture</w:t>
      </w:r>
      <w:r>
        <w:t xml:space="preserve">,</w:t>
      </w:r>
      <w:r>
        <w:t xml:space="preserve"> </w:t>
      </w:r>
      <w:r>
        <w:t xml:space="preserve">Training Procedure</w:t>
      </w:r>
      <w:r>
        <w:t xml:space="preserve">,</w:t>
      </w:r>
      <w:r>
        <w:t xml:space="preserve"> </w:t>
      </w:r>
      <w:r>
        <w:t xml:space="preserve">Capabilities</w:t>
      </w:r>
      <w:r>
        <w:t xml:space="preserve">,</w:t>
      </w:r>
      <w:r>
        <w:t xml:space="preserve"> </w:t>
      </w:r>
      <w:r>
        <w:t xml:space="preserve">Limitations And Applications</w:t>
      </w:r>
      <w:r>
        <w:t xml:space="preserve">.”</w:t>
      </w:r>
      <w:r>
        <w:t xml:space="preserve"> </w:t>
      </w:r>
      <w:r>
        <w:t xml:space="preserve">Preprints.</w:t>
      </w:r>
      <w:r>
        <w:t xml:space="preserve"> </w:t>
      </w:r>
      <w:hyperlink r:id="rId46">
        <w:r>
          <w:rPr>
            <w:rStyle w:val="Hyperlink"/>
          </w:rPr>
          <w:t xml:space="preserve">https://doi.org/10.36227/techrxiv.173273427.76836200/v1</w:t>
        </w:r>
      </w:hyperlink>
      <w:r>
        <w:t xml:space="preserve">.</w:t>
      </w:r>
    </w:p>
    <w:bookmarkEnd w:id="47"/>
    <w:bookmarkStart w:id="48" w:name="ref-nissenbaum2004privacy"/>
    <w:p>
      <w:pPr>
        <w:pStyle w:val="Bibliography"/>
      </w:pPr>
      <w:r>
        <w:t xml:space="preserve">Nissenbaum, Helen. 2004.</w:t>
      </w:r>
      <w:r>
        <w:t xml:space="preserve"> </w:t>
      </w:r>
      <w:r>
        <w:t xml:space="preserve">“Privacy as Contextual Integrity”</w:t>
      </w:r>
      <w:r>
        <w:t xml:space="preserve"> </w:t>
      </w:r>
      <w:r>
        <w:t xml:space="preserve">79: 119.</w:t>
      </w:r>
    </w:p>
    <w:bookmarkEnd w:id="48"/>
    <w:bookmarkStart w:id="50" w:name="ref-oehlerDoesChatGPTProvide2024"/>
    <w:p>
      <w:pPr>
        <w:pStyle w:val="Bibliography"/>
      </w:pPr>
      <w:r>
        <w:t xml:space="preserve">Oehler, Andreas, and Matthias Horn. 2024.</w:t>
      </w:r>
      <w:r>
        <w:t xml:space="preserve"> </w:t>
      </w:r>
      <w:r>
        <w:t xml:space="preserve">“Does</w:t>
      </w:r>
      <w:r>
        <w:t xml:space="preserve"> </w:t>
      </w:r>
      <w:r>
        <w:t xml:space="preserve">ChatGPT</w:t>
      </w:r>
      <w:r>
        <w:t xml:space="preserve"> </w:t>
      </w:r>
      <w:r>
        <w:t xml:space="preserve">Provide Better Advice Than Robo-Advisors?”</w:t>
      </w:r>
      <w:r>
        <w:t xml:space="preserve"> </w:t>
      </w:r>
      <w:r>
        <w:rPr>
          <w:i/>
          <w:iCs/>
        </w:rPr>
        <w:t xml:space="preserve">Finance Research Letters</w:t>
      </w:r>
      <w:r>
        <w:t xml:space="preserve"> </w:t>
      </w:r>
      <w:r>
        <w:t xml:space="preserve">60 (February): 104898.</w:t>
      </w:r>
      <w:r>
        <w:t xml:space="preserve"> </w:t>
      </w:r>
      <w:hyperlink r:id="rId49">
        <w:r>
          <w:rPr>
            <w:rStyle w:val="Hyperlink"/>
          </w:rPr>
          <w:t xml:space="preserve">https://doi.org/10.1016/j.frl.2023.104898</w:t>
        </w:r>
      </w:hyperlink>
      <w:r>
        <w:t xml:space="preserve">.</w:t>
      </w:r>
    </w:p>
    <w:bookmarkEnd w:id="50"/>
    <w:bookmarkStart w:id="51" w:name="ref-openaiPrivacyPolicy"/>
    <w:p>
      <w:pPr>
        <w:pStyle w:val="Bibliography"/>
      </w:pPr>
      <w:r>
        <w:t xml:space="preserve">OpenAi. n.d.</w:t>
      </w:r>
      <w:r>
        <w:t xml:space="preserve"> </w:t>
      </w:r>
      <w:r>
        <w:t xml:space="preserve">“Privacy Policy.”</w:t>
      </w:r>
      <w:r>
        <w:t xml:space="preserve"> </w:t>
      </w:r>
      <w:r>
        <w:t xml:space="preserve">https://openai.com/policies/row-privacy-policy/. Accessed November 17, 2025.</w:t>
      </w:r>
    </w:p>
    <w:bookmarkEnd w:id="51"/>
    <w:bookmarkStart w:id="53" w:name="ref-perezIgnorePreviousPrompt2022"/>
    <w:p>
      <w:pPr>
        <w:pStyle w:val="Bibliography"/>
      </w:pPr>
      <w:r>
        <w:t xml:space="preserve">Perez, Fábio, and Ian Ribeiro. 2022.</w:t>
      </w:r>
      <w:r>
        <w:t xml:space="preserve"> </w:t>
      </w:r>
      <w:r>
        <w:t xml:space="preserve">“Ignore</w:t>
      </w:r>
      <w:r>
        <w:t xml:space="preserve"> </w:t>
      </w:r>
      <w:r>
        <w:t xml:space="preserve">Previous Prompt</w:t>
      </w:r>
      <w:r>
        <w:t xml:space="preserve">:</w:t>
      </w:r>
      <w:r>
        <w:t xml:space="preserve"> </w:t>
      </w:r>
      <w:r>
        <w:t xml:space="preserve">Attack Techniques For Language Models</w:t>
      </w:r>
      <w:r>
        <w:t xml:space="preserve">.”</w:t>
      </w:r>
      <w:r>
        <w:t xml:space="preserve"> </w:t>
      </w:r>
      <w:r>
        <w:t xml:space="preserve">arXiv.</w:t>
      </w:r>
      <w:r>
        <w:t xml:space="preserve"> </w:t>
      </w:r>
      <w:hyperlink r:id="rId52">
        <w:r>
          <w:rPr>
            <w:rStyle w:val="Hyperlink"/>
          </w:rPr>
          <w:t xml:space="preserve">https://doi.org/10.48550/arXiv.2211.09527</w:t>
        </w:r>
      </w:hyperlink>
      <w:r>
        <w:t xml:space="preserve">.</w:t>
      </w:r>
    </w:p>
    <w:bookmarkEnd w:id="53"/>
    <w:bookmarkStart w:id="54" w:name="ref-puaschunder2018dignity"/>
    <w:p>
      <w:pPr>
        <w:pStyle w:val="Bibliography"/>
      </w:pPr>
      <w:r>
        <w:t xml:space="preserve">Puaschunder, Julia M. 2018.</w:t>
      </w:r>
      <w:r>
        <w:t xml:space="preserve"> </w:t>
      </w:r>
      <w:r>
        <w:t xml:space="preserve">“Dignity and Utility of Privacy and Information Sharing in the Digital Big Data Age.”</w:t>
      </w:r>
      <w:r>
        <w:t xml:space="preserve"> </w:t>
      </w:r>
      <w:r>
        <w:rPr>
          <w:i/>
          <w:iCs/>
        </w:rPr>
        <w:t xml:space="preserve">International Journal of Commerce and Management Research</w:t>
      </w:r>
      <w:r>
        <w:t xml:space="preserve"> </w:t>
      </w:r>
      <w:r>
        <w:t xml:space="preserve">5 (4): 62–70.</w:t>
      </w:r>
    </w:p>
    <w:bookmarkEnd w:id="54"/>
    <w:bookmarkStart w:id="56" w:name="ref-sadowskiWhenDataCapital2019"/>
    <w:p>
      <w:pPr>
        <w:pStyle w:val="Bibliography"/>
      </w:pPr>
      <w:r>
        <w:t xml:space="preserve">Sadowski, Jathan. 2019.</w:t>
      </w:r>
      <w:r>
        <w:t xml:space="preserve"> </w:t>
      </w:r>
      <w:r>
        <w:t xml:space="preserve">“When Data Is Capital:</w:t>
      </w:r>
      <w:r>
        <w:t xml:space="preserve"> </w:t>
      </w:r>
      <w:r>
        <w:t xml:space="preserve">Datafication</w:t>
      </w:r>
      <w:r>
        <w:t xml:space="preserve">, Accumulation, and Extraction.”</w:t>
      </w:r>
      <w:r>
        <w:t xml:space="preserve"> </w:t>
      </w:r>
      <w:r>
        <w:rPr>
          <w:i/>
          <w:iCs/>
        </w:rPr>
        <w:t xml:space="preserve">Big Data &amp; Society</w:t>
      </w:r>
      <w:r>
        <w:t xml:space="preserve"> </w:t>
      </w:r>
      <w:r>
        <w:t xml:space="preserve">6 (1): 2053951718820549.</w:t>
      </w:r>
      <w:r>
        <w:t xml:space="preserve"> </w:t>
      </w:r>
      <w:hyperlink r:id="rId55">
        <w:r>
          <w:rPr>
            <w:rStyle w:val="Hyperlink"/>
          </w:rPr>
          <w:t xml:space="preserve">https://doi.org/10.1177/2053951718820549</w:t>
        </w:r>
      </w:hyperlink>
      <w:r>
        <w:t xml:space="preserve">.</w:t>
      </w:r>
    </w:p>
    <w:bookmarkEnd w:id="56"/>
    <w:bookmarkStart w:id="57" w:name="ref-xTermsServiceConsumer"/>
    <w:p>
      <w:pPr>
        <w:pStyle w:val="Bibliography"/>
      </w:pPr>
      <w:r>
        <w:t xml:space="preserve">X. n.d.</w:t>
      </w:r>
      <w:r>
        <w:t xml:space="preserve"> </w:t>
      </w:r>
      <w:r>
        <w:t xml:space="preserve">“Terms of</w:t>
      </w:r>
      <w:r>
        <w:t xml:space="preserve"> </w:t>
      </w:r>
      <w:r>
        <w:t xml:space="preserve">Service</w:t>
      </w:r>
      <w:r>
        <w:t xml:space="preserve"> </w:t>
      </w:r>
      <w:r>
        <w:t xml:space="preserve">-</w:t>
      </w:r>
      <w:r>
        <w:t xml:space="preserve"> </w:t>
      </w:r>
      <w:r>
        <w:t xml:space="preserve">Consumer</w:t>
      </w:r>
      <w:r>
        <w:t xml:space="preserve"> </w:t>
      </w:r>
      <w:r>
        <w:t xml:space="preserve"> </w:t>
      </w:r>
      <w:r>
        <w:t xml:space="preserve">xAI</w:t>
      </w:r>
      <w:r>
        <w:t xml:space="preserve">.”</w:t>
      </w:r>
      <w:r>
        <w:t xml:space="preserve"> </w:t>
      </w:r>
      <w:r>
        <w:t xml:space="preserve">https://x.ai/legal/terms-of-service. Accessed November 17, 2025.</w:t>
      </w:r>
    </w:p>
    <w:bookmarkEnd w:id="57"/>
    <w:bookmarkStart w:id="59" w:name="ref-zhangTakingAdviceChatGPT2023"/>
    <w:p>
      <w:pPr>
        <w:pStyle w:val="Bibliography"/>
      </w:pPr>
      <w:r>
        <w:t xml:space="preserve">Zhang, Peter. 2023.</w:t>
      </w:r>
      <w:r>
        <w:t xml:space="preserve"> </w:t>
      </w:r>
      <w:r>
        <w:t xml:space="preserve">“Taking</w:t>
      </w:r>
      <w:r>
        <w:t xml:space="preserve"> </w:t>
      </w:r>
      <w:r>
        <w:t xml:space="preserve">Advice</w:t>
      </w:r>
      <w:r>
        <w:t xml:space="preserve"> </w:t>
      </w:r>
      <w:r>
        <w:t xml:space="preserve">from</w:t>
      </w:r>
      <w:r>
        <w:t xml:space="preserve"> </w:t>
      </w:r>
      <w:r>
        <w:t xml:space="preserve">ChatGPT</w:t>
      </w:r>
      <w:r>
        <w:t xml:space="preserve">.”</w:t>
      </w:r>
      <w:r>
        <w:t xml:space="preserve"> </w:t>
      </w:r>
      <w:r>
        <w:t xml:space="preserve">arXiv.</w:t>
      </w:r>
      <w:r>
        <w:t xml:space="preserve"> </w:t>
      </w:r>
      <w:hyperlink r:id="rId58">
        <w:r>
          <w:rPr>
            <w:rStyle w:val="Hyperlink"/>
          </w:rPr>
          <w:t xml:space="preserve">https://doi.org/10.48550/arXiv.2305.11888</w:t>
        </w:r>
      </w:hyperlink>
      <w:r>
        <w:t xml:space="preserve">.</w:t>
      </w:r>
    </w:p>
    <w:bookmarkEnd w:id="59"/>
    <w:bookmarkStart w:id="61" w:name="ref-zhangSecretUseLarge2025"/>
    <w:p>
      <w:pPr>
        <w:pStyle w:val="Bibliography"/>
      </w:pPr>
      <w:r>
        <w:t xml:space="preserve">Zhang, Zhiping, Chenxinran Shen, Bingsheng Yao, Dakuo Wang, and Tianshi Li. 2025.</w:t>
      </w:r>
      <w:r>
        <w:t xml:space="preserve"> </w:t>
      </w:r>
      <w:r>
        <w:t xml:space="preserve">“Secret</w:t>
      </w:r>
      <w:r>
        <w:t xml:space="preserve"> </w:t>
      </w:r>
      <w:r>
        <w:t xml:space="preserve">Use</w:t>
      </w:r>
      <w:r>
        <w:t xml:space="preserve"> </w:t>
      </w:r>
      <w:r>
        <w:t xml:space="preserve">of</w:t>
      </w:r>
      <w:r>
        <w:t xml:space="preserve"> </w:t>
      </w:r>
      <w:r>
        <w:t xml:space="preserve">Large Language Model</w:t>
      </w:r>
      <w:r>
        <w:t xml:space="preserve"> </w:t>
      </w:r>
      <w:r>
        <w:t xml:space="preserve">(</w:t>
      </w:r>
      <w:r>
        <w:t xml:space="preserve">LLM</w:t>
      </w:r>
      <w:r>
        <w:t xml:space="preserve">).”</w:t>
      </w:r>
      <w:r>
        <w:t xml:space="preserve"> </w:t>
      </w:r>
      <w:r>
        <w:rPr>
          <w:i/>
          <w:iCs/>
        </w:rPr>
        <w:t xml:space="preserve">Proceedings of the ACM on Human-Computer Interaction</w:t>
      </w:r>
      <w:r>
        <w:t xml:space="preserve"> </w:t>
      </w:r>
      <w:r>
        <w:t xml:space="preserve">9 (2): 1–26.</w:t>
      </w:r>
      <w:r>
        <w:t xml:space="preserve"> </w:t>
      </w:r>
      <w:hyperlink r:id="rId60">
        <w:r>
          <w:rPr>
            <w:rStyle w:val="Hyperlink"/>
          </w:rPr>
          <w:t xml:space="preserve">https://doi.org/10.1145/3711061</w:t>
        </w:r>
      </w:hyperlink>
      <w:r>
        <w:t xml:space="preserve">.</w:t>
      </w:r>
    </w:p>
    <w:bookmarkEnd w:id="61"/>
    <w:bookmarkEnd w:id="62"/>
    <w:bookmarkEnd w:id="6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44" Target="https://doi.org/10.1007/s10657-020-09675-1" TargetMode="External" /><Relationship Type="http://schemas.openxmlformats.org/officeDocument/2006/relationships/hyperlink" Id="rId49" Target="https://doi.org/10.1016/j.frl.2023.104898" TargetMode="External" /><Relationship Type="http://schemas.openxmlformats.org/officeDocument/2006/relationships/hyperlink" Id="rId23" Target="https://doi.org/10.1109/SP.2006.32" TargetMode="External" /><Relationship Type="http://schemas.openxmlformats.org/officeDocument/2006/relationships/hyperlink" Id="rId38" Target="https://doi.org/10.1136/openhrt-2023-002455" TargetMode="External" /><Relationship Type="http://schemas.openxmlformats.org/officeDocument/2006/relationships/hyperlink" Id="rId60" Target="https://doi.org/10.1145/3711061" TargetMode="External" /><Relationship Type="http://schemas.openxmlformats.org/officeDocument/2006/relationships/hyperlink" Id="rId36" Target="https://doi.org/10.1145/3745768" TargetMode="External" /><Relationship Type="http://schemas.openxmlformats.org/officeDocument/2006/relationships/hyperlink" Id="rId55" Target="https://doi.org/10.1177/2053951718820549" TargetMode="External" /><Relationship Type="http://schemas.openxmlformats.org/officeDocument/2006/relationships/hyperlink" Id="rId25" Target="https://doi.org/10.1177/20539517211017308" TargetMode="External" /><Relationship Type="http://schemas.openxmlformats.org/officeDocument/2006/relationships/hyperlink" Id="rId32" Target="https://doi.org/10.1609/icwsm.v18i1.31338" TargetMode="External" /><Relationship Type="http://schemas.openxmlformats.org/officeDocument/2006/relationships/hyperlink" Id="rId34" Target="https://doi.org/10.3389/fpsyg.2023.1281255" TargetMode="External" /><Relationship Type="http://schemas.openxmlformats.org/officeDocument/2006/relationships/hyperlink" Id="rId46" Target="https://doi.org/10.36227/techrxiv.173273427.76836200/v1" TargetMode="External" /><Relationship Type="http://schemas.openxmlformats.org/officeDocument/2006/relationships/hyperlink" Id="rId27" Target="https://doi.org/10.48550/arXiv.2012.07805" TargetMode="External" /><Relationship Type="http://schemas.openxmlformats.org/officeDocument/2006/relationships/hyperlink" Id="rId52" Target="https://doi.org/10.48550/arXiv.2211.09527" TargetMode="External" /><Relationship Type="http://schemas.openxmlformats.org/officeDocument/2006/relationships/hyperlink" Id="rId40" Target="https://doi.org/10.48550/arXiv.2304.05197" TargetMode="External" /><Relationship Type="http://schemas.openxmlformats.org/officeDocument/2006/relationships/hyperlink" Id="rId58" Target="https://doi.org/10.48550/arXiv.2305.11888" TargetMode="External" /><Relationship Type="http://schemas.openxmlformats.org/officeDocument/2006/relationships/hyperlink" Id="rId42" Target="https://doi.org/10.48550/arXiv.2308.07847" TargetMode="External" /><Relationship Type="http://schemas.openxmlformats.org/officeDocument/2006/relationships/hyperlink" Id="rId29" Target="https://doi.org/10.48550/arXiv.2406.10249" TargetMode="External" /></Relationships>
</file>

<file path=word/_rels/footnotes.xml.rels><?xml version="1.0" encoding="UTF-8"?><Relationships xmlns="http://schemas.openxmlformats.org/package/2006/relationships"><Relationship Type="http://schemas.openxmlformats.org/officeDocument/2006/relationships/hyperlink" Id="rId44" Target="https://doi.org/10.1007/s10657-020-09675-1" TargetMode="External" /><Relationship Type="http://schemas.openxmlformats.org/officeDocument/2006/relationships/hyperlink" Id="rId49" Target="https://doi.org/10.1016/j.frl.2023.104898" TargetMode="External" /><Relationship Type="http://schemas.openxmlformats.org/officeDocument/2006/relationships/hyperlink" Id="rId23" Target="https://doi.org/10.1109/SP.2006.32" TargetMode="External" /><Relationship Type="http://schemas.openxmlformats.org/officeDocument/2006/relationships/hyperlink" Id="rId38" Target="https://doi.org/10.1136/openhrt-2023-002455" TargetMode="External" /><Relationship Type="http://schemas.openxmlformats.org/officeDocument/2006/relationships/hyperlink" Id="rId60" Target="https://doi.org/10.1145/3711061" TargetMode="External" /><Relationship Type="http://schemas.openxmlformats.org/officeDocument/2006/relationships/hyperlink" Id="rId36" Target="https://doi.org/10.1145/3745768" TargetMode="External" /><Relationship Type="http://schemas.openxmlformats.org/officeDocument/2006/relationships/hyperlink" Id="rId55" Target="https://doi.org/10.1177/2053951718820549" TargetMode="External" /><Relationship Type="http://schemas.openxmlformats.org/officeDocument/2006/relationships/hyperlink" Id="rId25" Target="https://doi.org/10.1177/20539517211017308" TargetMode="External" /><Relationship Type="http://schemas.openxmlformats.org/officeDocument/2006/relationships/hyperlink" Id="rId32" Target="https://doi.org/10.1609/icwsm.v18i1.31338" TargetMode="External" /><Relationship Type="http://schemas.openxmlformats.org/officeDocument/2006/relationships/hyperlink" Id="rId34" Target="https://doi.org/10.3389/fpsyg.2023.1281255" TargetMode="External" /><Relationship Type="http://schemas.openxmlformats.org/officeDocument/2006/relationships/hyperlink" Id="rId46" Target="https://doi.org/10.36227/techrxiv.173273427.76836200/v1" TargetMode="External" /><Relationship Type="http://schemas.openxmlformats.org/officeDocument/2006/relationships/hyperlink" Id="rId27" Target="https://doi.org/10.48550/arXiv.2012.07805" TargetMode="External" /><Relationship Type="http://schemas.openxmlformats.org/officeDocument/2006/relationships/hyperlink" Id="rId52" Target="https://doi.org/10.48550/arXiv.2211.09527" TargetMode="External" /><Relationship Type="http://schemas.openxmlformats.org/officeDocument/2006/relationships/hyperlink" Id="rId40" Target="https://doi.org/10.48550/arXiv.2304.05197" TargetMode="External" /><Relationship Type="http://schemas.openxmlformats.org/officeDocument/2006/relationships/hyperlink" Id="rId58" Target="https://doi.org/10.48550/arXiv.2305.11888" TargetMode="External" /><Relationship Type="http://schemas.openxmlformats.org/officeDocument/2006/relationships/hyperlink" Id="rId42" Target="https://doi.org/10.48550/arXiv.2308.07847" TargetMode="External" /><Relationship Type="http://schemas.openxmlformats.org/officeDocument/2006/relationships/hyperlink" Id="rId29" Target="https://doi.org/10.48550/arXiv.2406.10249"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‘Dear LLM..’: Anonimity and privacy in an age of magical machines</dc:title>
  <dc:creator/>
  <cp:keywords/>
  <dcterms:created xsi:type="dcterms:W3CDTF">2025-11-19T13:33:35Z</dcterms:created>
  <dcterms:modified xsi:type="dcterms:W3CDTF">2025-11-19T13:33:35Z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uthors">
    <vt:lpwstr/>
  </property>
  <property fmtid="{D5CDD505-2E9C-101B-9397-08002B2CF9AE}" pid="4" name="biblio-config">
    <vt:lpwstr>True</vt:lpwstr>
  </property>
  <property fmtid="{D5CDD505-2E9C-101B-9397-08002B2CF9AE}" pid="5" name="bibliography">
    <vt:lpwstr>references.bib</vt:lpwstr>
  </property>
  <property fmtid="{D5CDD505-2E9C-101B-9397-08002B2CF9AE}" pid="6" name="by-affiliation">
    <vt:lpwstr/>
  </property>
  <property fmtid="{D5CDD505-2E9C-101B-9397-08002B2CF9AE}" pid="7" name="by-author">
    <vt:lpwstr/>
  </property>
  <property fmtid="{D5CDD505-2E9C-101B-9397-08002B2CF9AE}" pid="8" name="clear-hidden-classes">
    <vt:lpwstr>none</vt:lpwstr>
  </property>
  <property fmtid="{D5CDD505-2E9C-101B-9397-08002B2CF9AE}" pid="9" name="google-scholar">
    <vt:lpwstr>True</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lightbox">
    <vt:lpwstr>auto</vt:lpwstr>
  </property>
  <property fmtid="{D5CDD505-2E9C-101B-9397-08002B2CF9AE}" pid="15" name="manuscript">
    <vt:lpwstr/>
  </property>
  <property fmtid="{D5CDD505-2E9C-101B-9397-08002B2CF9AE}" pid="16" name="notebook-preview-options">
    <vt:lpwstr/>
  </property>
  <property fmtid="{D5CDD505-2E9C-101B-9397-08002B2CF9AE}" pid="17" name="quarto-internal">
    <vt:lpwstr/>
  </property>
  <property fmtid="{D5CDD505-2E9C-101B-9397-08002B2CF9AE}" pid="18" name="remove-hidden">
    <vt:lpwstr>all</vt:lpwstr>
  </property>
  <property fmtid="{D5CDD505-2E9C-101B-9397-08002B2CF9AE}" pid="19" name="template-partials">
    <vt:lpwstr/>
  </property>
  <property fmtid="{D5CDD505-2E9C-101B-9397-08002B2CF9AE}" pid="20" name="theme">
    <vt:lpwstr>cosmo</vt:lpwstr>
  </property>
  <property fmtid="{D5CDD505-2E9C-101B-9397-08002B2CF9AE}" pid="21" name="title-block-style">
    <vt:lpwstr>manuscript</vt:lpwstr>
  </property>
  <property fmtid="{D5CDD505-2E9C-101B-9397-08002B2CF9AE}" pid="22" name="toc-title">
    <vt:lpwstr>Table of contents</vt:lpwstr>
  </property>
  <property fmtid="{D5CDD505-2E9C-101B-9397-08002B2CF9AE}" pid="23" name="unroll-markdown-cells">
    <vt:lpwstr>True</vt:lpwstr>
  </property>
</Properties>
</file>